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526AA" w14:textId="7A0806E0" w:rsidR="00460523" w:rsidRPr="0059761E" w:rsidRDefault="00460523" w:rsidP="00CA128E">
      <w:pPr>
        <w:pStyle w:val="Nagwek1"/>
        <w:spacing w:before="240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0" w:name="_Hlk109640499"/>
      <w:r w:rsidRPr="00341217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Załącznik</w:t>
      </w:r>
      <w:r w:rsidRPr="0059761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9761E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 xml:space="preserve">do </w:t>
      </w:r>
      <w:r w:rsidR="00CB4026" w:rsidRPr="0059761E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 xml:space="preserve">Wniosku </w:t>
      </w:r>
      <w:r w:rsidRPr="0059761E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o dofinansowanie projektu w ramach Programu Fundusze Europejskie dla Dolnego Śląska 2021</w:t>
      </w:r>
      <w:r w:rsidR="00C878E9" w:rsidRPr="0059761E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–</w:t>
      </w:r>
      <w:r w:rsidRPr="0059761E">
        <w:rPr>
          <w:rFonts w:ascii="Arial" w:eastAsia="Calibri" w:hAnsi="Arial" w:cs="Arial"/>
          <w:b w:val="0"/>
          <w:bCs w:val="0"/>
          <w:color w:val="000000" w:themeColor="text1"/>
          <w:sz w:val="24"/>
          <w:szCs w:val="24"/>
        </w:rPr>
        <w:t>2027</w:t>
      </w:r>
    </w:p>
    <w:bookmarkEnd w:id="0"/>
    <w:p w14:paraId="02426BBE" w14:textId="5F2A5938" w:rsidR="00D25A3B" w:rsidRPr="0059761E" w:rsidRDefault="00C86A91" w:rsidP="00905722">
      <w:pPr>
        <w:pStyle w:val="Nagwek2"/>
        <w:spacing w:before="480" w:after="600"/>
        <w:jc w:val="center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59761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Zobowiązanie stosowania mechanizmu monitorowania i wycofania </w:t>
      </w:r>
      <w:r w:rsidRPr="0059761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br/>
        <w:t xml:space="preserve">w przypadku wykorzystania infrastruktury na cele prowadzenia </w:t>
      </w:r>
      <w:r w:rsidRPr="0059761E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br/>
        <w:t>działalności gospodarczej o charakterze pomocniczym</w:t>
      </w:r>
      <w:r w:rsidR="00446B45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</w:p>
    <w:p w14:paraId="3B3CEF55" w14:textId="7B1AD531" w:rsidR="005546E9" w:rsidRPr="00431BAB" w:rsidRDefault="005546E9" w:rsidP="005546E9">
      <w:pPr>
        <w:tabs>
          <w:tab w:val="left" w:pos="4536"/>
        </w:tabs>
        <w:spacing w:after="120"/>
        <w:rPr>
          <w:rFonts w:ascii="Arial" w:hAnsi="Arial" w:cs="Arial"/>
          <w:b/>
          <w:bCs/>
          <w:sz w:val="24"/>
        </w:rPr>
      </w:pPr>
      <w:r w:rsidRPr="00431BAB">
        <w:rPr>
          <w:rFonts w:ascii="Arial" w:hAnsi="Arial" w:cs="Arial"/>
          <w:b/>
          <w:bCs/>
          <w:sz w:val="24"/>
        </w:rPr>
        <w:t>Nazwa Wnioskodawcy</w:t>
      </w:r>
      <w:r>
        <w:rPr>
          <w:rFonts w:ascii="Arial" w:hAnsi="Arial" w:cs="Arial"/>
          <w:b/>
          <w:bCs/>
          <w:sz w:val="24"/>
        </w:rPr>
        <w:t xml:space="preserve">/Realizatora: </w:t>
      </w:r>
      <w:r w:rsidRPr="00431BAB">
        <w:rPr>
          <w:rFonts w:ascii="Arial" w:hAnsi="Arial" w:cs="Arial"/>
          <w:b/>
          <w:bCs/>
          <w:sz w:val="24"/>
        </w:rPr>
        <w:t>..................................................................................</w:t>
      </w:r>
    </w:p>
    <w:p w14:paraId="2BB673AF" w14:textId="77777777" w:rsidR="005546E9" w:rsidRPr="00431BAB" w:rsidRDefault="005546E9" w:rsidP="005546E9">
      <w:pPr>
        <w:tabs>
          <w:tab w:val="left" w:pos="4536"/>
        </w:tabs>
        <w:spacing w:after="120"/>
        <w:rPr>
          <w:rFonts w:ascii="Arial" w:hAnsi="Arial" w:cs="Arial"/>
          <w:b/>
          <w:sz w:val="24"/>
        </w:rPr>
      </w:pPr>
      <w:r w:rsidRPr="00431BAB">
        <w:rPr>
          <w:rFonts w:ascii="Arial" w:hAnsi="Arial" w:cs="Arial"/>
          <w:b/>
          <w:bCs/>
          <w:sz w:val="24"/>
        </w:rPr>
        <w:t>Tytuł projektu: ........................................................................................................</w:t>
      </w:r>
      <w:r>
        <w:rPr>
          <w:rFonts w:ascii="Arial" w:hAnsi="Arial" w:cs="Arial"/>
          <w:b/>
          <w:bCs/>
          <w:sz w:val="24"/>
        </w:rPr>
        <w:t>.....</w:t>
      </w:r>
    </w:p>
    <w:p w14:paraId="1180D852" w14:textId="77777777" w:rsidR="005546E9" w:rsidRPr="00431BAB" w:rsidRDefault="005546E9" w:rsidP="005546E9">
      <w:pPr>
        <w:tabs>
          <w:tab w:val="left" w:pos="4536"/>
        </w:tabs>
        <w:spacing w:after="120"/>
        <w:rPr>
          <w:rFonts w:ascii="Arial" w:hAnsi="Arial" w:cs="Arial"/>
          <w:b/>
          <w:sz w:val="24"/>
        </w:rPr>
      </w:pPr>
      <w:r w:rsidRPr="00431BAB">
        <w:rPr>
          <w:rFonts w:ascii="Arial" w:hAnsi="Arial" w:cs="Arial"/>
          <w:b/>
          <w:bCs/>
          <w:sz w:val="24"/>
        </w:rPr>
        <w:t>Nr naboru:</w:t>
      </w:r>
      <w:r w:rsidRPr="00431BAB">
        <w:rPr>
          <w:rFonts w:ascii="Arial" w:hAnsi="Arial" w:cs="Arial"/>
          <w:b/>
          <w:sz w:val="24"/>
        </w:rPr>
        <w:t xml:space="preserve"> </w:t>
      </w:r>
      <w:r w:rsidRPr="00431BAB">
        <w:rPr>
          <w:rFonts w:ascii="Arial" w:hAnsi="Arial" w:cs="Arial"/>
          <w:b/>
          <w:bCs/>
          <w:sz w:val="24"/>
        </w:rPr>
        <w:t>....................................................................................................................</w:t>
      </w:r>
    </w:p>
    <w:p w14:paraId="5F441D48" w14:textId="77777777" w:rsidR="005546E9" w:rsidRPr="0059761E" w:rsidRDefault="005546E9" w:rsidP="00CB7B4D">
      <w:pPr>
        <w:spacing w:before="120" w:after="120"/>
        <w:rPr>
          <w:rFonts w:ascii="Arial" w:hAnsi="Arial" w:cs="Arial"/>
          <w:sz w:val="24"/>
          <w:szCs w:val="24"/>
        </w:rPr>
      </w:pPr>
    </w:p>
    <w:p w14:paraId="55CE7FEF" w14:textId="16CB2F19" w:rsidR="00CB7B4D" w:rsidRPr="00B02118" w:rsidRDefault="00CB7B4D" w:rsidP="006F4EED">
      <w:pPr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59761E">
        <w:rPr>
          <w:rFonts w:ascii="Arial" w:hAnsi="Arial" w:cs="Arial"/>
          <w:sz w:val="24"/>
          <w:szCs w:val="24"/>
        </w:rPr>
        <w:t>Zobowiązuję się do stosowania „</w:t>
      </w:r>
      <w:r w:rsidR="004C1CF2" w:rsidRPr="004C1CF2">
        <w:rPr>
          <w:rFonts w:ascii="Arial" w:hAnsi="Arial" w:cs="Arial"/>
          <w:sz w:val="24"/>
          <w:szCs w:val="24"/>
        </w:rPr>
        <w:t>Mechanizm</w:t>
      </w:r>
      <w:r w:rsidR="004C1CF2">
        <w:rPr>
          <w:rFonts w:ascii="Arial" w:hAnsi="Arial" w:cs="Arial"/>
          <w:sz w:val="24"/>
          <w:szCs w:val="24"/>
        </w:rPr>
        <w:t>u</w:t>
      </w:r>
      <w:r w:rsidR="004C1CF2" w:rsidRPr="004C1CF2">
        <w:rPr>
          <w:rFonts w:ascii="Arial" w:hAnsi="Arial" w:cs="Arial"/>
          <w:sz w:val="24"/>
          <w:szCs w:val="24"/>
        </w:rPr>
        <w:t xml:space="preserve"> monitorowania i wycofania w przypadku wykorzystania infrastruktury na cele prowadzenia działalności gospodarczej o</w:t>
      </w:r>
      <w:r w:rsidR="00B02118">
        <w:rPr>
          <w:rFonts w:ascii="Arial" w:hAnsi="Arial" w:cs="Arial"/>
          <w:sz w:val="24"/>
          <w:szCs w:val="24"/>
        </w:rPr>
        <w:t> </w:t>
      </w:r>
      <w:r w:rsidR="004C1CF2" w:rsidRPr="004C1CF2">
        <w:rPr>
          <w:rFonts w:ascii="Arial" w:hAnsi="Arial" w:cs="Arial"/>
          <w:sz w:val="24"/>
          <w:szCs w:val="24"/>
        </w:rPr>
        <w:t xml:space="preserve">charakterze pomocniczym (dotyczy instalacji OZE nieobjętej pomocą publiczną/de </w:t>
      </w:r>
      <w:proofErr w:type="spellStart"/>
      <w:r w:rsidR="004C1CF2" w:rsidRPr="004C1CF2">
        <w:rPr>
          <w:rFonts w:ascii="Arial" w:hAnsi="Arial" w:cs="Arial"/>
          <w:sz w:val="24"/>
          <w:szCs w:val="24"/>
        </w:rPr>
        <w:t>minimis</w:t>
      </w:r>
      <w:proofErr w:type="spellEnd"/>
      <w:r w:rsidR="004C1CF2" w:rsidRPr="004C1CF2">
        <w:rPr>
          <w:rFonts w:ascii="Arial" w:hAnsi="Arial" w:cs="Arial"/>
          <w:sz w:val="24"/>
          <w:szCs w:val="24"/>
        </w:rPr>
        <w:t xml:space="preserve"> dla naborów dedykowanych OZE lub jeśli instalacja OZE jest elementem uzupełniającym)</w:t>
      </w:r>
      <w:r w:rsidR="00BC2DAB" w:rsidRPr="0059761E">
        <w:rPr>
          <w:rFonts w:ascii="Arial" w:hAnsi="Arial" w:cs="Arial"/>
          <w:sz w:val="24"/>
          <w:szCs w:val="24"/>
        </w:rPr>
        <w:t>”</w:t>
      </w:r>
      <w:r w:rsidR="00B02118">
        <w:rPr>
          <w:rFonts w:ascii="Arial" w:hAnsi="Arial" w:cs="Arial"/>
          <w:sz w:val="24"/>
          <w:szCs w:val="24"/>
        </w:rPr>
        <w:t xml:space="preserve"> </w:t>
      </w:r>
      <w:r w:rsidRPr="00B02118">
        <w:rPr>
          <w:rFonts w:ascii="Arial" w:hAnsi="Arial" w:cs="Arial"/>
          <w:sz w:val="24"/>
          <w:szCs w:val="24"/>
        </w:rPr>
        <w:t>w przypadku wykorzystania infrastruktury na cele działalności gospodarczej o charakterze pomocniczym oraz przyjętych poniżej założeń przez cały okres amortyzacji każdego ze składników infrastruktury (niezależnie od okresu trwałości Projektu)</w:t>
      </w:r>
      <w:r w:rsidRPr="0059761E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Pr="00B02118">
        <w:rPr>
          <w:rFonts w:ascii="Arial" w:hAnsi="Arial" w:cs="Arial"/>
          <w:sz w:val="24"/>
          <w:szCs w:val="24"/>
        </w:rPr>
        <w:t>.</w:t>
      </w:r>
    </w:p>
    <w:p w14:paraId="6E0EE38A" w14:textId="77777777" w:rsidR="00CB7B4D" w:rsidRPr="0059761E" w:rsidRDefault="00CB7B4D" w:rsidP="00CB7B4D">
      <w:pPr>
        <w:ind w:left="360"/>
        <w:rPr>
          <w:rFonts w:ascii="Arial" w:hAnsi="Arial" w:cs="Arial"/>
          <w:sz w:val="24"/>
          <w:szCs w:val="24"/>
        </w:rPr>
      </w:pPr>
    </w:p>
    <w:p w14:paraId="4C3C1EAB" w14:textId="462265FC" w:rsidR="00CB7B4D" w:rsidRPr="0059761E" w:rsidRDefault="005546E9" w:rsidP="00CB7B4D">
      <w:pPr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5546E9">
        <w:rPr>
          <w:rFonts w:ascii="Arial" w:hAnsi="Arial" w:cs="Arial"/>
          <w:sz w:val="24"/>
          <w:szCs w:val="24"/>
          <w:lang w:eastAsia="x-none"/>
        </w:rPr>
        <w:t>Zobowiązuje się dokonywać monitorowania sposobu wykorzystania infrastruktury w</w:t>
      </w:r>
      <w:r w:rsidR="00B02118">
        <w:rPr>
          <w:rFonts w:ascii="Arial" w:hAnsi="Arial" w:cs="Arial"/>
          <w:sz w:val="24"/>
          <w:szCs w:val="24"/>
          <w:lang w:eastAsia="x-none"/>
        </w:rPr>
        <w:t> </w:t>
      </w:r>
      <w:r w:rsidRPr="005546E9">
        <w:rPr>
          <w:rFonts w:ascii="Arial" w:hAnsi="Arial" w:cs="Arial"/>
          <w:sz w:val="24"/>
          <w:szCs w:val="24"/>
          <w:lang w:eastAsia="x-none"/>
        </w:rPr>
        <w:t>oparciu o poniższ</w:t>
      </w:r>
      <w:r>
        <w:rPr>
          <w:rFonts w:ascii="Arial" w:hAnsi="Arial" w:cs="Arial"/>
          <w:sz w:val="24"/>
          <w:szCs w:val="24"/>
          <w:lang w:eastAsia="x-none"/>
        </w:rPr>
        <w:t>y</w:t>
      </w:r>
      <w:r w:rsidRPr="005546E9">
        <w:rPr>
          <w:rFonts w:ascii="Arial" w:hAnsi="Arial" w:cs="Arial"/>
          <w:sz w:val="24"/>
          <w:szCs w:val="24"/>
          <w:lang w:eastAsia="x-none"/>
        </w:rPr>
        <w:t xml:space="preserve"> wskaźnik (wskaźnik nie podlega zmian</w:t>
      </w:r>
      <w:r>
        <w:rPr>
          <w:rFonts w:ascii="Arial" w:hAnsi="Arial" w:cs="Arial"/>
          <w:sz w:val="24"/>
          <w:szCs w:val="24"/>
          <w:lang w:eastAsia="x-none"/>
        </w:rPr>
        <w:t>ie</w:t>
      </w:r>
      <w:r w:rsidRPr="005546E9">
        <w:rPr>
          <w:rFonts w:ascii="Arial" w:hAnsi="Arial" w:cs="Arial"/>
          <w:sz w:val="24"/>
          <w:szCs w:val="24"/>
          <w:lang w:eastAsia="x-none"/>
        </w:rPr>
        <w:t xml:space="preserve"> w całym okresie monitorowania):</w:t>
      </w:r>
    </w:p>
    <w:p w14:paraId="52314F4F" w14:textId="7B4A07E2" w:rsidR="00FB1990" w:rsidRPr="0059761E" w:rsidRDefault="00FB1990" w:rsidP="00B02118">
      <w:pPr>
        <w:pStyle w:val="Spistreci1"/>
        <w:tabs>
          <w:tab w:val="left" w:pos="660"/>
          <w:tab w:val="right" w:leader="dot" w:pos="9226"/>
        </w:tabs>
        <w:spacing w:line="240" w:lineRule="auto"/>
        <w:ind w:left="360" w:firstLine="0"/>
        <w:jc w:val="left"/>
        <w:rPr>
          <w:rFonts w:ascii="Arial" w:eastAsiaTheme="minorEastAsia" w:hAnsi="Arial" w:cs="Arial"/>
          <w:b/>
          <w:bCs/>
          <w:noProof/>
          <w:color w:val="auto"/>
          <w:szCs w:val="24"/>
        </w:rPr>
      </w:pPr>
      <w:r w:rsidRPr="0059761E">
        <w:rPr>
          <w:rFonts w:ascii="Arial" w:eastAsiaTheme="minorEastAsia" w:hAnsi="Arial" w:cs="Arial"/>
          <w:b/>
          <w:bCs/>
          <w:noProof/>
          <w:szCs w:val="24"/>
        </w:rPr>
        <w:t>Ilość wytworzonej energii wprowadzonej do sieci i nie zużytej/nie rozliczonej na potrzeby własne w danym roku rozliczeniowym [kWh].</w:t>
      </w:r>
    </w:p>
    <w:p w14:paraId="577F764F" w14:textId="77777777" w:rsidR="00BC2DAB" w:rsidRPr="0059761E" w:rsidRDefault="00BC2DAB" w:rsidP="00FB1990">
      <w:pPr>
        <w:pStyle w:val="Akapitzlist"/>
        <w:rPr>
          <w:rFonts w:ascii="Arial" w:hAnsi="Arial" w:cs="Arial"/>
        </w:rPr>
      </w:pPr>
    </w:p>
    <w:p w14:paraId="6D8424AB" w14:textId="65EFAA1A" w:rsidR="00CB7B4D" w:rsidRPr="00FB1990" w:rsidRDefault="00CB7B4D" w:rsidP="00CB7B4D">
      <w:pPr>
        <w:numPr>
          <w:ilvl w:val="0"/>
          <w:numId w:val="3"/>
        </w:numPr>
        <w:spacing w:before="120" w:after="120"/>
        <w:ind w:right="282"/>
        <w:rPr>
          <w:rFonts w:ascii="Arial" w:hAnsi="Arial" w:cs="Arial"/>
          <w:sz w:val="24"/>
          <w:szCs w:val="24"/>
          <w:lang w:eastAsia="x-none"/>
        </w:rPr>
      </w:pPr>
      <w:r w:rsidRPr="0059761E">
        <w:rPr>
          <w:rFonts w:ascii="Arial" w:hAnsi="Arial" w:cs="Arial"/>
          <w:sz w:val="24"/>
          <w:szCs w:val="24"/>
          <w:lang w:eastAsia="x-none"/>
        </w:rPr>
        <w:t>Zobowiązuję się stosować wybraną poniżej metodę amortyzacji przez cały okres objęty mechanizmem monitorowania i wycofania</w:t>
      </w:r>
      <w:r w:rsidRPr="0059761E">
        <w:rPr>
          <w:rFonts w:ascii="Arial" w:hAnsi="Arial" w:cs="Arial"/>
          <w:sz w:val="24"/>
          <w:szCs w:val="24"/>
        </w:rPr>
        <w:t xml:space="preserve"> </w:t>
      </w:r>
      <w:r w:rsidRPr="0059761E">
        <w:rPr>
          <w:rFonts w:ascii="Arial" w:hAnsi="Arial" w:cs="Arial"/>
          <w:sz w:val="24"/>
          <w:szCs w:val="24"/>
          <w:lang w:eastAsia="x-none"/>
        </w:rPr>
        <w:t>niezależnie od okresu trwałości Projektu (to znaczy przez cały okres amortyzacji</w:t>
      </w:r>
      <w:r w:rsidRPr="0059761E">
        <w:rPr>
          <w:rFonts w:ascii="Arial" w:hAnsi="Arial" w:cs="Arial"/>
          <w:sz w:val="24"/>
          <w:szCs w:val="24"/>
        </w:rPr>
        <w:t xml:space="preserve"> </w:t>
      </w:r>
      <w:r w:rsidRPr="0059761E">
        <w:rPr>
          <w:rFonts w:ascii="Arial" w:hAnsi="Arial" w:cs="Arial"/>
          <w:sz w:val="24"/>
          <w:szCs w:val="24"/>
          <w:lang w:eastAsia="x-none"/>
        </w:rPr>
        <w:t>każdego ze składników infrastruktury)</w:t>
      </w:r>
      <w:r w:rsidRPr="00FB1990">
        <w:rPr>
          <w:rStyle w:val="Odwoanieprzypisudolnego"/>
          <w:rFonts w:ascii="Arial" w:hAnsi="Arial" w:cs="Arial"/>
          <w:sz w:val="24"/>
          <w:szCs w:val="24"/>
          <w:lang w:eastAsia="x-none"/>
        </w:rPr>
        <w:footnoteReference w:id="2"/>
      </w:r>
      <w:r w:rsidRPr="00FB1990">
        <w:rPr>
          <w:rFonts w:ascii="Arial" w:hAnsi="Arial" w:cs="Arial"/>
          <w:sz w:val="24"/>
          <w:szCs w:val="24"/>
          <w:lang w:eastAsia="x-none"/>
        </w:rPr>
        <w:t>.</w:t>
      </w:r>
    </w:p>
    <w:p w14:paraId="017F9382" w14:textId="68EF3E70" w:rsidR="00CB7B4D" w:rsidRPr="00FB1990" w:rsidRDefault="00CB7B4D" w:rsidP="00C35228">
      <w:pPr>
        <w:spacing w:before="120" w:after="120"/>
        <w:ind w:right="284"/>
        <w:rPr>
          <w:rFonts w:ascii="Arial" w:hAnsi="Arial" w:cs="Arial"/>
          <w:sz w:val="24"/>
          <w:szCs w:val="24"/>
          <w:lang w:eastAsia="x-none"/>
        </w:rPr>
      </w:pPr>
      <w:r w:rsidRPr="00FB1990">
        <w:rPr>
          <w:rFonts w:ascii="Arial" w:hAnsi="Arial" w:cs="Arial"/>
          <w:sz w:val="24"/>
          <w:szCs w:val="24"/>
          <w:lang w:eastAsia="x-none"/>
        </w:rPr>
        <w:t>Wybrana metoda amortyzacji: ………………………………………………………………….……………………………………………</w:t>
      </w:r>
      <w:r w:rsidR="00C35228">
        <w:rPr>
          <w:rFonts w:ascii="Arial" w:hAnsi="Arial" w:cs="Arial"/>
          <w:sz w:val="24"/>
          <w:szCs w:val="24"/>
          <w:lang w:eastAsia="x-none"/>
        </w:rPr>
        <w:t>………………………………………………………………………………………….</w:t>
      </w:r>
    </w:p>
    <w:p w14:paraId="164A9E8C" w14:textId="77777777" w:rsidR="00CB7B4D" w:rsidRPr="00FB1990" w:rsidRDefault="00CB7B4D" w:rsidP="00CB7B4D">
      <w:pPr>
        <w:spacing w:before="120" w:after="120"/>
        <w:ind w:right="282"/>
        <w:rPr>
          <w:rFonts w:ascii="Arial" w:hAnsi="Arial" w:cs="Arial"/>
          <w:sz w:val="24"/>
          <w:szCs w:val="24"/>
          <w:lang w:eastAsia="x-none"/>
        </w:rPr>
      </w:pPr>
      <w:r w:rsidRPr="00FB1990">
        <w:rPr>
          <w:rFonts w:ascii="Arial" w:hAnsi="Arial" w:cs="Arial"/>
          <w:sz w:val="24"/>
          <w:szCs w:val="24"/>
          <w:lang w:eastAsia="x-none"/>
        </w:rPr>
        <w:t>Uzasadnienie:</w:t>
      </w:r>
    </w:p>
    <w:p w14:paraId="47B11CCE" w14:textId="77777777" w:rsidR="00CB7B4D" w:rsidRPr="00FB1990" w:rsidRDefault="00CB7B4D" w:rsidP="00CB7B4D">
      <w:pPr>
        <w:spacing w:before="120" w:after="120"/>
        <w:ind w:right="282"/>
        <w:rPr>
          <w:rFonts w:ascii="Arial" w:hAnsi="Arial" w:cs="Arial"/>
          <w:sz w:val="24"/>
          <w:szCs w:val="24"/>
          <w:lang w:eastAsia="x-none"/>
        </w:rPr>
      </w:pPr>
      <w:r w:rsidRPr="00FB1990">
        <w:rPr>
          <w:rFonts w:ascii="Arial" w:hAnsi="Arial" w:cs="Arial"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AAD5CD" w14:textId="47B836E0" w:rsidR="00CB7B4D" w:rsidRPr="0059761E" w:rsidRDefault="00CB7B4D" w:rsidP="00CB7B4D">
      <w:pPr>
        <w:numPr>
          <w:ilvl w:val="0"/>
          <w:numId w:val="3"/>
        </w:numPr>
        <w:spacing w:before="120" w:after="120"/>
        <w:ind w:right="282"/>
        <w:rPr>
          <w:rFonts w:ascii="Arial" w:hAnsi="Arial" w:cs="Arial"/>
          <w:sz w:val="24"/>
          <w:szCs w:val="24"/>
          <w:lang w:eastAsia="x-none"/>
        </w:rPr>
      </w:pPr>
      <w:r w:rsidRPr="00FB1990">
        <w:rPr>
          <w:rFonts w:ascii="Arial" w:hAnsi="Arial" w:cs="Arial"/>
          <w:sz w:val="24"/>
          <w:szCs w:val="24"/>
          <w:lang w:eastAsia="x-none"/>
        </w:rPr>
        <w:t xml:space="preserve">Zobowiązuję się stosować opisany poniżej czas amortyzacji składników infrastruktury </w:t>
      </w:r>
      <w:r w:rsidRPr="00FB1990">
        <w:rPr>
          <w:rFonts w:ascii="Arial" w:hAnsi="Arial" w:cs="Arial"/>
          <w:sz w:val="24"/>
          <w:szCs w:val="24"/>
        </w:rPr>
        <w:t>i </w:t>
      </w:r>
      <w:r w:rsidRPr="00FB1990">
        <w:rPr>
          <w:rFonts w:ascii="Arial" w:hAnsi="Arial" w:cs="Arial"/>
          <w:sz w:val="24"/>
          <w:szCs w:val="24"/>
          <w:lang w:eastAsia="x-none"/>
        </w:rPr>
        <w:t xml:space="preserve">monitorować sposób wykorzystania każdego ze składników przez </w:t>
      </w:r>
      <w:r w:rsidR="00631DA6">
        <w:rPr>
          <w:rFonts w:ascii="Arial" w:hAnsi="Arial" w:cs="Arial"/>
          <w:sz w:val="24"/>
          <w:szCs w:val="24"/>
          <w:lang w:eastAsia="x-none"/>
        </w:rPr>
        <w:t xml:space="preserve">cały </w:t>
      </w:r>
      <w:r w:rsidRPr="00FB1990">
        <w:rPr>
          <w:rFonts w:ascii="Arial" w:hAnsi="Arial" w:cs="Arial"/>
          <w:bCs/>
          <w:sz w:val="24"/>
          <w:szCs w:val="24"/>
        </w:rPr>
        <w:t>okres amortyzacji każdego ze składników infrastruktury</w:t>
      </w:r>
      <w:r w:rsidR="00631DA6">
        <w:rPr>
          <w:rFonts w:ascii="Arial" w:hAnsi="Arial" w:cs="Arial"/>
          <w:bCs/>
          <w:sz w:val="24"/>
          <w:szCs w:val="24"/>
        </w:rPr>
        <w:t>,</w:t>
      </w:r>
      <w:r w:rsidRPr="00FB1990">
        <w:rPr>
          <w:rFonts w:ascii="Arial" w:hAnsi="Arial" w:cs="Arial"/>
          <w:bCs/>
          <w:sz w:val="24"/>
          <w:szCs w:val="24"/>
        </w:rPr>
        <w:t xml:space="preserve"> niezależnie od okresu trwałości Projektu</w:t>
      </w:r>
      <w:r w:rsidRPr="0059761E">
        <w:rPr>
          <w:rStyle w:val="Odwoanieprzypisudolnego"/>
          <w:rFonts w:ascii="Arial" w:hAnsi="Arial" w:cs="Arial"/>
          <w:bCs/>
          <w:sz w:val="24"/>
          <w:szCs w:val="24"/>
        </w:rPr>
        <w:footnoteReference w:id="3"/>
      </w:r>
      <w:r w:rsidRPr="0059761E">
        <w:rPr>
          <w:rFonts w:ascii="Arial" w:hAnsi="Arial" w:cs="Arial"/>
          <w:bCs/>
          <w:sz w:val="24"/>
          <w:szCs w:val="24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582"/>
        <w:gridCol w:w="3067"/>
      </w:tblGrid>
      <w:tr w:rsidR="00CB7B4D" w:rsidRPr="00FB1990" w14:paraId="7C769838" w14:textId="77777777" w:rsidTr="00CB7B4D">
        <w:trPr>
          <w:trHeight w:val="567"/>
        </w:trPr>
        <w:tc>
          <w:tcPr>
            <w:tcW w:w="594" w:type="dxa"/>
            <w:shd w:val="clear" w:color="auto" w:fill="auto"/>
          </w:tcPr>
          <w:p w14:paraId="64D8FC3A" w14:textId="77777777" w:rsidR="00CB7B4D" w:rsidRPr="0059761E" w:rsidRDefault="00CB7B4D" w:rsidP="007F15B2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59761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582" w:type="dxa"/>
            <w:shd w:val="clear" w:color="auto" w:fill="auto"/>
          </w:tcPr>
          <w:p w14:paraId="7351267E" w14:textId="77777777" w:rsidR="00CB7B4D" w:rsidRPr="0059761E" w:rsidRDefault="00CB7B4D" w:rsidP="007F15B2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59761E">
              <w:rPr>
                <w:rFonts w:ascii="Arial" w:hAnsi="Arial" w:cs="Arial"/>
                <w:b/>
              </w:rPr>
              <w:t>Składnik infrastruktury</w:t>
            </w:r>
          </w:p>
        </w:tc>
        <w:tc>
          <w:tcPr>
            <w:tcW w:w="3067" w:type="dxa"/>
            <w:shd w:val="clear" w:color="auto" w:fill="auto"/>
          </w:tcPr>
          <w:p w14:paraId="0B3E9F6C" w14:textId="77777777" w:rsidR="00CB7B4D" w:rsidRPr="0059761E" w:rsidRDefault="00CB7B4D" w:rsidP="007F15B2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59761E">
              <w:rPr>
                <w:rFonts w:ascii="Arial" w:hAnsi="Arial" w:cs="Arial"/>
                <w:b/>
              </w:rPr>
              <w:t>Okres amortyzacji</w:t>
            </w:r>
          </w:p>
        </w:tc>
      </w:tr>
      <w:tr w:rsidR="00CB7B4D" w:rsidRPr="00FB1990" w14:paraId="4F161784" w14:textId="77777777" w:rsidTr="00CB7B4D">
        <w:trPr>
          <w:trHeight w:val="47"/>
        </w:trPr>
        <w:tc>
          <w:tcPr>
            <w:tcW w:w="594" w:type="dxa"/>
            <w:shd w:val="clear" w:color="auto" w:fill="auto"/>
          </w:tcPr>
          <w:p w14:paraId="6CBAA011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582" w:type="dxa"/>
            <w:shd w:val="clear" w:color="auto" w:fill="auto"/>
          </w:tcPr>
          <w:p w14:paraId="4E9B929A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14:paraId="41540379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CB7B4D" w:rsidRPr="00FB1990" w14:paraId="13FEBB7F" w14:textId="77777777" w:rsidTr="00CB7B4D">
        <w:trPr>
          <w:trHeight w:val="47"/>
        </w:trPr>
        <w:tc>
          <w:tcPr>
            <w:tcW w:w="594" w:type="dxa"/>
            <w:shd w:val="clear" w:color="auto" w:fill="auto"/>
          </w:tcPr>
          <w:p w14:paraId="1D9105A3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582" w:type="dxa"/>
            <w:shd w:val="clear" w:color="auto" w:fill="auto"/>
          </w:tcPr>
          <w:p w14:paraId="5F91FA28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14:paraId="7E36B65B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CB7B4D" w:rsidRPr="00FB1990" w14:paraId="0D29E478" w14:textId="77777777" w:rsidTr="00CB7B4D">
        <w:trPr>
          <w:trHeight w:val="47"/>
        </w:trPr>
        <w:tc>
          <w:tcPr>
            <w:tcW w:w="594" w:type="dxa"/>
            <w:shd w:val="clear" w:color="auto" w:fill="auto"/>
          </w:tcPr>
          <w:p w14:paraId="2E6BA31F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582" w:type="dxa"/>
            <w:shd w:val="clear" w:color="auto" w:fill="auto"/>
          </w:tcPr>
          <w:p w14:paraId="725DA7A3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14:paraId="0DF50E15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CB7B4D" w:rsidRPr="00FB1990" w14:paraId="0A6CEA59" w14:textId="77777777" w:rsidTr="00CB7B4D">
        <w:trPr>
          <w:trHeight w:val="47"/>
        </w:trPr>
        <w:tc>
          <w:tcPr>
            <w:tcW w:w="594" w:type="dxa"/>
            <w:shd w:val="clear" w:color="auto" w:fill="auto"/>
          </w:tcPr>
          <w:p w14:paraId="1B2E82D9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582" w:type="dxa"/>
            <w:shd w:val="clear" w:color="auto" w:fill="auto"/>
          </w:tcPr>
          <w:p w14:paraId="625E7B99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14:paraId="5DB88255" w14:textId="77777777" w:rsidR="00CB7B4D" w:rsidRPr="0059761E" w:rsidRDefault="00CB7B4D" w:rsidP="007F15B2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0F67084A" w14:textId="77777777" w:rsidR="00CB7B4D" w:rsidRPr="0059761E" w:rsidRDefault="00CB7B4D" w:rsidP="00CB7B4D">
      <w:pPr>
        <w:spacing w:before="120" w:after="120"/>
        <w:ind w:right="282"/>
        <w:rPr>
          <w:rFonts w:ascii="Arial" w:hAnsi="Arial" w:cs="Arial"/>
          <w:sz w:val="24"/>
          <w:szCs w:val="24"/>
          <w:lang w:eastAsia="x-none"/>
        </w:rPr>
      </w:pPr>
    </w:p>
    <w:p w14:paraId="7EB5BBF2" w14:textId="1CC89DF6" w:rsidR="00CB7B4D" w:rsidRPr="0059761E" w:rsidRDefault="00C92695" w:rsidP="00CB7B4D">
      <w:pPr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Beneficjent zobowiązuje </w:t>
      </w:r>
      <w:r w:rsidR="00CB7B4D" w:rsidRPr="00A66D68">
        <w:rPr>
          <w:rFonts w:ascii="Arial" w:hAnsi="Arial" w:cs="Arial"/>
          <w:sz w:val="24"/>
          <w:szCs w:val="24"/>
          <w:lang w:eastAsia="x-none"/>
        </w:rPr>
        <w:t xml:space="preserve">się składać corocznie, </w:t>
      </w:r>
      <w:r w:rsidR="007E5D2E" w:rsidRPr="00A66D68">
        <w:rPr>
          <w:rFonts w:ascii="Arial" w:hAnsi="Arial" w:cs="Arial"/>
          <w:sz w:val="24"/>
          <w:szCs w:val="24"/>
          <w:lang w:eastAsia="x-none"/>
        </w:rPr>
        <w:t>nie później niż do 30 stycznia roku następującego po roku</w:t>
      </w:r>
      <w:r w:rsidR="00CB7B4D" w:rsidRPr="00A66D68">
        <w:rPr>
          <w:rFonts w:ascii="Arial" w:hAnsi="Arial" w:cs="Arial"/>
          <w:sz w:val="24"/>
          <w:szCs w:val="24"/>
          <w:lang w:eastAsia="x-none"/>
        </w:rPr>
        <w:t>, w którym amortyzowano monitorowaną infrastrukturę, sprawozdania z monitorowania sposobu wykorzystania infrastruktury na cele działalności gospodarczej o charakterze pomocniczym w oparciu o przyjęte wskaźniki oraz dokonać zwrotu środków w przypadku, gdy w danym roku objętym monitorowaniem wykorzystanie infrastruktury na cele gospodarcze przekroczy poziom 20% całkowitej rocznej wydajności infrastruktury</w:t>
      </w:r>
      <w:r w:rsidR="00BC4528">
        <w:rPr>
          <w:rFonts w:ascii="Arial" w:hAnsi="Arial" w:cs="Arial"/>
          <w:sz w:val="24"/>
          <w:szCs w:val="24"/>
          <w:lang w:eastAsia="x-none"/>
        </w:rPr>
        <w:t>.</w:t>
      </w:r>
      <w:r w:rsidR="00325BFD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325BFD" w:rsidRPr="009F6006">
        <w:rPr>
          <w:rFonts w:ascii="Arial" w:hAnsi="Arial" w:cs="Arial"/>
          <w:sz w:val="24"/>
          <w:szCs w:val="24"/>
        </w:rPr>
        <w:t xml:space="preserve">Zasady zwrotu środków określa załącznik do Regulaminu wyboru projektów pn. „Mechanizm monitorowania i wycofania w przypadku wykorzystania infrastruktury na cele prowadzenia działalności gospodarczej o charakterze pomocniczym (dotyczy instalacji OZE nieobjętej pomocą publiczną/de </w:t>
      </w:r>
      <w:proofErr w:type="spellStart"/>
      <w:r w:rsidR="00325BFD" w:rsidRPr="009F6006">
        <w:rPr>
          <w:rFonts w:ascii="Arial" w:hAnsi="Arial" w:cs="Arial"/>
          <w:sz w:val="24"/>
          <w:szCs w:val="24"/>
        </w:rPr>
        <w:t>minimis</w:t>
      </w:r>
      <w:proofErr w:type="spellEnd"/>
      <w:r w:rsidR="00325BFD" w:rsidRPr="009F6006">
        <w:rPr>
          <w:rFonts w:ascii="Arial" w:hAnsi="Arial" w:cs="Arial"/>
          <w:sz w:val="24"/>
          <w:szCs w:val="24"/>
        </w:rPr>
        <w:t xml:space="preserve"> dla naborów dedykowanych OZE lub jeśli instalacja OZE jest elementem uzupełniającym)” i umowa o dofinansowanie projektu</w:t>
      </w:r>
      <w:r w:rsidR="00CB7B4D" w:rsidRPr="0059761E">
        <w:rPr>
          <w:rFonts w:ascii="Arial" w:hAnsi="Arial" w:cs="Arial"/>
          <w:sz w:val="24"/>
          <w:szCs w:val="24"/>
        </w:rPr>
        <w:t>.</w:t>
      </w:r>
    </w:p>
    <w:p w14:paraId="1CF8348B" w14:textId="5CE0B064" w:rsidR="00CB7B4D" w:rsidRPr="00A66D68" w:rsidRDefault="00A66D68" w:rsidP="00786050">
      <w:pPr>
        <w:numPr>
          <w:ilvl w:val="0"/>
          <w:numId w:val="3"/>
        </w:numPr>
        <w:spacing w:before="120" w:after="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Jestem świadomy/świadoma, że w przypadku konieczności zwrotu środków z tytułu</w:t>
      </w:r>
      <w:r w:rsidR="00C117AA">
        <w:rPr>
          <w:rFonts w:ascii="Arial" w:hAnsi="Arial" w:cs="Arial"/>
          <w:sz w:val="24"/>
          <w:szCs w:val="24"/>
        </w:rPr>
        <w:t xml:space="preserve"> przekroczenia poziomu 20% całkowitej rocznej wydajności infrastruktury może zaistnieć również konieczność zwrotu środków w związku ze zmianą kwalifikowalności innych wydatków w projekcie.</w:t>
      </w:r>
    </w:p>
    <w:p w14:paraId="6BB56DA8" w14:textId="77777777" w:rsidR="00C92695" w:rsidRDefault="00C92695" w:rsidP="00C92695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</w:p>
    <w:p w14:paraId="17F53AA4" w14:textId="77777777" w:rsidR="00C92695" w:rsidRDefault="00C92695" w:rsidP="00C92695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</w:p>
    <w:p w14:paraId="712E8D53" w14:textId="6EA30A95" w:rsidR="00C92695" w:rsidRPr="002B2A0B" w:rsidRDefault="00C92695" w:rsidP="00C92695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 xml:space="preserve">Osoba uprawniona do </w:t>
      </w:r>
      <w:r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złożenia</w:t>
      </w: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 xml:space="preserve"> </w:t>
      </w:r>
      <w:r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zobowiązania</w:t>
      </w: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:</w:t>
      </w:r>
    </w:p>
    <w:p w14:paraId="21F0980C" w14:textId="77777777" w:rsidR="00C92695" w:rsidRPr="002B2A0B" w:rsidRDefault="00C92695" w:rsidP="00C92695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2605D79B" w14:textId="77777777" w:rsidR="00C92695" w:rsidRPr="002B2A0B" w:rsidRDefault="00C92695" w:rsidP="00C92695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492D2794" w14:textId="77777777" w:rsidR="00C92695" w:rsidRPr="002B2A0B" w:rsidRDefault="00C92695" w:rsidP="00C92695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4544389" w14:textId="77777777" w:rsidR="00C92695" w:rsidRPr="002B2A0B" w:rsidRDefault="00C92695" w:rsidP="00C92695">
      <w:pPr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zaufany……………………</w:t>
      </w:r>
    </w:p>
    <w:p w14:paraId="3E381B97" w14:textId="77777777" w:rsidR="00CB7B4D" w:rsidRDefault="00CB7B4D" w:rsidP="00CB7B4D">
      <w:pPr>
        <w:rPr>
          <w:rFonts w:ascii="Arial" w:hAnsi="Arial" w:cs="Arial"/>
          <w:sz w:val="24"/>
          <w:szCs w:val="24"/>
        </w:rPr>
      </w:pPr>
    </w:p>
    <w:p w14:paraId="2D0F67B2" w14:textId="77777777" w:rsidR="00C92695" w:rsidRDefault="00C92695" w:rsidP="00CB7B4D">
      <w:pPr>
        <w:rPr>
          <w:rFonts w:ascii="Arial" w:hAnsi="Arial" w:cs="Arial"/>
          <w:sz w:val="24"/>
          <w:szCs w:val="24"/>
        </w:rPr>
      </w:pPr>
    </w:p>
    <w:p w14:paraId="2FA353DF" w14:textId="77777777" w:rsidR="00C92695" w:rsidRDefault="00C92695" w:rsidP="00CB7B4D">
      <w:pPr>
        <w:rPr>
          <w:rFonts w:ascii="Arial" w:hAnsi="Arial" w:cs="Arial"/>
          <w:sz w:val="24"/>
          <w:szCs w:val="24"/>
        </w:rPr>
      </w:pPr>
    </w:p>
    <w:p w14:paraId="0D3862E5" w14:textId="33FD6947" w:rsidR="00CB7B4D" w:rsidRPr="0059761E" w:rsidRDefault="00CB7B4D" w:rsidP="00CB7B4D">
      <w:pPr>
        <w:ind w:left="4962" w:right="1535"/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CB7B4D" w:rsidRPr="0059761E" w:rsidSect="00FA7BDD">
      <w:footerReference w:type="default" r:id="rId8"/>
      <w:headerReference w:type="first" r:id="rId9"/>
      <w:footerReference w:type="first" r:id="rId10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A0BD8" w14:textId="77777777" w:rsidR="00427188" w:rsidRDefault="00427188" w:rsidP="00D25944">
      <w:pPr>
        <w:spacing w:after="0" w:line="240" w:lineRule="auto"/>
      </w:pPr>
      <w:r>
        <w:separator/>
      </w:r>
    </w:p>
  </w:endnote>
  <w:endnote w:type="continuationSeparator" w:id="0">
    <w:p w14:paraId="5535F412" w14:textId="77777777" w:rsidR="00427188" w:rsidRDefault="00427188" w:rsidP="00D2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5DA5" w14:textId="0838EEF9" w:rsidR="001568EF" w:rsidRPr="002B25F8" w:rsidRDefault="001568EF" w:rsidP="006F59C5">
    <w:pPr>
      <w:pStyle w:val="Stopka"/>
      <w:jc w:val="right"/>
      <w:rPr>
        <w:sz w:val="18"/>
        <w:szCs w:val="18"/>
      </w:rPr>
    </w:pPr>
    <w:r w:rsidRPr="002B25F8">
      <w:rPr>
        <w:sz w:val="18"/>
        <w:szCs w:val="18"/>
      </w:rPr>
      <w:t>v.1</w:t>
    </w:r>
    <w:r w:rsidR="006F59C5">
      <w:rPr>
        <w:sz w:val="18"/>
        <w:szCs w:val="18"/>
      </w:rPr>
      <w:t xml:space="preserve">                                                                                        </w:t>
    </w:r>
    <w:r w:rsidR="006F59C5" w:rsidRPr="006F59C5">
      <w:rPr>
        <w:sz w:val="18"/>
        <w:szCs w:val="18"/>
      </w:rPr>
      <w:t xml:space="preserve">Strona </w:t>
    </w:r>
    <w:r w:rsidR="006F59C5" w:rsidRPr="006F59C5">
      <w:rPr>
        <w:b/>
        <w:bCs/>
        <w:sz w:val="18"/>
        <w:szCs w:val="18"/>
      </w:rPr>
      <w:fldChar w:fldCharType="begin"/>
    </w:r>
    <w:r w:rsidR="006F59C5" w:rsidRPr="006F59C5">
      <w:rPr>
        <w:b/>
        <w:bCs/>
        <w:sz w:val="18"/>
        <w:szCs w:val="18"/>
      </w:rPr>
      <w:instrText>PAGE  \* Arabic  \* MERGEFORMAT</w:instrText>
    </w:r>
    <w:r w:rsidR="006F59C5" w:rsidRPr="006F59C5">
      <w:rPr>
        <w:b/>
        <w:bCs/>
        <w:sz w:val="18"/>
        <w:szCs w:val="18"/>
      </w:rPr>
      <w:fldChar w:fldCharType="separate"/>
    </w:r>
    <w:r w:rsidR="006F59C5" w:rsidRPr="006F59C5">
      <w:rPr>
        <w:b/>
        <w:bCs/>
        <w:sz w:val="18"/>
        <w:szCs w:val="18"/>
      </w:rPr>
      <w:t>1</w:t>
    </w:r>
    <w:r w:rsidR="006F59C5" w:rsidRPr="006F59C5">
      <w:rPr>
        <w:b/>
        <w:bCs/>
        <w:sz w:val="18"/>
        <w:szCs w:val="18"/>
      </w:rPr>
      <w:fldChar w:fldCharType="end"/>
    </w:r>
    <w:r w:rsidR="006F59C5" w:rsidRPr="006F59C5">
      <w:rPr>
        <w:sz w:val="18"/>
        <w:szCs w:val="18"/>
      </w:rPr>
      <w:t xml:space="preserve"> z </w:t>
    </w:r>
    <w:r w:rsidR="006F59C5" w:rsidRPr="006F59C5">
      <w:rPr>
        <w:b/>
        <w:bCs/>
        <w:sz w:val="18"/>
        <w:szCs w:val="18"/>
      </w:rPr>
      <w:fldChar w:fldCharType="begin"/>
    </w:r>
    <w:r w:rsidR="006F59C5" w:rsidRPr="006F59C5">
      <w:rPr>
        <w:b/>
        <w:bCs/>
        <w:sz w:val="18"/>
        <w:szCs w:val="18"/>
      </w:rPr>
      <w:instrText>NUMPAGES  \* Arabic  \* MERGEFORMAT</w:instrText>
    </w:r>
    <w:r w:rsidR="006F59C5" w:rsidRPr="006F59C5">
      <w:rPr>
        <w:b/>
        <w:bCs/>
        <w:sz w:val="18"/>
        <w:szCs w:val="18"/>
      </w:rPr>
      <w:fldChar w:fldCharType="separate"/>
    </w:r>
    <w:r w:rsidR="006F59C5" w:rsidRPr="006F59C5">
      <w:rPr>
        <w:b/>
        <w:bCs/>
        <w:sz w:val="18"/>
        <w:szCs w:val="18"/>
      </w:rPr>
      <w:t>2</w:t>
    </w:r>
    <w:r w:rsidR="006F59C5" w:rsidRPr="006F59C5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44482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231EE2" w14:textId="1AC6C618" w:rsidR="00A66D68" w:rsidRDefault="00A66D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BCE90F" w14:textId="79B7396E" w:rsidR="006F59C5" w:rsidRPr="006F59C5" w:rsidRDefault="006F59C5" w:rsidP="006F59C5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A72BA" w14:textId="77777777" w:rsidR="00427188" w:rsidRDefault="00427188" w:rsidP="00D25944">
      <w:pPr>
        <w:spacing w:after="0" w:line="240" w:lineRule="auto"/>
      </w:pPr>
      <w:r>
        <w:separator/>
      </w:r>
    </w:p>
  </w:footnote>
  <w:footnote w:type="continuationSeparator" w:id="0">
    <w:p w14:paraId="48BC5EAE" w14:textId="77777777" w:rsidR="00427188" w:rsidRDefault="00427188" w:rsidP="00D25944">
      <w:pPr>
        <w:spacing w:after="0" w:line="240" w:lineRule="auto"/>
      </w:pPr>
      <w:r>
        <w:continuationSeparator/>
      </w:r>
    </w:p>
  </w:footnote>
  <w:footnote w:id="1">
    <w:p w14:paraId="4F1F0B28" w14:textId="6A81CF51" w:rsidR="00CB7B4D" w:rsidRPr="00AA0ACB" w:rsidRDefault="00CB7B4D" w:rsidP="00CB7B4D">
      <w:pPr>
        <w:pStyle w:val="Tekstprzypisudolnego"/>
        <w:spacing w:before="120" w:after="120"/>
        <w:contextualSpacing/>
        <w:rPr>
          <w:rFonts w:cstheme="minorHAnsi"/>
          <w:szCs w:val="16"/>
        </w:rPr>
      </w:pPr>
      <w:r w:rsidRPr="00AA0ACB">
        <w:rPr>
          <w:rStyle w:val="Odwoanieprzypisudolnego"/>
          <w:rFonts w:cstheme="minorHAnsi"/>
          <w:szCs w:val="16"/>
        </w:rPr>
        <w:footnoteRef/>
      </w:r>
      <w:r w:rsidRPr="00AA0ACB">
        <w:rPr>
          <w:rFonts w:cstheme="minorHAnsi"/>
          <w:szCs w:val="16"/>
        </w:rPr>
        <w:t xml:space="preserve"> Jednocześnie, </w:t>
      </w:r>
      <w:r w:rsidRPr="00AA0ACB">
        <w:rPr>
          <w:rFonts w:cstheme="minorHAnsi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AA0ACB">
        <w:rPr>
          <w:rFonts w:cstheme="minorHAnsi"/>
          <w:szCs w:val="16"/>
        </w:rPr>
        <w:t xml:space="preserve">i zasady, na jakich wsparcie to zostało udzielone </w:t>
      </w:r>
      <w:r w:rsidRPr="00AA0ACB">
        <w:rPr>
          <w:rFonts w:cstheme="minorHAnsi"/>
          <w:bCs/>
          <w:szCs w:val="16"/>
        </w:rPr>
        <w:t>oraz włączyć je w zakres monitorowania i uwzględnić w składanych sprawozdaniach</w:t>
      </w:r>
      <w:r w:rsidRPr="00AA0ACB">
        <w:rPr>
          <w:rFonts w:cstheme="minorHAnsi"/>
          <w:szCs w:val="16"/>
        </w:rPr>
        <w:t>.</w:t>
      </w:r>
    </w:p>
  </w:footnote>
  <w:footnote w:id="2">
    <w:p w14:paraId="74FBD8B7" w14:textId="77777777" w:rsidR="00CB7B4D" w:rsidRPr="00AA0ACB" w:rsidRDefault="00CB7B4D" w:rsidP="00CB7B4D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Na gruncie polskiego prawa możliwe są dwie metody dokonywania amortyzacji:</w:t>
      </w:r>
    </w:p>
    <w:p w14:paraId="7CB5E6DA" w14:textId="77777777" w:rsidR="00CB7B4D" w:rsidRPr="00AA0ACB" w:rsidRDefault="00CB7B4D" w:rsidP="00CB7B4D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a. amortyzacja na podstawie ustawy o rachunkowości:</w:t>
      </w:r>
    </w:p>
    <w:p w14:paraId="69663B7E" w14:textId="77777777" w:rsidR="00CB7B4D" w:rsidRPr="00AA0ACB" w:rsidRDefault="00CB7B4D" w:rsidP="00CB7B4D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Przy ustalaniu okresu amortyzacji i rocznej stawki amortyzacyjnej uwzględnia się okres ekonomicznej użyteczności środka trwałego, t</w:t>
      </w:r>
      <w:r>
        <w:rPr>
          <w:rFonts w:asciiTheme="minorHAnsi" w:hAnsiTheme="minorHAnsi" w:cstheme="minorHAnsi"/>
          <w:szCs w:val="16"/>
        </w:rPr>
        <w:t xml:space="preserve">o </w:t>
      </w:r>
      <w:r w:rsidRPr="00AA0ACB">
        <w:rPr>
          <w:rFonts w:asciiTheme="minorHAnsi" w:hAnsiTheme="minorHAnsi" w:cstheme="minorHAnsi"/>
          <w:szCs w:val="16"/>
        </w:rPr>
        <w:t>j</w:t>
      </w:r>
      <w:r>
        <w:rPr>
          <w:rFonts w:asciiTheme="minorHAnsi" w:hAnsiTheme="minorHAnsi" w:cstheme="minorHAnsi"/>
          <w:szCs w:val="16"/>
        </w:rPr>
        <w:t>est</w:t>
      </w:r>
      <w:r w:rsidRPr="00AA0ACB">
        <w:rPr>
          <w:rFonts w:asciiTheme="minorHAnsi" w:hAnsiTheme="minorHAnsi" w:cstheme="minorHAnsi"/>
          <w:szCs w:val="16"/>
        </w:rPr>
        <w:t xml:space="preserve"> czas, w którym według oczekiwań środek trwały będzie użytkowany przez jednostkę i z tego tytułu będzie ona osiągała korzyści ekonomiczne.</w:t>
      </w:r>
    </w:p>
    <w:p w14:paraId="12054C2F" w14:textId="77777777" w:rsidR="00CB7B4D" w:rsidRPr="00AA0ACB" w:rsidRDefault="00CB7B4D" w:rsidP="00CB7B4D">
      <w:pPr>
        <w:pStyle w:val="Tekstprzypisukocowego"/>
        <w:spacing w:before="120" w:after="120" w:line="276" w:lineRule="auto"/>
        <w:ind w:left="142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b. amortyzacja na podstawie ustawy o podatku dochodowym od osób fizycznych i prawnych:</w:t>
      </w:r>
    </w:p>
    <w:p w14:paraId="704860C4" w14:textId="77777777" w:rsidR="00CB7B4D" w:rsidRPr="00AA0ACB" w:rsidRDefault="00CB7B4D" w:rsidP="00CB7B4D">
      <w:pPr>
        <w:pStyle w:val="Tekstprzypisukocowego"/>
        <w:spacing w:before="120" w:after="120" w:line="276" w:lineRule="auto"/>
        <w:ind w:left="426"/>
        <w:contextualSpacing/>
        <w:rPr>
          <w:rFonts w:asciiTheme="minorHAnsi" w:hAnsiTheme="minorHAnsi" w:cstheme="minorHAnsi"/>
          <w:szCs w:val="16"/>
        </w:rPr>
      </w:pPr>
      <w:r w:rsidRPr="00AA0ACB">
        <w:rPr>
          <w:rFonts w:asciiTheme="minorHAnsi" w:hAnsiTheme="minorHAnsi" w:cstheme="minorHAnsi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14:paraId="23B53A2A" w14:textId="77777777" w:rsidR="00CB7B4D" w:rsidRPr="00AA0ACB" w:rsidRDefault="00CB7B4D" w:rsidP="00CB7B4D">
      <w:pPr>
        <w:pStyle w:val="Tekstprzypisukocowego"/>
        <w:spacing w:before="120" w:after="120" w:line="276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AA0ACB">
        <w:rPr>
          <w:rFonts w:asciiTheme="minorHAnsi" w:hAnsiTheme="minorHAnsi" w:cstheme="minorHAnsi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">
    <w:p w14:paraId="7A851394" w14:textId="77777777" w:rsidR="00CB7B4D" w:rsidRPr="00AA0ACB" w:rsidRDefault="00CB7B4D" w:rsidP="00CB7B4D">
      <w:pPr>
        <w:pStyle w:val="Tekstprzypisukocow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A0ACB">
        <w:rPr>
          <w:rStyle w:val="Odwoanieprzypisudolnego"/>
          <w:rFonts w:asciiTheme="minorHAnsi" w:hAnsiTheme="minorHAnsi" w:cstheme="minorHAnsi"/>
          <w:szCs w:val="16"/>
        </w:rPr>
        <w:footnoteRef/>
      </w:r>
      <w:r w:rsidRPr="00AA0ACB">
        <w:rPr>
          <w:rFonts w:asciiTheme="minorHAnsi" w:hAnsiTheme="minorHAnsi" w:cstheme="minorHAnsi"/>
          <w:szCs w:val="16"/>
        </w:rPr>
        <w:t xml:space="preserve"> Monitorowanie sposobu wykorzystania infrastruktury odbywa się co najmniej przez cały okres jej amortyzacji. Oznacza to, że mechanizm monitorowania i wycofania jest niezależny od okresu trwałości Projektu.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1884F" w14:textId="79D4A742" w:rsidR="006F59C5" w:rsidRDefault="006F59C5">
    <w:pPr>
      <w:pStyle w:val="Nagwek"/>
    </w:pPr>
    <w:r w:rsidRPr="006F59C5">
      <w:rPr>
        <w:rFonts w:ascii="Calibri" w:eastAsia="Calibri" w:hAnsi="Calibri" w:cs="Times New Roman"/>
        <w:noProof/>
      </w:rPr>
      <w:drawing>
        <wp:inline distT="0" distB="0" distL="0" distR="0" wp14:anchorId="6E21777B" wp14:editId="558FB291">
          <wp:extent cx="5760720" cy="793115"/>
          <wp:effectExtent l="0" t="0" r="0" b="698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num w:numId="1" w16cid:durableId="926306282">
    <w:abstractNumId w:val="1"/>
  </w:num>
  <w:num w:numId="2" w16cid:durableId="207881216">
    <w:abstractNumId w:val="2"/>
  </w:num>
  <w:num w:numId="3" w16cid:durableId="144607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25"/>
    <w:rsid w:val="00012B9C"/>
    <w:rsid w:val="00024E38"/>
    <w:rsid w:val="00027283"/>
    <w:rsid w:val="0003054A"/>
    <w:rsid w:val="00066118"/>
    <w:rsid w:val="00072DED"/>
    <w:rsid w:val="00096001"/>
    <w:rsid w:val="000C5A54"/>
    <w:rsid w:val="000D222D"/>
    <w:rsid w:val="000E2FB9"/>
    <w:rsid w:val="000F4874"/>
    <w:rsid w:val="000F585C"/>
    <w:rsid w:val="000F6629"/>
    <w:rsid w:val="001002E3"/>
    <w:rsid w:val="00101D6D"/>
    <w:rsid w:val="00111BEC"/>
    <w:rsid w:val="00114361"/>
    <w:rsid w:val="00141BAF"/>
    <w:rsid w:val="001568EF"/>
    <w:rsid w:val="001801D7"/>
    <w:rsid w:val="001E2380"/>
    <w:rsid w:val="001E2C71"/>
    <w:rsid w:val="00207695"/>
    <w:rsid w:val="00227FB9"/>
    <w:rsid w:val="00241FC7"/>
    <w:rsid w:val="00273477"/>
    <w:rsid w:val="00276A4A"/>
    <w:rsid w:val="0029730B"/>
    <w:rsid w:val="002A7F62"/>
    <w:rsid w:val="002A7FF4"/>
    <w:rsid w:val="002B25F8"/>
    <w:rsid w:val="002D01E9"/>
    <w:rsid w:val="00312DBC"/>
    <w:rsid w:val="00325BFD"/>
    <w:rsid w:val="00341217"/>
    <w:rsid w:val="00342EF0"/>
    <w:rsid w:val="0035752A"/>
    <w:rsid w:val="0038057F"/>
    <w:rsid w:val="003B1CC9"/>
    <w:rsid w:val="003B21C1"/>
    <w:rsid w:val="003C1BFA"/>
    <w:rsid w:val="003E18F7"/>
    <w:rsid w:val="003F5894"/>
    <w:rsid w:val="003F7598"/>
    <w:rsid w:val="00412E25"/>
    <w:rsid w:val="00417E15"/>
    <w:rsid w:val="00424025"/>
    <w:rsid w:val="00427188"/>
    <w:rsid w:val="00446B45"/>
    <w:rsid w:val="00447751"/>
    <w:rsid w:val="00460523"/>
    <w:rsid w:val="004701C2"/>
    <w:rsid w:val="00473637"/>
    <w:rsid w:val="00482869"/>
    <w:rsid w:val="00490D2C"/>
    <w:rsid w:val="004A5586"/>
    <w:rsid w:val="004B5506"/>
    <w:rsid w:val="004C1CF2"/>
    <w:rsid w:val="004C2EF2"/>
    <w:rsid w:val="004D3658"/>
    <w:rsid w:val="004D4A3B"/>
    <w:rsid w:val="00525EB8"/>
    <w:rsid w:val="00527DAC"/>
    <w:rsid w:val="005546E9"/>
    <w:rsid w:val="00577143"/>
    <w:rsid w:val="00586D58"/>
    <w:rsid w:val="00590B56"/>
    <w:rsid w:val="0059761E"/>
    <w:rsid w:val="005B3062"/>
    <w:rsid w:val="005C6B74"/>
    <w:rsid w:val="005D094C"/>
    <w:rsid w:val="005F7917"/>
    <w:rsid w:val="006014E2"/>
    <w:rsid w:val="00602208"/>
    <w:rsid w:val="006023FE"/>
    <w:rsid w:val="006152A7"/>
    <w:rsid w:val="006267A7"/>
    <w:rsid w:val="00631DA6"/>
    <w:rsid w:val="00647CE0"/>
    <w:rsid w:val="00652CC9"/>
    <w:rsid w:val="00675D1C"/>
    <w:rsid w:val="00677B85"/>
    <w:rsid w:val="00681FDA"/>
    <w:rsid w:val="006847AE"/>
    <w:rsid w:val="0068578C"/>
    <w:rsid w:val="00694D9E"/>
    <w:rsid w:val="006B03A6"/>
    <w:rsid w:val="006B0AF1"/>
    <w:rsid w:val="006B1A28"/>
    <w:rsid w:val="006F4EED"/>
    <w:rsid w:val="006F4F90"/>
    <w:rsid w:val="006F59C5"/>
    <w:rsid w:val="006F7019"/>
    <w:rsid w:val="00701B4F"/>
    <w:rsid w:val="00706E5C"/>
    <w:rsid w:val="00711689"/>
    <w:rsid w:val="00714ACB"/>
    <w:rsid w:val="00731FB1"/>
    <w:rsid w:val="00736FD3"/>
    <w:rsid w:val="00747184"/>
    <w:rsid w:val="00774D49"/>
    <w:rsid w:val="00786050"/>
    <w:rsid w:val="007863FA"/>
    <w:rsid w:val="007905F7"/>
    <w:rsid w:val="0079795E"/>
    <w:rsid w:val="007A5F57"/>
    <w:rsid w:val="007A7BF5"/>
    <w:rsid w:val="007B498F"/>
    <w:rsid w:val="007D56D2"/>
    <w:rsid w:val="007E5D2E"/>
    <w:rsid w:val="00801B25"/>
    <w:rsid w:val="00804878"/>
    <w:rsid w:val="0080742A"/>
    <w:rsid w:val="00817659"/>
    <w:rsid w:val="00835318"/>
    <w:rsid w:val="0084638D"/>
    <w:rsid w:val="008525FC"/>
    <w:rsid w:val="008737CB"/>
    <w:rsid w:val="0087535D"/>
    <w:rsid w:val="0087662F"/>
    <w:rsid w:val="00890FFC"/>
    <w:rsid w:val="008B582D"/>
    <w:rsid w:val="008C5279"/>
    <w:rsid w:val="008E3E24"/>
    <w:rsid w:val="00905722"/>
    <w:rsid w:val="0092018E"/>
    <w:rsid w:val="00932BB7"/>
    <w:rsid w:val="00961A4D"/>
    <w:rsid w:val="00974DBF"/>
    <w:rsid w:val="00975E93"/>
    <w:rsid w:val="00983931"/>
    <w:rsid w:val="0098495C"/>
    <w:rsid w:val="00987798"/>
    <w:rsid w:val="009A0D47"/>
    <w:rsid w:val="009B4495"/>
    <w:rsid w:val="009C26FA"/>
    <w:rsid w:val="009E73AF"/>
    <w:rsid w:val="009F04F9"/>
    <w:rsid w:val="009F5166"/>
    <w:rsid w:val="009F6A12"/>
    <w:rsid w:val="00A027D7"/>
    <w:rsid w:val="00A26FA7"/>
    <w:rsid w:val="00A434B9"/>
    <w:rsid w:val="00A60CC8"/>
    <w:rsid w:val="00A66D68"/>
    <w:rsid w:val="00A749CB"/>
    <w:rsid w:val="00A77C3F"/>
    <w:rsid w:val="00AA53BC"/>
    <w:rsid w:val="00AC4FC2"/>
    <w:rsid w:val="00AE67BD"/>
    <w:rsid w:val="00B02118"/>
    <w:rsid w:val="00B02C8B"/>
    <w:rsid w:val="00B26B50"/>
    <w:rsid w:val="00B913AC"/>
    <w:rsid w:val="00BA4253"/>
    <w:rsid w:val="00BA6025"/>
    <w:rsid w:val="00BC2DAB"/>
    <w:rsid w:val="00BC4528"/>
    <w:rsid w:val="00BE583C"/>
    <w:rsid w:val="00BE6838"/>
    <w:rsid w:val="00BE6DE2"/>
    <w:rsid w:val="00C01736"/>
    <w:rsid w:val="00C117AA"/>
    <w:rsid w:val="00C1536B"/>
    <w:rsid w:val="00C23D2B"/>
    <w:rsid w:val="00C35228"/>
    <w:rsid w:val="00C52150"/>
    <w:rsid w:val="00C52920"/>
    <w:rsid w:val="00C529C2"/>
    <w:rsid w:val="00C57093"/>
    <w:rsid w:val="00C61B46"/>
    <w:rsid w:val="00C86A91"/>
    <w:rsid w:val="00C878E9"/>
    <w:rsid w:val="00C92695"/>
    <w:rsid w:val="00CA128E"/>
    <w:rsid w:val="00CB4026"/>
    <w:rsid w:val="00CB7B4D"/>
    <w:rsid w:val="00CC67F9"/>
    <w:rsid w:val="00D1114D"/>
    <w:rsid w:val="00D12263"/>
    <w:rsid w:val="00D25944"/>
    <w:rsid w:val="00D25A3B"/>
    <w:rsid w:val="00D44C0B"/>
    <w:rsid w:val="00D568D6"/>
    <w:rsid w:val="00D8071C"/>
    <w:rsid w:val="00DA5FAB"/>
    <w:rsid w:val="00DC5D41"/>
    <w:rsid w:val="00DC6720"/>
    <w:rsid w:val="00DC7C3B"/>
    <w:rsid w:val="00DD0B2A"/>
    <w:rsid w:val="00DD1263"/>
    <w:rsid w:val="00DD40D5"/>
    <w:rsid w:val="00DD4B49"/>
    <w:rsid w:val="00E00457"/>
    <w:rsid w:val="00E10A32"/>
    <w:rsid w:val="00E17EE1"/>
    <w:rsid w:val="00E26B48"/>
    <w:rsid w:val="00E32CE2"/>
    <w:rsid w:val="00E37D8D"/>
    <w:rsid w:val="00E51E2A"/>
    <w:rsid w:val="00E615D4"/>
    <w:rsid w:val="00E65827"/>
    <w:rsid w:val="00E9063A"/>
    <w:rsid w:val="00E9627F"/>
    <w:rsid w:val="00EA2931"/>
    <w:rsid w:val="00EB1419"/>
    <w:rsid w:val="00EC17CB"/>
    <w:rsid w:val="00ED441C"/>
    <w:rsid w:val="00EF7ECE"/>
    <w:rsid w:val="00F026F1"/>
    <w:rsid w:val="00F16186"/>
    <w:rsid w:val="00F17D43"/>
    <w:rsid w:val="00F25B5B"/>
    <w:rsid w:val="00F326D2"/>
    <w:rsid w:val="00F46558"/>
    <w:rsid w:val="00F47E77"/>
    <w:rsid w:val="00F56583"/>
    <w:rsid w:val="00F63921"/>
    <w:rsid w:val="00F737E8"/>
    <w:rsid w:val="00F835E7"/>
    <w:rsid w:val="00FA062E"/>
    <w:rsid w:val="00FA26F9"/>
    <w:rsid w:val="00FA7BDD"/>
    <w:rsid w:val="00FB1990"/>
    <w:rsid w:val="00FC1A7F"/>
    <w:rsid w:val="00FC4BCC"/>
    <w:rsid w:val="00FC602F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D5865"/>
  <w15:docId w15:val="{998CC4E6-9A46-4818-9BE2-661B58E8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D25944"/>
    <w:rPr>
      <w:rFonts w:cs="Times New Roman"/>
      <w:vertAlign w:val="superscript"/>
    </w:rPr>
  </w:style>
  <w:style w:type="table" w:styleId="Tabela-Siatka">
    <w:name w:val="Table Grid"/>
    <w:basedOn w:val="Standardowy"/>
    <w:rsid w:val="00D259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94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qFormat/>
    <w:rsid w:val="00FA06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FA062E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a,Ref,Char"/>
    <w:basedOn w:val="Domylnaczcionkaakapitu"/>
    <w:uiPriority w:val="99"/>
    <w:unhideWhenUsed/>
    <w:qFormat/>
    <w:rsid w:val="00FA062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57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EF"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8EF"/>
  </w:style>
  <w:style w:type="character" w:customStyle="1" w:styleId="Nagwek2Znak">
    <w:name w:val="Nagłówek 2 Znak"/>
    <w:basedOn w:val="Domylnaczcionkaakapitu"/>
    <w:link w:val="Nagwek2"/>
    <w:uiPriority w:val="9"/>
    <w:rsid w:val="004605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25A3B"/>
    <w:pPr>
      <w:spacing w:after="0" w:line="240" w:lineRule="auto"/>
    </w:pPr>
  </w:style>
  <w:style w:type="paragraph" w:customStyle="1" w:styleId="Default">
    <w:name w:val="Default"/>
    <w:rsid w:val="00CB7B4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7B4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B7B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hidden/>
    <w:uiPriority w:val="39"/>
    <w:rsid w:val="00FB1990"/>
    <w:pPr>
      <w:spacing w:after="237" w:line="259" w:lineRule="auto"/>
      <w:ind w:left="133" w:right="64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6D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6D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6D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D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D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93411-97AA-46DC-B689-A05DD501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Partnera/Podmiotu upoważnionego do ponoszenia wydatków</vt:lpstr>
    </vt:vector>
  </TitlesOfParts>
  <Company>Instytucja Zarządzająca Funduszami Europejskimi dla Dolnego Śląska 2021-2027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Partnera/Podmiotu upoważnionego do ponoszenia wydatków</dc:title>
  <dc:subject>kwalifikowalność podatku VAT w projekcie FEDS 2021-2027</dc:subject>
  <dc:creator>JKocz</dc:creator>
  <cp:keywords>VAT,oświadczenie;projekt partnerski;Partner;partnerstwo;Podmiot upoważniony do ponoszenia wydatków</cp:keywords>
  <cp:lastModifiedBy>Wioletta Nowaczyk</cp:lastModifiedBy>
  <cp:revision>18</cp:revision>
  <cp:lastPrinted>2025-01-23T11:33:00Z</cp:lastPrinted>
  <dcterms:created xsi:type="dcterms:W3CDTF">2025-01-24T11:44:00Z</dcterms:created>
  <dcterms:modified xsi:type="dcterms:W3CDTF">2025-02-19T10:46:00Z</dcterms:modified>
  <cp:category>załącznik do umowy o dofinansowanie projektu FEDS 2021-2027</cp:category>
</cp:coreProperties>
</file>