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53D3D" w14:textId="00D0A306" w:rsidR="003D5D90" w:rsidRPr="0009045C" w:rsidRDefault="003D5D90" w:rsidP="006F75D6">
      <w:pPr>
        <w:tabs>
          <w:tab w:val="left" w:pos="700"/>
        </w:tabs>
        <w:jc w:val="both"/>
        <w:rPr>
          <w:rFonts w:asciiTheme="minorHAnsi" w:hAnsiTheme="minorHAnsi"/>
          <w:i/>
          <w:iCs/>
          <w:sz w:val="24"/>
          <w:szCs w:val="24"/>
        </w:rPr>
      </w:pPr>
      <w:r w:rsidRPr="0009045C">
        <w:rPr>
          <w:b/>
          <w:bCs/>
          <w:iCs/>
          <w:sz w:val="24"/>
          <w:szCs w:val="24"/>
        </w:rPr>
        <w:t xml:space="preserve">Załącznik nr </w:t>
      </w:r>
      <w:r w:rsidR="00F715D9" w:rsidRPr="0009045C">
        <w:rPr>
          <w:b/>
          <w:bCs/>
          <w:iCs/>
          <w:sz w:val="24"/>
          <w:szCs w:val="24"/>
        </w:rPr>
        <w:t>9</w:t>
      </w:r>
      <w:r w:rsidRPr="0009045C">
        <w:rPr>
          <w:i/>
          <w:iCs/>
          <w:sz w:val="24"/>
          <w:szCs w:val="24"/>
        </w:rPr>
        <w:t xml:space="preserve"> </w:t>
      </w:r>
      <w:bookmarkStart w:id="0" w:name="_Hlk516662861"/>
      <w:bookmarkEnd w:id="0"/>
      <w:r w:rsidR="00653D7E" w:rsidRPr="0009045C">
        <w:rPr>
          <w:i/>
          <w:iCs/>
          <w:sz w:val="24"/>
          <w:szCs w:val="24"/>
        </w:rPr>
        <w:t>DO UMOWY O DOFINA</w:t>
      </w:r>
      <w:r w:rsidR="008C78F5" w:rsidRPr="0009045C">
        <w:rPr>
          <w:i/>
          <w:iCs/>
          <w:sz w:val="24"/>
          <w:szCs w:val="24"/>
        </w:rPr>
        <w:t>N</w:t>
      </w:r>
      <w:r w:rsidR="00653D7E" w:rsidRPr="0009045C">
        <w:rPr>
          <w:i/>
          <w:iCs/>
          <w:sz w:val="24"/>
          <w:szCs w:val="24"/>
        </w:rPr>
        <w:t xml:space="preserve">SOWANIE PROJEKTU W RAMACH FUNDUSZY EUROPEJSKICH DLA </w:t>
      </w:r>
      <w:r w:rsidR="00653D7E" w:rsidRPr="0009045C">
        <w:rPr>
          <w:i/>
          <w:iCs/>
          <w:spacing w:val="-8"/>
          <w:sz w:val="24"/>
          <w:szCs w:val="24"/>
        </w:rPr>
        <w:t>DOLNEGO ŚLĄSKA 2021-2027 WSPÓŁFINANSOWANEGO ZE ŚRODKÓW EUROPEJSKIEGO FUNDUSZU SPOŁECZNEGO</w:t>
      </w:r>
      <w:r w:rsidR="001C4A1D" w:rsidRPr="0009045C">
        <w:rPr>
          <w:i/>
          <w:iCs/>
          <w:sz w:val="24"/>
          <w:szCs w:val="24"/>
        </w:rPr>
        <w:t xml:space="preserve"> PLUS</w:t>
      </w:r>
      <w:r w:rsidR="00653D7E" w:rsidRPr="0009045C">
        <w:rPr>
          <w:i/>
          <w:iCs/>
          <w:sz w:val="24"/>
          <w:szCs w:val="24"/>
        </w:rPr>
        <w:t>:</w:t>
      </w:r>
    </w:p>
    <w:p w14:paraId="5E78CE43" w14:textId="44FB32D6" w:rsidR="00D70684" w:rsidRDefault="00D70684" w:rsidP="00D70684">
      <w:pPr>
        <w:pStyle w:val="Nagwek3"/>
        <w:spacing w:line="192" w:lineRule="auto"/>
        <w:rPr>
          <w:b/>
        </w:rPr>
      </w:pPr>
    </w:p>
    <w:p w14:paraId="73DA284F" w14:textId="5D37F091" w:rsidR="003D5D90" w:rsidRPr="0009045C" w:rsidRDefault="003D5D90" w:rsidP="003D5D90">
      <w:pPr>
        <w:jc w:val="center"/>
        <w:rPr>
          <w:b/>
          <w:bCs/>
          <w:sz w:val="24"/>
          <w:szCs w:val="24"/>
        </w:rPr>
      </w:pPr>
      <w:r w:rsidRPr="0009045C">
        <w:rPr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09045C" w:rsidRDefault="008A0C15" w:rsidP="0009045C">
      <w:pPr>
        <w:rPr>
          <w:sz w:val="24"/>
          <w:szCs w:val="24"/>
        </w:rPr>
      </w:pPr>
    </w:p>
    <w:p w14:paraId="5F24B33C" w14:textId="27F1366F" w:rsidR="00D70684" w:rsidRPr="0009045C" w:rsidRDefault="00D70684" w:rsidP="0009045C">
      <w:pPr>
        <w:rPr>
          <w:rFonts w:asciiTheme="minorHAnsi" w:hAnsiTheme="minorHAnsi" w:cstheme="minorHAnsi"/>
          <w:bCs/>
          <w:sz w:val="24"/>
          <w:szCs w:val="24"/>
        </w:rPr>
      </w:pPr>
      <w:r w:rsidRPr="0009045C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09045C">
        <w:rPr>
          <w:rStyle w:val="Odwoanieprzypisudolnego"/>
          <w:bCs/>
          <w:sz w:val="24"/>
          <w:szCs w:val="24"/>
        </w:rPr>
        <w:footnoteReference w:id="1"/>
      </w:r>
      <w:r w:rsidRPr="0009045C">
        <w:rPr>
          <w:rFonts w:asciiTheme="minorHAnsi" w:hAnsiTheme="minorHAnsi" w:cstheme="minorHAnsi"/>
          <w:bCs/>
          <w:sz w:val="24"/>
          <w:szCs w:val="24"/>
        </w:rPr>
        <w:t xml:space="preserve">, należy </w:t>
      </w:r>
      <w:r w:rsidR="00D825C7">
        <w:rPr>
          <w:rFonts w:asciiTheme="minorHAnsi" w:hAnsiTheme="minorHAnsi" w:cstheme="minorHAnsi"/>
          <w:bCs/>
          <w:sz w:val="24"/>
          <w:szCs w:val="24"/>
        </w:rPr>
        <w:t>załączyć</w:t>
      </w:r>
      <w:r w:rsidR="00D825C7" w:rsidRPr="0009045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9045C">
        <w:rPr>
          <w:rFonts w:asciiTheme="minorHAnsi" w:hAnsiTheme="minorHAnsi" w:cstheme="minorHAnsi"/>
          <w:bCs/>
          <w:sz w:val="24"/>
          <w:szCs w:val="24"/>
        </w:rPr>
        <w:t>do wniosku o płatność w wersji elektronicznej</w:t>
      </w:r>
      <w:r w:rsidR="00C32CA8" w:rsidRPr="0009045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9045C">
        <w:rPr>
          <w:rFonts w:asciiTheme="minorHAnsi" w:hAnsiTheme="minorHAnsi" w:cstheme="minorHAnsi"/>
          <w:bCs/>
          <w:sz w:val="24"/>
          <w:szCs w:val="24"/>
        </w:rPr>
        <w:t>w postaci skanów</w:t>
      </w:r>
      <w:r w:rsidR="00D825C7">
        <w:rPr>
          <w:rFonts w:asciiTheme="minorHAnsi" w:hAnsiTheme="minorHAnsi" w:cstheme="minorHAnsi"/>
          <w:bCs/>
          <w:sz w:val="24"/>
          <w:szCs w:val="24"/>
        </w:rPr>
        <w:t xml:space="preserve"> (lub ich oryginałów w wersji elektronicznej)</w:t>
      </w:r>
      <w:r w:rsidRPr="0009045C">
        <w:rPr>
          <w:rFonts w:asciiTheme="minorHAnsi" w:hAnsiTheme="minorHAnsi" w:cstheme="minorHAnsi"/>
          <w:bCs/>
          <w:sz w:val="24"/>
          <w:szCs w:val="24"/>
        </w:rPr>
        <w:t>.</w:t>
      </w:r>
    </w:p>
    <w:p w14:paraId="1DFCF86A" w14:textId="77777777" w:rsidR="00D70684" w:rsidRDefault="00D70684" w:rsidP="0009045C">
      <w:pPr>
        <w:rPr>
          <w:rFonts w:asciiTheme="minorHAnsi" w:hAnsiTheme="minorHAnsi" w:cstheme="minorHAnsi"/>
          <w:bCs/>
        </w:rPr>
      </w:pPr>
    </w:p>
    <w:p w14:paraId="52BB16FA" w14:textId="2FEF95A7" w:rsidR="006C6AEC" w:rsidRDefault="006C6AEC" w:rsidP="0009045C">
      <w:pPr>
        <w:rPr>
          <w:rFonts w:asciiTheme="minorHAnsi" w:hAnsiTheme="minorHAnsi" w:cstheme="minorHAnsi"/>
          <w:bCs/>
          <w:color w:val="000000" w:themeColor="text1"/>
        </w:rPr>
      </w:pPr>
    </w:p>
    <w:p w14:paraId="00FA6B4D" w14:textId="5E6EC003" w:rsidR="00D70684" w:rsidRPr="0009045C" w:rsidRDefault="00E42520" w:rsidP="0009045C">
      <w:pPr>
        <w:spacing w:line="271" w:lineRule="auto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Z</w:t>
      </w:r>
      <w:r w:rsidR="009B6E81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godnie z </w:t>
      </w:r>
      <w:r w:rsidR="009B6E81"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Metodyką doboru próby dokumentów do kontroli </w:t>
      </w:r>
      <w:r w:rsidR="00234222"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>wniosku o</w:t>
      </w:r>
      <w:r w:rsidR="009B6E81"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 </w:t>
      </w:r>
      <w:r w:rsidR="00234222"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płatność, </w:t>
      </w:r>
      <w:r w:rsidR="00234222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Instytucja</w:t>
      </w:r>
      <w:r w:rsidR="009B6E81" w:rsidRPr="000904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41B00" w:rsidRPr="000904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poinformuje 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Państw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a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poprzez system 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CST2021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po złożeniu wniosku o płatność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o wyborze dokumentów do próby.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</w:p>
    <w:p w14:paraId="21F31B54" w14:textId="47F1986D" w:rsidR="00D70684" w:rsidRPr="0009045C" w:rsidRDefault="00D825C7" w:rsidP="0009045C">
      <w:pPr>
        <w:spacing w:line="271" w:lineRule="auto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W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przypadku 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objęcia wsparciem w ramach projektu 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uczestników 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indywidualnych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, </w:t>
      </w:r>
      <w:r w:rsidR="00741B00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Instytucja Pośrednicząca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wyznaczy do kontroli dokumentację konkretnych 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osób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, których dane 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wprowadzili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Państwo do </w:t>
      </w:r>
      <w:r w:rsidR="00507368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właściwego systemu monitorowania 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uczestników</w:t>
      </w:r>
      <w:r w:rsidR="00507368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</w:p>
    <w:p w14:paraId="7C63A14E" w14:textId="66CCDCEA" w:rsidR="00D70684" w:rsidRPr="0009045C" w:rsidRDefault="00D70684" w:rsidP="0009045C">
      <w:pPr>
        <w:spacing w:before="120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09045C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 Projekcie.</w:t>
      </w:r>
      <w:r w:rsidR="008B0605" w:rsidRPr="0009045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9045C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09045C">
        <w:rPr>
          <w:rFonts w:asciiTheme="minorHAnsi" w:hAnsiTheme="minorHAnsi" w:cstheme="minorHAnsi"/>
          <w:bCs/>
          <w:sz w:val="24"/>
          <w:szCs w:val="24"/>
        </w:rPr>
        <w:t> </w:t>
      </w:r>
      <w:r w:rsidRPr="0009045C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 jednym dokumencie.</w:t>
      </w:r>
    </w:p>
    <w:p w14:paraId="15302AF5" w14:textId="51ED90C7" w:rsidR="00D70684" w:rsidRPr="0009045C" w:rsidRDefault="00D70684" w:rsidP="0009045C">
      <w:pPr>
        <w:spacing w:before="240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09045C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09045C" w:rsidRDefault="00D70684" w:rsidP="0009045C">
      <w:pPr>
        <w:spacing w:line="271" w:lineRule="auto"/>
        <w:rPr>
          <w:rFonts w:asciiTheme="minorHAnsi" w:hAnsiTheme="minorHAnsi" w:cstheme="minorHAnsi"/>
          <w:sz w:val="24"/>
          <w:szCs w:val="24"/>
        </w:rPr>
      </w:pPr>
      <w:r w:rsidRPr="0009045C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09045C">
        <w:rPr>
          <w:rFonts w:asciiTheme="minorHAnsi" w:hAnsiTheme="minorHAnsi" w:cstheme="minorHAnsi"/>
          <w:sz w:val="24"/>
          <w:szCs w:val="24"/>
        </w:rPr>
        <w:t> </w:t>
      </w:r>
      <w:r w:rsidRPr="0009045C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09045C">
        <w:rPr>
          <w:rFonts w:asciiTheme="minorHAnsi" w:hAnsiTheme="minorHAnsi" w:cstheme="minorHAnsi"/>
          <w:sz w:val="24"/>
          <w:szCs w:val="24"/>
        </w:rPr>
        <w:t>wnioskowania o</w:t>
      </w:r>
      <w:r w:rsidRPr="0009045C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1587342E" w14:textId="4442F7AE" w:rsidR="00D70684" w:rsidRPr="0009045C" w:rsidRDefault="00D70684" w:rsidP="0009045C">
      <w:pPr>
        <w:spacing w:before="240" w:line="271" w:lineRule="auto"/>
        <w:rPr>
          <w:rFonts w:asciiTheme="minorHAnsi" w:hAnsiTheme="minorHAnsi" w:cstheme="minorHAnsi"/>
          <w:sz w:val="24"/>
          <w:szCs w:val="24"/>
        </w:rPr>
      </w:pPr>
      <w:r w:rsidRPr="0009045C">
        <w:rPr>
          <w:rFonts w:asciiTheme="minorHAnsi" w:hAnsiTheme="minorHAnsi" w:cstheme="minorHAnsi"/>
          <w:sz w:val="24"/>
          <w:szCs w:val="24"/>
        </w:rPr>
        <w:t xml:space="preserve">Każdy z załączników przedkłada się do </w:t>
      </w:r>
      <w:r w:rsidR="00741B00" w:rsidRPr="0009045C">
        <w:rPr>
          <w:rFonts w:asciiTheme="minorHAnsi" w:hAnsiTheme="minorHAnsi" w:cstheme="minorHAnsi"/>
          <w:sz w:val="24"/>
          <w:szCs w:val="24"/>
        </w:rPr>
        <w:t>Instytucji Pośredniczącej</w:t>
      </w:r>
      <w:r w:rsidRPr="0009045C">
        <w:rPr>
          <w:rFonts w:asciiTheme="minorHAnsi" w:hAnsiTheme="minorHAnsi" w:cstheme="minorHAnsi"/>
          <w:sz w:val="24"/>
          <w:szCs w:val="24"/>
        </w:rPr>
        <w:t xml:space="preserve"> tylko raz, </w:t>
      </w:r>
      <w:r w:rsidR="00234222" w:rsidRPr="0009045C">
        <w:rPr>
          <w:rFonts w:asciiTheme="minorHAnsi" w:hAnsiTheme="minorHAnsi" w:cstheme="minorHAnsi"/>
          <w:sz w:val="24"/>
          <w:szCs w:val="24"/>
        </w:rPr>
        <w:t>tj.,</w:t>
      </w:r>
      <w:r w:rsidRPr="0009045C">
        <w:rPr>
          <w:rFonts w:asciiTheme="minorHAnsi" w:hAnsiTheme="minorHAnsi" w:cstheme="minorHAnsi"/>
          <w:sz w:val="24"/>
          <w:szCs w:val="24"/>
        </w:rPr>
        <w:t xml:space="preserve"> jeśli przedłożono do rozliczenia </w:t>
      </w:r>
      <w:r w:rsidRPr="0009045C">
        <w:rPr>
          <w:rFonts w:asciiTheme="minorHAnsi" w:hAnsiTheme="minorHAnsi" w:cstheme="minorHAnsi"/>
          <w:spacing w:val="-4"/>
          <w:sz w:val="24"/>
          <w:szCs w:val="24"/>
        </w:rPr>
        <w:t>wydatki z danej faktury w kilku wnioskach o płatność – nie jest wymagane, by z każdym wnioskiem o płatność</w:t>
      </w:r>
      <w:r w:rsidRPr="0009045C">
        <w:rPr>
          <w:rFonts w:asciiTheme="minorHAnsi" w:hAnsiTheme="minorHAnsi" w:cstheme="minorHAnsi"/>
          <w:sz w:val="24"/>
          <w:szCs w:val="24"/>
        </w:rPr>
        <w:t xml:space="preserve"> była ona </w:t>
      </w:r>
      <w:r w:rsidR="00D93598" w:rsidRPr="0009045C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09045C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09045C" w:rsidRDefault="00D70684" w:rsidP="0009045C">
      <w:pPr>
        <w:spacing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09045C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09045C">
        <w:rPr>
          <w:rFonts w:asciiTheme="minorHAnsi" w:hAnsiTheme="minorHAnsi" w:cstheme="minorHAnsi"/>
          <w:sz w:val="24"/>
          <w:szCs w:val="24"/>
        </w:rPr>
        <w:t>gdy</w:t>
      </w:r>
      <w:r w:rsidR="00234222" w:rsidRPr="0009045C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09045C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w uwagach do danego wydatku wskazać, w którym wniosku o płatność dany dokument został załączony oraz jakiej pozycji zestawienia wydatków </w:t>
      </w:r>
      <w:r w:rsidR="00D93598" w:rsidRPr="0009045C">
        <w:rPr>
          <w:rFonts w:asciiTheme="minorHAnsi" w:hAnsiTheme="minorHAnsi" w:cstheme="minorHAnsi"/>
          <w:bCs/>
          <w:sz w:val="24"/>
          <w:szCs w:val="24"/>
        </w:rPr>
        <w:t>dotyczy</w:t>
      </w:r>
      <w:r w:rsidRPr="0009045C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3C0D845C" w14:textId="3D71A6FF" w:rsidR="00D70684" w:rsidRPr="0009045C" w:rsidRDefault="00D70684" w:rsidP="0009045C">
      <w:pPr>
        <w:spacing w:before="240" w:line="271" w:lineRule="auto"/>
        <w:rPr>
          <w:rFonts w:asciiTheme="minorHAnsi" w:hAnsiTheme="minorHAnsi" w:cstheme="minorHAnsi"/>
          <w:sz w:val="24"/>
          <w:szCs w:val="24"/>
        </w:rPr>
      </w:pPr>
      <w:r w:rsidRPr="0009045C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09045C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09045C">
        <w:rPr>
          <w:rFonts w:asciiTheme="minorHAnsi" w:hAnsiTheme="minorHAnsi" w:cstheme="minorHAnsi"/>
          <w:sz w:val="24"/>
          <w:szCs w:val="24"/>
        </w:rPr>
        <w:t>” wniosku o płatność musi być odpowiednio opisany w celu przyporządkowania wydatków do konkretnego projektu oraz zapewnienia przejrzystej ścieżki audytu w zakresie prawidłowości wydatkowania środków.</w:t>
      </w:r>
    </w:p>
    <w:p w14:paraId="4D58C113" w14:textId="44DD4094" w:rsidR="00CE0567" w:rsidRPr="0009045C" w:rsidRDefault="00A95704" w:rsidP="0009045C">
      <w:pPr>
        <w:spacing w:before="240" w:after="120" w:line="271" w:lineRule="auto"/>
        <w:rPr>
          <w:rFonts w:eastAsiaTheme="majorEastAsia" w:cstheme="majorBidi"/>
          <w:b/>
          <w:bCs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Elementy opisu dokumentu finansowo-księgowego</w:t>
      </w:r>
      <w:r w:rsidR="00CE0567" w:rsidRPr="0009045C">
        <w:rPr>
          <w:rFonts w:eastAsiaTheme="majorEastAsia" w:cstheme="majorBidi"/>
          <w:b/>
          <w:bCs/>
          <w:sz w:val="24"/>
          <w:szCs w:val="24"/>
        </w:rPr>
        <w:t>:</w:t>
      </w:r>
    </w:p>
    <w:p w14:paraId="60F3DE20" w14:textId="594DAD5F" w:rsidR="00CE0567" w:rsidRPr="0009045C" w:rsidRDefault="00CE0567" w:rsidP="0009045C">
      <w:pPr>
        <w:numPr>
          <w:ilvl w:val="0"/>
          <w:numId w:val="19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adnotacj</w:t>
      </w:r>
      <w:r w:rsidR="00A95704" w:rsidRPr="0009045C">
        <w:rPr>
          <w:rFonts w:eastAsiaTheme="majorEastAsia" w:cstheme="majorBidi"/>
          <w:b/>
          <w:bCs/>
          <w:sz w:val="24"/>
          <w:szCs w:val="24"/>
        </w:rPr>
        <w:t>a</w:t>
      </w:r>
      <w:r w:rsidRPr="0009045C">
        <w:rPr>
          <w:rFonts w:eastAsiaTheme="majorEastAsia" w:cstheme="majorBid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09045C" w:rsidRDefault="00CE0567" w:rsidP="0009045C">
      <w:pPr>
        <w:numPr>
          <w:ilvl w:val="1"/>
          <w:numId w:val="22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>„Dofinansowano przez Unię Europejską w ramach projektu nr FEDS-………</w:t>
      </w:r>
      <w:r w:rsidR="00234222" w:rsidRPr="0009045C">
        <w:rPr>
          <w:rFonts w:eastAsiaTheme="majorEastAsia" w:cstheme="majorBidi"/>
          <w:sz w:val="24"/>
          <w:szCs w:val="24"/>
        </w:rPr>
        <w:t xml:space="preserve"> . Kwota</w:t>
      </w:r>
      <w:r w:rsidRPr="0009045C">
        <w:rPr>
          <w:rFonts w:eastAsiaTheme="majorEastAsia" w:cstheme="majorBidi"/>
          <w:sz w:val="24"/>
          <w:szCs w:val="24"/>
        </w:rPr>
        <w:t xml:space="preserve"> wydatków kwalifikowalnych wynosi………</w:t>
      </w:r>
      <w:r w:rsidR="00234222" w:rsidRPr="0009045C">
        <w:rPr>
          <w:rFonts w:eastAsiaTheme="majorEastAsia" w:cstheme="majorBidi"/>
          <w:sz w:val="24"/>
          <w:szCs w:val="24"/>
        </w:rPr>
        <w:t xml:space="preserve"> </w:t>
      </w:r>
      <w:r w:rsidRPr="0009045C">
        <w:rPr>
          <w:rFonts w:eastAsiaTheme="majorEastAsia" w:cstheme="majorBidi"/>
          <w:sz w:val="24"/>
          <w:szCs w:val="24"/>
        </w:rPr>
        <w:t>(w tym VAT …)” lub</w:t>
      </w:r>
    </w:p>
    <w:p w14:paraId="5012E13E" w14:textId="3DC75E0A" w:rsidR="00CE0567" w:rsidRPr="0009045C" w:rsidRDefault="00CE0567" w:rsidP="0009045C">
      <w:pPr>
        <w:numPr>
          <w:ilvl w:val="1"/>
          <w:numId w:val="22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lastRenderedPageBreak/>
        <w:t>„Dofinansowano przez Unię Europejską i ze środków budżetu państwa w ramach projektu nr FEDS-………</w:t>
      </w:r>
      <w:r w:rsidR="00234222" w:rsidRPr="0009045C">
        <w:rPr>
          <w:rFonts w:eastAsiaTheme="majorEastAsia" w:cstheme="majorBidi"/>
          <w:sz w:val="24"/>
          <w:szCs w:val="24"/>
        </w:rPr>
        <w:t>……</w:t>
      </w:r>
      <w:r w:rsidRPr="0009045C">
        <w:rPr>
          <w:rFonts w:eastAsiaTheme="majorEastAsia" w:cstheme="majorBidi"/>
          <w:sz w:val="24"/>
          <w:szCs w:val="24"/>
        </w:rPr>
        <w:t>… Kwota wydatków kwalifikowalnych wynosi……… (w tym VAT …)”;</w:t>
      </w:r>
    </w:p>
    <w:p w14:paraId="7F57E1A9" w14:textId="01993A7F" w:rsidR="00CE0567" w:rsidRPr="0009045C" w:rsidRDefault="00CE0567" w:rsidP="0009045C">
      <w:pPr>
        <w:numPr>
          <w:ilvl w:val="0"/>
          <w:numId w:val="19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numer i dat</w:t>
      </w:r>
      <w:r w:rsidR="00A95704" w:rsidRPr="0009045C">
        <w:rPr>
          <w:rFonts w:eastAsiaTheme="majorEastAsia" w:cstheme="majorBidi"/>
          <w:b/>
          <w:bCs/>
          <w:sz w:val="24"/>
          <w:szCs w:val="24"/>
        </w:rPr>
        <w:t>a</w:t>
      </w:r>
      <w:r w:rsidRPr="0009045C">
        <w:rPr>
          <w:rFonts w:eastAsiaTheme="majorEastAsia" w:cstheme="majorBidi"/>
          <w:b/>
          <w:bCs/>
          <w:sz w:val="24"/>
          <w:szCs w:val="24"/>
        </w:rPr>
        <w:t xml:space="preserve"> protokołu odbioru</w:t>
      </w:r>
      <w:r w:rsidRPr="0009045C">
        <w:rPr>
          <w:rFonts w:eastAsiaTheme="majorEastAsia" w:cstheme="majorBidi"/>
          <w:sz w:val="24"/>
          <w:szCs w:val="24"/>
        </w:rPr>
        <w:t xml:space="preserve"> lub innego dokumentu, na podstawie którego odebrano roboty/</w:t>
      </w:r>
      <w:r w:rsidR="00AF00C2" w:rsidRPr="0009045C">
        <w:rPr>
          <w:rFonts w:eastAsiaTheme="majorEastAsia" w:cstheme="majorBidi"/>
          <w:sz w:val="24"/>
          <w:szCs w:val="24"/>
        </w:rPr>
        <w:t xml:space="preserve"> </w:t>
      </w:r>
      <w:r w:rsidRPr="0009045C">
        <w:rPr>
          <w:rFonts w:eastAsiaTheme="majorEastAsia" w:cstheme="majorBidi"/>
          <w:sz w:val="24"/>
          <w:szCs w:val="24"/>
        </w:rPr>
        <w:t>dostawy/</w:t>
      </w:r>
      <w:r w:rsidR="00AF00C2" w:rsidRPr="0009045C">
        <w:rPr>
          <w:rFonts w:eastAsiaTheme="majorEastAsia" w:cstheme="majorBidi"/>
          <w:sz w:val="24"/>
          <w:szCs w:val="24"/>
        </w:rPr>
        <w:t xml:space="preserve"> </w:t>
      </w:r>
      <w:r w:rsidRPr="0009045C">
        <w:rPr>
          <w:rFonts w:eastAsiaTheme="majorEastAsia" w:cstheme="majorBidi"/>
          <w:sz w:val="24"/>
          <w:szCs w:val="24"/>
        </w:rPr>
        <w:t>usługi. Jeżeli nie sporządzono żadnego dokumentu - należy zamieścić numer i datę umowy z wykonawcą</w:t>
      </w:r>
      <w:r w:rsidR="0055224C" w:rsidRPr="0009045C">
        <w:rPr>
          <w:rFonts w:eastAsiaTheme="majorEastAsia" w:cstheme="majorBidi"/>
          <w:sz w:val="24"/>
          <w:szCs w:val="24"/>
        </w:rPr>
        <w:t xml:space="preserve"> </w:t>
      </w:r>
      <w:r w:rsidRPr="0009045C">
        <w:rPr>
          <w:rFonts w:eastAsiaTheme="majorEastAsia" w:cstheme="majorBidi"/>
          <w:sz w:val="24"/>
          <w:szCs w:val="24"/>
        </w:rPr>
        <w:t>zamówienia/zlecenia;</w:t>
      </w:r>
    </w:p>
    <w:p w14:paraId="61B2CF9B" w14:textId="054F805B" w:rsidR="00CE0567" w:rsidRPr="0009045C" w:rsidRDefault="00330294" w:rsidP="0009045C">
      <w:pPr>
        <w:numPr>
          <w:ilvl w:val="0"/>
          <w:numId w:val="19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informacja</w:t>
      </w:r>
      <w:r w:rsidR="00CE0567" w:rsidRPr="0009045C">
        <w:rPr>
          <w:rFonts w:eastAsiaTheme="majorEastAsia" w:cstheme="majorBid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09045C">
        <w:rPr>
          <w:rStyle w:val="Odwoanieprzypisudolnego"/>
          <w:rFonts w:eastAsiaTheme="majorEastAsia" w:cstheme="majorBidi"/>
          <w:b/>
          <w:bCs/>
          <w:sz w:val="24"/>
          <w:szCs w:val="24"/>
        </w:rPr>
        <w:footnoteReference w:id="2"/>
      </w:r>
      <w:r w:rsidR="00CE0567" w:rsidRPr="0009045C">
        <w:rPr>
          <w:rFonts w:eastAsiaTheme="majorEastAsia" w:cstheme="majorBidi"/>
          <w:b/>
          <w:bCs/>
          <w:sz w:val="24"/>
          <w:szCs w:val="24"/>
        </w:rPr>
        <w:t xml:space="preserve"> </w:t>
      </w:r>
      <w:r w:rsidR="00CE0567" w:rsidRPr="0009045C">
        <w:rPr>
          <w:rFonts w:eastAsiaTheme="majorEastAsia" w:cstheme="majorBid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09045C">
        <w:rPr>
          <w:rFonts w:eastAsiaTheme="majorEastAsia" w:cstheme="majorBidi"/>
          <w:sz w:val="24"/>
          <w:szCs w:val="24"/>
        </w:rPr>
        <w:t xml:space="preserve">, </w:t>
      </w:r>
      <w:r w:rsidR="00CE0567" w:rsidRPr="0009045C">
        <w:rPr>
          <w:rFonts w:eastAsiaTheme="majorEastAsia" w:cstheme="majorBidi"/>
          <w:sz w:val="24"/>
          <w:szCs w:val="24"/>
        </w:rPr>
        <w:t>np.:</w:t>
      </w:r>
    </w:p>
    <w:p w14:paraId="23D34AF9" w14:textId="77777777" w:rsidR="00CE0567" w:rsidRPr="0009045C" w:rsidRDefault="00CE0567" w:rsidP="0009045C">
      <w:pPr>
        <w:spacing w:before="120" w:after="120" w:line="271" w:lineRule="auto"/>
        <w:ind w:left="1355" w:hanging="929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09045C" w:rsidRDefault="00CE0567" w:rsidP="0009045C">
      <w:pPr>
        <w:spacing w:before="120" w:after="120" w:line="271" w:lineRule="auto"/>
        <w:ind w:left="1355" w:hanging="929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09045C" w:rsidRDefault="00CE0567" w:rsidP="0009045C">
      <w:pPr>
        <w:numPr>
          <w:ilvl w:val="0"/>
          <w:numId w:val="19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numer księgowego/ewidencyjnego</w:t>
      </w:r>
      <w:r w:rsidR="000B4561" w:rsidRPr="0009045C">
        <w:rPr>
          <w:rFonts w:eastAsiaTheme="majorEastAsia" w:cstheme="majorBidi"/>
          <w:b/>
          <w:bCs/>
          <w:sz w:val="24"/>
          <w:szCs w:val="24"/>
        </w:rPr>
        <w:t>,</w:t>
      </w:r>
      <w:r w:rsidRPr="0009045C">
        <w:rPr>
          <w:rFonts w:eastAsiaTheme="majorEastAsia" w:cstheme="majorBidi"/>
          <w:b/>
          <w:bCs/>
          <w:sz w:val="24"/>
          <w:szCs w:val="24"/>
        </w:rPr>
        <w:t xml:space="preserve"> pod którym zarejestrowano dokument</w:t>
      </w:r>
      <w:r w:rsidRPr="0009045C">
        <w:rPr>
          <w:rFonts w:eastAsiaTheme="majorEastAsia" w:cstheme="majorBidi"/>
          <w:sz w:val="24"/>
          <w:szCs w:val="24"/>
        </w:rPr>
        <w:t>;</w:t>
      </w:r>
    </w:p>
    <w:p w14:paraId="3B3C968A" w14:textId="1613D6E5" w:rsidR="00CE0567" w:rsidRPr="0009045C" w:rsidRDefault="00CE0567" w:rsidP="0009045C">
      <w:pPr>
        <w:numPr>
          <w:ilvl w:val="0"/>
          <w:numId w:val="19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informacj</w:t>
      </w:r>
      <w:r w:rsidR="00330294" w:rsidRPr="0009045C">
        <w:rPr>
          <w:rFonts w:eastAsiaTheme="majorEastAsia" w:cstheme="majorBidi"/>
          <w:b/>
          <w:bCs/>
          <w:sz w:val="24"/>
          <w:szCs w:val="24"/>
        </w:rPr>
        <w:t>a</w:t>
      </w:r>
      <w:r w:rsidRPr="0009045C">
        <w:rPr>
          <w:rFonts w:eastAsiaTheme="majorEastAsia" w:cstheme="majorBidi"/>
          <w:b/>
          <w:bCs/>
          <w:sz w:val="24"/>
          <w:szCs w:val="24"/>
        </w:rPr>
        <w:t xml:space="preserve"> odnosząc</w:t>
      </w:r>
      <w:r w:rsidR="00330294" w:rsidRPr="0009045C">
        <w:rPr>
          <w:rFonts w:eastAsiaTheme="majorEastAsia" w:cstheme="majorBidi"/>
          <w:b/>
          <w:bCs/>
          <w:sz w:val="24"/>
          <w:szCs w:val="24"/>
        </w:rPr>
        <w:t>a</w:t>
      </w:r>
      <w:r w:rsidRPr="0009045C">
        <w:rPr>
          <w:rFonts w:eastAsiaTheme="majorEastAsia" w:cstheme="majorBidi"/>
          <w:b/>
          <w:bCs/>
          <w:sz w:val="24"/>
          <w:szCs w:val="24"/>
        </w:rPr>
        <w:t xml:space="preserve"> się do prawidłowości dokumentu księgowego</w:t>
      </w:r>
      <w:r w:rsidRPr="0009045C">
        <w:rPr>
          <w:rFonts w:eastAsiaTheme="majorEastAsia" w:cstheme="majorBidi"/>
          <w:sz w:val="24"/>
          <w:szCs w:val="24"/>
        </w:rPr>
        <w:t>, tj.:</w:t>
      </w:r>
    </w:p>
    <w:p w14:paraId="1E680F6A" w14:textId="5FC02760" w:rsidR="00CE0567" w:rsidRPr="0009045C" w:rsidRDefault="00CE0567" w:rsidP="0009045C">
      <w:pPr>
        <w:numPr>
          <w:ilvl w:val="0"/>
          <w:numId w:val="20"/>
        </w:numPr>
        <w:spacing w:before="120" w:after="120" w:line="271" w:lineRule="auto"/>
        <w:ind w:left="709" w:hanging="283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09045C">
        <w:rPr>
          <w:rFonts w:eastAsiaTheme="majorEastAsia" w:cstheme="majorBid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 z podpisem osoby odpowiedzialnej za te wskazania;</w:t>
      </w:r>
    </w:p>
    <w:p w14:paraId="192422D6" w14:textId="77777777" w:rsidR="00CE0567" w:rsidRPr="0009045C" w:rsidRDefault="00CE0567" w:rsidP="0009045C">
      <w:pPr>
        <w:numPr>
          <w:ilvl w:val="0"/>
          <w:numId w:val="20"/>
        </w:numPr>
        <w:spacing w:before="120" w:after="120" w:line="271" w:lineRule="auto"/>
        <w:ind w:left="709" w:hanging="283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w pozostałych przypadkach</w:t>
      </w:r>
      <w:r w:rsidRPr="0009045C">
        <w:rPr>
          <w:rFonts w:eastAsiaTheme="majorEastAsia" w:cstheme="majorBid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09045C" w:rsidRDefault="00CE0567" w:rsidP="0009045C">
      <w:pPr>
        <w:numPr>
          <w:ilvl w:val="0"/>
          <w:numId w:val="19"/>
        </w:numPr>
        <w:spacing w:before="120" w:after="120" w:line="271" w:lineRule="auto"/>
        <w:ind w:left="567" w:hanging="425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przeliczenia dowodu księgowego opiewającego na waluty obce na walutę polską</w:t>
      </w:r>
      <w:r w:rsidRPr="0009045C">
        <w:rPr>
          <w:rFonts w:eastAsiaTheme="majorEastAsia" w:cstheme="majorBid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09045C">
        <w:rPr>
          <w:rFonts w:eastAsiaTheme="majorEastAsia" w:cstheme="majorBidi"/>
          <w:sz w:val="24"/>
          <w:szCs w:val="24"/>
        </w:rPr>
        <w:t>.</w:t>
      </w:r>
    </w:p>
    <w:p w14:paraId="529F46BC" w14:textId="4005DE3F" w:rsidR="00CE0567" w:rsidRPr="0009045C" w:rsidRDefault="00330294" w:rsidP="0009045C">
      <w:pPr>
        <w:spacing w:before="360" w:after="120" w:line="271" w:lineRule="auto"/>
        <w:ind w:left="142"/>
        <w:rPr>
          <w:rFonts w:eastAsiaTheme="majorEastAsia" w:cstheme="majorBidi"/>
          <w:sz w:val="24"/>
          <w:szCs w:val="24"/>
          <w:u w:val="single"/>
        </w:rPr>
      </w:pPr>
      <w:r w:rsidRPr="0009045C">
        <w:rPr>
          <w:rFonts w:eastAsiaTheme="majorEastAsia" w:cstheme="majorBidi"/>
          <w:sz w:val="24"/>
          <w:szCs w:val="24"/>
          <w:u w:val="single"/>
        </w:rPr>
        <w:t>W</w:t>
      </w:r>
      <w:r w:rsidR="00CE0567" w:rsidRPr="0009045C">
        <w:rPr>
          <w:rFonts w:eastAsiaTheme="majorEastAsia" w:cstheme="majorBid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09045C" w:rsidRDefault="00CE0567" w:rsidP="0009045C">
      <w:pPr>
        <w:numPr>
          <w:ilvl w:val="0"/>
          <w:numId w:val="21"/>
        </w:numPr>
        <w:spacing w:before="120" w:after="120" w:line="271" w:lineRule="auto"/>
        <w:ind w:left="426" w:hanging="284"/>
        <w:rPr>
          <w:rFonts w:eastAsiaTheme="majorEastAsia" w:cstheme="majorBidi"/>
          <w:color w:val="C00000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393953E4" w:rsidR="004913F7" w:rsidRPr="0009045C" w:rsidRDefault="004913F7" w:rsidP="0009045C">
      <w:pPr>
        <w:numPr>
          <w:ilvl w:val="0"/>
          <w:numId w:val="21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 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09045C" w:rsidRDefault="00CE0567" w:rsidP="0009045C">
      <w:pPr>
        <w:numPr>
          <w:ilvl w:val="0"/>
          <w:numId w:val="21"/>
        </w:numPr>
        <w:spacing w:before="120" w:after="120" w:line="271" w:lineRule="auto"/>
        <w:ind w:left="426" w:hanging="284"/>
        <w:rPr>
          <w:rFonts w:eastAsiaTheme="majorEastAsia" w:cstheme="majorBidi"/>
          <w:color w:val="C00000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 xml:space="preserve">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</w:t>
      </w:r>
      <w:r w:rsidRPr="0009045C">
        <w:rPr>
          <w:rFonts w:eastAsiaTheme="majorEastAsia" w:cstheme="majorBidi"/>
          <w:sz w:val="24"/>
          <w:szCs w:val="24"/>
        </w:rPr>
        <w:lastRenderedPageBreak/>
        <w:t>dowodowej opis ten stanowi załącznik. Przedmiotowy załącznik musi być spięty z dokumentem księgowym w sposób uniemożliwiający jego przypadkowe odpięcie,</w:t>
      </w:r>
    </w:p>
    <w:p w14:paraId="2C79F18F" w14:textId="1DAF5C32" w:rsidR="00330294" w:rsidRPr="0009045C" w:rsidRDefault="00330294" w:rsidP="0009045C">
      <w:pPr>
        <w:spacing w:before="120" w:after="120" w:line="271" w:lineRule="auto"/>
        <w:ind w:left="284" w:hanging="142"/>
        <w:rPr>
          <w:rFonts w:eastAsiaTheme="majorEastAsia" w:cstheme="majorBidi"/>
          <w:color w:val="C00000"/>
          <w:sz w:val="24"/>
          <w:szCs w:val="24"/>
          <w:u w:val="single"/>
        </w:rPr>
      </w:pPr>
      <w:r w:rsidRPr="0009045C">
        <w:rPr>
          <w:rFonts w:eastAsiaTheme="majorEastAsia" w:cstheme="majorBidi"/>
          <w:sz w:val="24"/>
          <w:szCs w:val="24"/>
          <w:u w:val="single"/>
        </w:rPr>
        <w:t>W</w:t>
      </w:r>
      <w:r w:rsidR="00CE0567" w:rsidRPr="0009045C">
        <w:rPr>
          <w:rFonts w:eastAsiaTheme="majorEastAsia" w:cstheme="majorBid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09045C">
        <w:rPr>
          <w:rFonts w:eastAsiaTheme="majorEastAsia" w:cstheme="majorBidi"/>
          <w:color w:val="C00000"/>
          <w:sz w:val="24"/>
          <w:szCs w:val="24"/>
          <w:u w:val="single"/>
        </w:rPr>
        <w:t>:</w:t>
      </w:r>
      <w:r w:rsidR="00CE0567" w:rsidRPr="0009045C">
        <w:rPr>
          <w:rFonts w:eastAsiaTheme="majorEastAsia" w:cstheme="majorBidi"/>
          <w:color w:val="C00000"/>
          <w:sz w:val="24"/>
          <w:szCs w:val="24"/>
          <w:u w:val="single"/>
        </w:rPr>
        <w:t xml:space="preserve"> </w:t>
      </w:r>
    </w:p>
    <w:p w14:paraId="0ACAB88D" w14:textId="543DD220" w:rsidR="00CE0567" w:rsidRPr="0009045C" w:rsidRDefault="00CE0567" w:rsidP="0009045C">
      <w:pPr>
        <w:pStyle w:val="Akapitzlist"/>
        <w:numPr>
          <w:ilvl w:val="0"/>
          <w:numId w:val="23"/>
        </w:numPr>
        <w:spacing w:before="120" w:after="120" w:line="271" w:lineRule="auto"/>
        <w:ind w:left="426" w:hanging="284"/>
        <w:rPr>
          <w:rFonts w:asciiTheme="minorHAnsi" w:eastAsiaTheme="majorEastAsia" w:hAnsiTheme="minorHAnsi" w:cstheme="minorHAnsi"/>
        </w:rPr>
      </w:pPr>
      <w:r w:rsidRPr="0009045C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09045C">
        <w:rPr>
          <w:rFonts w:asciiTheme="minorHAnsi" w:eastAsiaTheme="majorEastAsia" w:hAnsiTheme="minorHAnsi" w:cstheme="minorHAnsi"/>
        </w:rPr>
        <w:t>powyżej</w:t>
      </w:r>
      <w:r w:rsidRPr="0009045C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09045C">
        <w:rPr>
          <w:rFonts w:asciiTheme="minorHAnsi" w:eastAsiaTheme="majorEastAsia" w:hAnsiTheme="minorHAnsi" w:cstheme="minorHAnsi"/>
        </w:rPr>
        <w:t>.</w:t>
      </w:r>
    </w:p>
    <w:p w14:paraId="267B26A4" w14:textId="77777777" w:rsidR="008C78F5" w:rsidRDefault="008C78F5" w:rsidP="00A95704">
      <w:pPr>
        <w:spacing w:line="216" w:lineRule="auto"/>
        <w:jc w:val="both"/>
        <w:rPr>
          <w:rFonts w:asciiTheme="minorHAnsi" w:hAnsiTheme="minorHAnsi" w:cstheme="minorHAnsi"/>
          <w:bCs/>
        </w:rPr>
      </w:pPr>
    </w:p>
    <w:p w14:paraId="2D05C9A8" w14:textId="64B8CCD3" w:rsidR="00D70684" w:rsidRPr="0009045C" w:rsidRDefault="00D70684" w:rsidP="0009045C">
      <w:pPr>
        <w:pStyle w:val="Akapitzlist"/>
        <w:numPr>
          <w:ilvl w:val="0"/>
          <w:numId w:val="17"/>
        </w:numPr>
        <w:spacing w:line="271" w:lineRule="auto"/>
        <w:ind w:left="567" w:hanging="709"/>
        <w:rPr>
          <w:rFonts w:asciiTheme="minorHAnsi" w:hAnsiTheme="minorHAnsi" w:cstheme="minorHAnsi"/>
          <w:b/>
          <w:bCs/>
        </w:rPr>
      </w:pPr>
      <w:r w:rsidRPr="0009045C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09045C">
        <w:rPr>
          <w:rFonts w:asciiTheme="minorHAnsi" w:hAnsiTheme="minorHAnsi" w:cstheme="minorHAnsi"/>
          <w:b/>
          <w:bCs/>
        </w:rPr>
        <w:t>twierdzających</w:t>
      </w:r>
      <w:r w:rsidRPr="0009045C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09045C">
        <w:rPr>
          <w:rFonts w:asciiTheme="minorHAnsi" w:hAnsiTheme="minorHAnsi"/>
        </w:rPr>
        <w:t xml:space="preserve"> </w:t>
      </w:r>
      <w:r w:rsidR="006C6AEC" w:rsidRPr="0009045C">
        <w:rPr>
          <w:rFonts w:asciiTheme="minorHAnsi" w:hAnsiTheme="minorHAnsi" w:cstheme="minorHAnsi"/>
          <w:b/>
          <w:bCs/>
        </w:rPr>
        <w:t>rozliczanego na podstawie wydatków rzeczywistych</w:t>
      </w:r>
      <w:r w:rsidRPr="0009045C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09045C" w:rsidRDefault="00D70684" w:rsidP="0009045C">
      <w:pPr>
        <w:spacing w:line="271" w:lineRule="auto"/>
        <w:rPr>
          <w:rFonts w:asciiTheme="minorHAnsi" w:hAnsi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D70684" w:rsidRPr="0009045C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/>
                <w:b/>
                <w:bCs/>
              </w:rPr>
            </w:pPr>
            <w:r w:rsidRPr="0009045C">
              <w:rPr>
                <w:rFonts w:asciiTheme="minorHAnsi" w:hAnsi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/>
                <w:b/>
                <w:bCs/>
              </w:rPr>
            </w:pPr>
            <w:r w:rsidRPr="0009045C">
              <w:rPr>
                <w:rFonts w:asciiTheme="minorHAnsi" w:hAnsi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/>
                <w:b/>
                <w:bCs/>
              </w:rPr>
            </w:pPr>
            <w:r w:rsidRPr="0009045C">
              <w:rPr>
                <w:rFonts w:asciiTheme="minorHAnsi" w:hAnsiTheme="minorHAnsi"/>
                <w:b/>
                <w:bCs/>
              </w:rPr>
              <w:t>Komentarz/Uwagi</w:t>
            </w:r>
          </w:p>
        </w:tc>
      </w:tr>
      <w:tr w:rsidR="00D70684" w:rsidRPr="0009045C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09045C" w:rsidRDefault="00D70684" w:rsidP="0009045C">
            <w:pPr>
              <w:pStyle w:val="Tytu"/>
              <w:spacing w:line="271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D70684" w:rsidRPr="0009045C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09045C" w:rsidRDefault="00BD3548" w:rsidP="0009045C">
            <w:pPr>
              <w:pStyle w:val="Default"/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09045C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09045C" w:rsidRDefault="008A630C" w:rsidP="0009045C">
            <w:pPr>
              <w:pStyle w:val="Default"/>
              <w:spacing w:line="271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>aktury</w:t>
            </w:r>
            <w:r w:rsidRPr="0009045C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>/</w:t>
            </w:r>
            <w:r w:rsidRPr="0009045C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09045C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09045C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09045C">
              <w:rPr>
                <w:rFonts w:asciiTheme="minorHAnsi" w:hAnsiTheme="minorHAnsi" w:cstheme="minorHAnsi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7D91237C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Dokumenty księgowe muszą spełniać wymogi przepisów prawa krajowego oraz muszą być wystawione na Beneficjenta/Partnera/Podmiot, do którego skierowane jest wsparcie Projektu.</w:t>
            </w:r>
          </w:p>
          <w:p w14:paraId="01662C1C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8B799F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zwiększenia/zmniejszenia.</w:t>
            </w:r>
          </w:p>
          <w:p w14:paraId="1D53346C" w14:textId="77777777" w:rsidR="005B1525" w:rsidRPr="0009045C" w:rsidRDefault="005B1525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2D69B7" w14:textId="0E58EE8A" w:rsidR="005B1525" w:rsidRPr="0009045C" w:rsidRDefault="005B1525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70684" w:rsidRPr="0009045C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09045C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538500C2" w14:textId="02D4A70B" w:rsidR="00D70684" w:rsidRPr="0009045C" w:rsidRDefault="00502F08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 xml:space="preserve">- </w:t>
            </w:r>
            <w:r w:rsidR="00D70684" w:rsidRPr="0009045C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  <w:p w14:paraId="307AE1AD" w14:textId="77777777" w:rsidR="00D70684" w:rsidRPr="0009045C" w:rsidRDefault="00D70684" w:rsidP="0009045C">
            <w:pPr>
              <w:pStyle w:val="Bezodstpw"/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308375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13028FF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0FA1A478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92" w:type="dxa"/>
            <w:shd w:val="clear" w:color="auto" w:fill="auto"/>
          </w:tcPr>
          <w:p w14:paraId="472F3D4D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Operacje finansowe związane z Projektem powinny być dokonywane z rachunku  płatniczego Projektu  wskazanego w umowie o dofinansowanie (nie dotyczy wydatków poniesionych przed datą zawarcia umowy o dofinansowanie). </w:t>
            </w:r>
          </w:p>
          <w:p w14:paraId="7A4F852A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7B4A66D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 tytułu przelewu powinno wynikać, jaki dokument został opłacony.</w:t>
            </w:r>
          </w:p>
          <w:p w14:paraId="48617B57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EC586FB" w14:textId="736BDD5E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5AD824DF" w14:textId="51BEC262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341799" w14:textId="30C73EB3" w:rsidR="00F11E6B" w:rsidRPr="0009045C" w:rsidRDefault="00F11E6B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09045C" w:rsidRDefault="00F11E6B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</w:t>
            </w:r>
            <w:r w:rsidR="00D70684"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ie rekomenduje</w:t>
            </w: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się</w:t>
            </w:r>
            <w:r w:rsidR="00D70684"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również </w:t>
            </w:r>
            <w:r w:rsidR="00D70684"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kwalifikowania faktur zaliczkowych. Wydatek powinien zostać rozliczony po jego zapłacie w całości na podstawie właściwego, źródłowego dokumentu księgowego.</w:t>
            </w:r>
          </w:p>
        </w:tc>
      </w:tr>
      <w:tr w:rsidR="00D70684" w:rsidRPr="0009045C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682DE704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protokoły odbioru zakupionych towarów/usług, przekazanych materia</w:t>
            </w:r>
            <w:r w:rsidR="00F11E6B" w:rsidRPr="0009045C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09045C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, np.: </w:t>
            </w:r>
            <w:r w:rsidR="0025160C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lista obecności uczestników szkolenia</w:t>
            </w:r>
            <w:r w:rsidR="0025160C" w:rsidRPr="0009045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 xml:space="preserve">W przypadku szkoleń Beneficjent powinien dodatkowo sporządzić listę obecności uczestników szkolenia. </w:t>
            </w:r>
          </w:p>
          <w:p w14:paraId="71A06FDE" w14:textId="77777777" w:rsidR="00F11E6B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 xml:space="preserve">Dokumentu takiego nie przedkłada się </w:t>
            </w:r>
            <w:r w:rsidR="00F11E6B" w:rsidRPr="0009045C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09045C">
              <w:rPr>
                <w:rFonts w:asciiTheme="minorHAnsi" w:hAnsiTheme="minorHAnsi" w:cstheme="minorHAnsi"/>
                <w:bCs/>
              </w:rPr>
              <w:t>do wniosku o płatność, jednakże należy załączyć go do dokumentacji Projektu i przechowywać zgodnie z zasadami archiwizacji dokumentacji projektowej, określonymi w umowie o dofinansowanie</w:t>
            </w:r>
            <w:r w:rsidR="00F11E6B" w:rsidRPr="0009045C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09045C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09045C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D70684" w:rsidRPr="0009045C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09045C" w:rsidRDefault="0025160C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09045C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09045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d</w:t>
            </w:r>
            <w:r w:rsidR="00BD3548" w:rsidRPr="0009045C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o</w:t>
            </w:r>
            <w:r w:rsidR="00BD3548" w:rsidRPr="0009045C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z</w:t>
            </w:r>
            <w:r w:rsidR="00BD3548" w:rsidRPr="0009045C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o</w:t>
            </w:r>
            <w:r w:rsidR="00BD3548" w:rsidRPr="0009045C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p</w:t>
            </w:r>
            <w:r w:rsidR="00BD3548" w:rsidRPr="0009045C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u</w:t>
            </w:r>
            <w:r w:rsidR="00BD3548" w:rsidRPr="0009045C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u</w:t>
            </w:r>
            <w:r w:rsidR="00BD3548" w:rsidRPr="0009045C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09045C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09045C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a</w:t>
            </w:r>
            <w:r w:rsidR="00BD3548" w:rsidRPr="0009045C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09045C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09045C" w:rsidRDefault="005B1525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protokoły odbioru.</w:t>
            </w:r>
          </w:p>
          <w:p w14:paraId="062E8010" w14:textId="77777777" w:rsidR="00604E1E" w:rsidRPr="0009045C" w:rsidRDefault="00604E1E" w:rsidP="0009045C">
            <w:pPr>
              <w:pStyle w:val="Akapitzlist"/>
              <w:spacing w:line="271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09045C" w:rsidRDefault="00604E1E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D70684" w:rsidRPr="0009045C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</w:rPr>
              <w:t>DOKUMENTY SPECYFICZNE DLA DANEGO RODZAJU WYDATKU</w:t>
            </w:r>
          </w:p>
        </w:tc>
      </w:tr>
      <w:tr w:rsidR="00D70684" w:rsidRPr="0009045C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D70684" w:rsidRPr="0009045C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46B2EB6E" w14:textId="10AD8779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</w:t>
            </w:r>
            <w:r w:rsidR="002953CF"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 </w:t>
            </w: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w takim zakresie, w jakim dotyczą wydatku</w:t>
            </w:r>
          </w:p>
          <w:p w14:paraId="58FEA2E4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3BBBED0E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3381FEF7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1D1F0B25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4AFB53DF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26CD6C27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31BADB5A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6E81F173" w14:textId="4CCD5636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 xml:space="preserve">Środek trwały należy ująć w ewidencji zgodnie z obowiązującymi przepisami prawa w tym zakresie. </w:t>
            </w:r>
          </w:p>
          <w:p w14:paraId="260909EA" w14:textId="6DB706C9" w:rsidR="005B1525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/>
                <w:bCs/>
                <w:color w:val="000000"/>
              </w:rPr>
            </w:pPr>
            <w:r w:rsidRPr="0009045C">
              <w:rPr>
                <w:rFonts w:asciiTheme="minorHAnsi" w:hAnsiTheme="minorHAnsi"/>
                <w:bCs/>
                <w:color w:val="000000"/>
              </w:rPr>
              <w:t>Należy pamiętać, że zakupienie środka trwałego z udziałem środków unijnych, a następnie zaliczenie odpisów amortyzacyjnych od pełnej wartości środka trwałego do kosztów uzyskania przychodów, bez pomniejszenia wartości środka trwałego o otrzymane dofinansowanie, stanowi podwójne dofinansowanie wydatku. Mając powyższe na 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D70684" w:rsidRPr="0009045C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09045C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09045C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D70684" w:rsidRPr="0009045C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6C32F0E1" w:rsidR="00D70684" w:rsidRPr="0009045C" w:rsidRDefault="002953CF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6</w:t>
            </w:r>
            <w:r w:rsidR="00D70684" w:rsidRPr="0009045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271C7D98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Udostepnienie nieruchomości,</w:t>
            </w:r>
          </w:p>
        </w:tc>
      </w:tr>
      <w:tr w:rsidR="00D70684" w:rsidRPr="0009045C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09045C" w:rsidRDefault="00D70684" w:rsidP="0009045C">
            <w:pPr>
              <w:pStyle w:val="Akapitzlist"/>
              <w:numPr>
                <w:ilvl w:val="0"/>
                <w:numId w:val="7"/>
              </w:numPr>
              <w:spacing w:line="271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09045C" w:rsidRDefault="00D70684" w:rsidP="0009045C">
            <w:pPr>
              <w:pStyle w:val="Akapitzlist"/>
              <w:numPr>
                <w:ilvl w:val="0"/>
                <w:numId w:val="7"/>
              </w:numPr>
              <w:spacing w:line="271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09045C" w:rsidRDefault="002D3FB4" w:rsidP="0009045C">
            <w:pPr>
              <w:pStyle w:val="Akapitzlist"/>
              <w:numPr>
                <w:ilvl w:val="0"/>
                <w:numId w:val="7"/>
              </w:numPr>
              <w:spacing w:line="271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lastRenderedPageBreak/>
              <w:t xml:space="preserve">zestawienie ilości godzin udostępnienia </w:t>
            </w:r>
            <w:proofErr w:type="spellStart"/>
            <w:r w:rsidRPr="0009045C">
              <w:rPr>
                <w:rFonts w:asciiTheme="minorHAnsi" w:hAnsiTheme="minorHAnsi" w:cstheme="minorHAnsi"/>
                <w:bCs/>
              </w:rPr>
              <w:t>sal</w:t>
            </w:r>
            <w:proofErr w:type="spellEnd"/>
            <w:r w:rsidRPr="0009045C">
              <w:rPr>
                <w:rFonts w:asciiTheme="minorHAnsi" w:hAnsiTheme="minorHAnsi" w:cstheme="minorHAnsi"/>
                <w:bCs/>
              </w:rPr>
              <w:t xml:space="preserve">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09045C" w:rsidRDefault="00502F08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lastRenderedPageBreak/>
              <w:t>Zgodnie z metodologi</w:t>
            </w:r>
            <w:r w:rsidR="00212AB8" w:rsidRPr="0009045C">
              <w:rPr>
                <w:rFonts w:asciiTheme="minorHAnsi" w:hAnsiTheme="minorHAnsi" w:cstheme="minorHAnsi"/>
                <w:bCs/>
              </w:rPr>
              <w:t>ą</w:t>
            </w:r>
            <w:r w:rsidRPr="0009045C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09045C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D70684" w:rsidRPr="0009045C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794FC79B" w:rsidR="00D70684" w:rsidRPr="0009045C" w:rsidRDefault="002953CF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7</w:t>
            </w:r>
            <w:r w:rsidR="00CE337A" w:rsidRPr="0009045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D70684" w:rsidRPr="0009045C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09045C" w:rsidRDefault="00D70684" w:rsidP="0009045C">
            <w:pPr>
              <w:pStyle w:val="Akapitzlist"/>
              <w:numPr>
                <w:ilvl w:val="0"/>
                <w:numId w:val="15"/>
              </w:numPr>
              <w:spacing w:line="271" w:lineRule="auto"/>
              <w:contextualSpacing w:val="0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  <w:bCs/>
              </w:rPr>
              <w:t>dokument</w:t>
            </w:r>
            <w:r w:rsidR="00415CE3" w:rsidRPr="0009045C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09045C">
              <w:rPr>
                <w:rFonts w:asciiTheme="minorHAnsi" w:hAnsiTheme="minorHAnsi" w:cstheme="minorHAnsi"/>
                <w:bCs/>
              </w:rPr>
              <w:t>o</w:t>
            </w:r>
            <w:r w:rsidR="00415CE3" w:rsidRPr="0009045C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09045C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09045C" w:rsidRDefault="008A7C2E" w:rsidP="0009045C">
            <w:pPr>
              <w:pStyle w:val="Akapitzlist"/>
              <w:numPr>
                <w:ilvl w:val="0"/>
                <w:numId w:val="15"/>
              </w:numPr>
              <w:spacing w:line="271" w:lineRule="auto"/>
              <w:contextualSpacing w:val="0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>porozumienie</w:t>
            </w:r>
            <w:r w:rsidR="00D70684" w:rsidRPr="0009045C">
              <w:rPr>
                <w:rFonts w:asciiTheme="minorHAnsi" w:hAnsiTheme="minorHAnsi" w:cstheme="minorHAnsi"/>
              </w:rPr>
              <w:t xml:space="preserve"> zawart</w:t>
            </w:r>
            <w:r w:rsidR="00415CE3" w:rsidRPr="0009045C">
              <w:rPr>
                <w:rFonts w:asciiTheme="minorHAnsi" w:hAnsiTheme="minorHAnsi" w:cstheme="minorHAnsi"/>
              </w:rPr>
              <w:t>e</w:t>
            </w:r>
            <w:r w:rsidR="00D70684" w:rsidRPr="0009045C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09045C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09045C" w:rsidRDefault="00D70684" w:rsidP="0009045C">
            <w:pPr>
              <w:pStyle w:val="Akapitzlist"/>
              <w:numPr>
                <w:ilvl w:val="0"/>
                <w:numId w:val="15"/>
              </w:numPr>
              <w:spacing w:line="271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09045C" w:rsidRDefault="00415CE3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09045C" w:rsidRDefault="009A6829" w:rsidP="0009045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1" w:lineRule="auto"/>
              <w:ind w:left="189" w:hanging="189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09045C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09045C" w:rsidRDefault="00D70684" w:rsidP="0009045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1" w:lineRule="auto"/>
              <w:ind w:left="189" w:hanging="189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>zakres obowiązków wolontariusza</w:t>
            </w:r>
            <w:r w:rsidR="00415CE3" w:rsidRPr="0009045C">
              <w:rPr>
                <w:rFonts w:asciiTheme="minorHAnsi" w:hAnsiTheme="minorHAnsi" w:cstheme="minorHAnsi"/>
              </w:rPr>
              <w:t xml:space="preserve"> w ramach projektu;</w:t>
            </w:r>
            <w:r w:rsidRPr="0009045C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09045C" w:rsidRDefault="00D70684" w:rsidP="0009045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1" w:lineRule="auto"/>
              <w:ind w:left="189" w:hanging="189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>liczb</w:t>
            </w:r>
            <w:r w:rsidR="00415CE3" w:rsidRPr="0009045C">
              <w:rPr>
                <w:rFonts w:asciiTheme="minorHAnsi" w:hAnsiTheme="minorHAnsi" w:cstheme="minorHAnsi"/>
              </w:rPr>
              <w:t>a</w:t>
            </w:r>
            <w:r w:rsidRPr="0009045C">
              <w:rPr>
                <w:rFonts w:asciiTheme="minorHAnsi" w:hAnsiTheme="minorHAnsi" w:cstheme="minorHAnsi"/>
              </w:rPr>
              <w:t xml:space="preserve"> </w:t>
            </w:r>
            <w:r w:rsidR="00415CE3" w:rsidRPr="0009045C">
              <w:rPr>
                <w:rFonts w:asciiTheme="minorHAnsi" w:hAnsiTheme="minorHAnsi" w:cstheme="minorHAnsi"/>
              </w:rPr>
              <w:t xml:space="preserve">poświęconych dla projektu </w:t>
            </w:r>
            <w:r w:rsidRPr="0009045C">
              <w:rPr>
                <w:rFonts w:asciiTheme="minorHAnsi" w:hAnsiTheme="minorHAnsi" w:cstheme="minorHAnsi"/>
              </w:rPr>
              <w:t>godzin</w:t>
            </w:r>
            <w:r w:rsidR="00415CE3" w:rsidRPr="0009045C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09045C" w:rsidRDefault="00415CE3" w:rsidP="0009045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1" w:lineRule="auto"/>
              <w:ind w:left="189" w:hanging="189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 xml:space="preserve">w </w:t>
            </w:r>
            <w:r w:rsidR="00D70684" w:rsidRPr="0009045C">
              <w:rPr>
                <w:rFonts w:asciiTheme="minorHAnsi" w:hAnsiTheme="minorHAnsi" w:cstheme="minorHAnsi"/>
              </w:rPr>
              <w:t>jakim okresie</w:t>
            </w:r>
            <w:r w:rsidR="009A6829" w:rsidRPr="0009045C">
              <w:rPr>
                <w:rFonts w:asciiTheme="minorHAnsi" w:hAnsiTheme="minorHAnsi" w:cstheme="minorHAnsi"/>
              </w:rPr>
              <w:t xml:space="preserve"> </w:t>
            </w:r>
            <w:r w:rsidRPr="0009045C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09045C" w:rsidRDefault="009A6829" w:rsidP="0009045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1" w:lineRule="auto"/>
              <w:ind w:left="189" w:hanging="189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pracodawcy lub w danym regionie (wyliczone np. na podstawie danych GUS) lub płacy minimalnej określonej na podstawie obowiązujących przepisów, w zależności od zapisów wniosku o dofinansowanie Projektu. </w:t>
            </w:r>
          </w:p>
        </w:tc>
      </w:tr>
      <w:tr w:rsidR="00D70684" w:rsidRPr="0009045C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</w:rPr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09045C" w:rsidRDefault="00D70684" w:rsidP="0009045C">
            <w:pPr>
              <w:pStyle w:val="Bezodstpw"/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D70684" w:rsidRPr="0009045C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D70684" w:rsidRPr="0009045C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04A98211" w:rsidR="00D70684" w:rsidRPr="0009045C" w:rsidRDefault="002953CF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8</w:t>
            </w:r>
            <w:r w:rsidR="00502F08" w:rsidRPr="0009045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09045C" w:rsidRDefault="00186916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09045C">
              <w:rPr>
                <w:rFonts w:asciiTheme="minorHAnsi" w:hAnsiTheme="minorHAnsi" w:cstheme="minorHAnsi"/>
                <w:color w:val="auto"/>
              </w:rPr>
              <w:t>;</w:t>
            </w:r>
            <w:r w:rsidRPr="0009045C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09045C" w:rsidRDefault="00186916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09045C" w:rsidRDefault="007D71FA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09045C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09045C" w:rsidRDefault="00186916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>dokument</w:t>
            </w:r>
            <w:r w:rsidRPr="0009045C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09045C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09045C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09045C" w:rsidRDefault="00D70684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dowody zapłaty, które potwierdzają zapłacenie wszystkich składników wynagrodzenia wraz z oświadczeniem, w jakiej wysokości zostały poniesione składki za danego pracownika zaangażowanego w Projekt - jeżeli nie wynika to bezpośrednio z dowodu zapłaty</w:t>
            </w:r>
          </w:p>
          <w:p w14:paraId="0570D71F" w14:textId="46A92BFF" w:rsidR="007D71FA" w:rsidRPr="0009045C" w:rsidRDefault="007D71FA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 xml:space="preserve">na wniosek: zestawienie składników wynagrodzenia </w:t>
            </w:r>
            <w:r w:rsidRPr="0009045C">
              <w:rPr>
                <w:rFonts w:asciiTheme="minorHAnsi" w:hAnsiTheme="minorHAnsi" w:cstheme="minorHAnsi"/>
                <w:color w:val="auto"/>
              </w:rPr>
              <w:lastRenderedPageBreak/>
              <w:t>personelu zaangażowanego w Projekt sporządzone na podstawie listy płac</w:t>
            </w:r>
            <w:r w:rsidR="00350CB7" w:rsidRPr="0009045C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75EF8A48" w:rsidR="00186916" w:rsidRPr="0009045C" w:rsidRDefault="00186916" w:rsidP="0009045C">
            <w:pPr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41B00" w:rsidRPr="0009045C">
              <w:rPr>
                <w:rFonts w:asciiTheme="minorHAnsi" w:hAnsiTheme="minorHAnsi" w:cstheme="minorHAnsi"/>
                <w:sz w:val="24"/>
                <w:szCs w:val="24"/>
              </w:rPr>
              <w:t>Instytucji Pośredniczącej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09045C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0198F0A2" w:rsidR="004C293C" w:rsidRPr="0009045C" w:rsidRDefault="00186916" w:rsidP="0009045C">
            <w:pPr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41B00" w:rsidRPr="0009045C">
              <w:rPr>
                <w:rFonts w:asciiTheme="minorHAnsi" w:hAnsiTheme="minorHAnsi" w:cstheme="minorHAnsi"/>
                <w:sz w:val="24"/>
                <w:szCs w:val="24"/>
              </w:rPr>
              <w:t>Instytucji Pośredniczącej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: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25B290D5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Wydatki związane z wynagrodzeniem personelu są ponoszone zgodnie z przepisami krajowymi, w szczególności zgodnie z ustawą z </w:t>
            </w:r>
            <w:r w:rsidR="00DA6FEB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09045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 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W opisie dokumentu księgowego, jak i we wniosku o płatność należy podać datę zapłaty wynagrodzenia personelowi oraz datę odprowadzenia składki do ZUS, jak i datę odprowadzenia podatku do US (chyba, że daty te są takie same).</w:t>
            </w:r>
          </w:p>
          <w:p w14:paraId="1E5D14EC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63542FB8" w:rsidR="00D70684" w:rsidRPr="0009045C" w:rsidRDefault="00D70684" w:rsidP="0009045C">
            <w:pPr>
              <w:pStyle w:val="Default"/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lastRenderedPageBreak/>
              <w:t xml:space="preserve">Beneficjent nie przedkłada do wniosku o płatność deklaracji rozliczeniowych ZUS oraz deklaracji podatkowych (chyba, że </w:t>
            </w:r>
            <w:r w:rsidR="00741B00" w:rsidRPr="0009045C">
              <w:rPr>
                <w:rFonts w:asciiTheme="minorHAnsi" w:hAnsiTheme="minorHAnsi" w:cstheme="minorHAnsi"/>
              </w:rPr>
              <w:t>Instytucja Pośrednicząca</w:t>
            </w:r>
            <w:r w:rsidRPr="0009045C">
              <w:rPr>
                <w:rFonts w:asciiTheme="minorHAnsi" w:hAnsiTheme="minorHAnsi" w:cstheme="minorHAnsi"/>
                <w:color w:val="auto"/>
              </w:rPr>
              <w:t xml:space="preserve"> o nie wystąpi) </w:t>
            </w:r>
          </w:p>
          <w:p w14:paraId="4BF16616" w14:textId="77777777" w:rsidR="00D70684" w:rsidRPr="0009045C" w:rsidRDefault="00D70684" w:rsidP="0009045C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09045C" w:rsidRDefault="00D70684" w:rsidP="0009045C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09045C" w:rsidRDefault="00DA6FEB" w:rsidP="0009045C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2FB7A0E1" w:rsidR="00D70684" w:rsidRPr="0009045C" w:rsidRDefault="00035FF3" w:rsidP="0009045C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Instytucja </w:t>
            </w:r>
            <w:r w:rsidR="00741B00" w:rsidRPr="0009045C">
              <w:rPr>
                <w:rFonts w:asciiTheme="minorHAnsi" w:hAnsiTheme="minorHAnsi" w:cstheme="minorHAnsi"/>
                <w:sz w:val="24"/>
                <w:szCs w:val="24"/>
              </w:rPr>
              <w:t>Pośrednicząca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, na potrzeby kontroli, może poprosić o przygotowanie zestawienia składników wynagrodzenia personelu projektu wg. wzoru umieszczonego poniżej.</w:t>
            </w:r>
          </w:p>
        </w:tc>
      </w:tr>
      <w:tr w:rsidR="00CF41F9" w:rsidRPr="0009045C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32A3A06B" w:rsidR="00D70684" w:rsidRPr="0009045C" w:rsidRDefault="002953CF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lastRenderedPageBreak/>
              <w:t>9</w:t>
            </w:r>
            <w:r w:rsidR="00502F08" w:rsidRPr="0009045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09045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D70684" w:rsidRPr="0009045C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09045C" w:rsidRDefault="00D70684" w:rsidP="0009045C">
            <w:pPr>
              <w:numPr>
                <w:ilvl w:val="0"/>
                <w:numId w:val="13"/>
              </w:num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4A4E0A0E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Beneficjent nie przedkłada do wniosku o płatność pełnej dokumentacji związanej z wyjazdem służbowym personelu Projektu (chyba, że </w:t>
            </w:r>
            <w:r w:rsidR="00741B00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Instytucja Pośrednicząca o 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nie wystąpi). </w:t>
            </w:r>
          </w:p>
          <w:p w14:paraId="22FD2A40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D70684" w:rsidRPr="0009045C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09045C" w:rsidRDefault="00D70684" w:rsidP="0009045C">
            <w:pPr>
              <w:pStyle w:val="Akapitzlist"/>
              <w:tabs>
                <w:tab w:val="left" w:pos="2307"/>
              </w:tabs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</w:rPr>
              <w:t>AMORTYZACJA</w:t>
            </w:r>
            <w:r w:rsidRPr="0009045C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D70684" w:rsidRPr="0009045C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5799A13E" w:rsidR="00D70684" w:rsidRPr="0009045C" w:rsidRDefault="002953CF" w:rsidP="0009045C">
            <w:pPr>
              <w:spacing w:before="120" w:after="120" w:line="271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09045C" w:rsidRDefault="00D70684" w:rsidP="0009045C">
            <w:pPr>
              <w:pStyle w:val="Akapitzlist"/>
              <w:numPr>
                <w:ilvl w:val="0"/>
                <w:numId w:val="2"/>
              </w:numPr>
              <w:spacing w:line="271" w:lineRule="auto"/>
              <w:contextualSpacing w:val="0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09045C">
              <w:rPr>
                <w:rFonts w:asciiTheme="minorHAnsi" w:hAnsiTheme="minorHAnsi" w:cstheme="minorHAnsi"/>
              </w:rPr>
              <w:t xml:space="preserve"> </w:t>
            </w:r>
            <w:r w:rsidRPr="0009045C">
              <w:rPr>
                <w:rFonts w:asciiTheme="minorHAnsi" w:hAnsiTheme="minorHAnsi" w:cstheme="minorHAnsi"/>
              </w:rPr>
              <w:t xml:space="preserve">dokumentami księgowymi, np. w postaci PK lub inne dokumenty wskazujące na wysokość odpisów </w:t>
            </w:r>
            <w:r w:rsidR="00460E55" w:rsidRPr="0009045C">
              <w:rPr>
                <w:rFonts w:asciiTheme="minorHAnsi" w:hAnsiTheme="minorHAnsi" w:cstheme="minorHAnsi"/>
              </w:rPr>
              <w:t>a</w:t>
            </w:r>
            <w:r w:rsidRPr="0009045C">
              <w:rPr>
                <w:rFonts w:asciiTheme="minorHAnsi" w:hAnsiTheme="minorHAnsi" w:cstheme="minorHAnsi"/>
              </w:rPr>
              <w:t>mortyzacyjnych</w:t>
            </w:r>
            <w:r w:rsidR="00460E55" w:rsidRPr="0009045C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09045C" w:rsidRDefault="00D70684" w:rsidP="0009045C">
            <w:pPr>
              <w:pStyle w:val="Akapitzlist"/>
              <w:numPr>
                <w:ilvl w:val="0"/>
                <w:numId w:val="2"/>
              </w:numPr>
              <w:spacing w:line="271" w:lineRule="auto"/>
              <w:contextualSpacing w:val="0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1869CBD4" w14:textId="60D5B020" w:rsidR="00D70684" w:rsidRPr="0009045C" w:rsidRDefault="00D70684" w:rsidP="0009045C">
            <w:pPr>
              <w:pStyle w:val="Akapitzlist"/>
              <w:keepNext/>
              <w:keepLines/>
              <w:spacing w:line="271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Należy pamiętać, że kwalifikowalna jest tylko ta część odpisu amortyzacyjnego, która odpowiada proporcji wykorzystania aktywów w celu realizacji Projektu.</w:t>
            </w:r>
          </w:p>
          <w:p w14:paraId="2DBD479A" w14:textId="77777777" w:rsidR="00D70684" w:rsidRPr="0009045C" w:rsidRDefault="00D70684" w:rsidP="0009045C">
            <w:pPr>
              <w:pStyle w:val="Akapitzlist"/>
              <w:keepNext/>
              <w:keepLines/>
              <w:spacing w:line="271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</w:p>
          <w:p w14:paraId="6B82134B" w14:textId="77777777" w:rsidR="00D70684" w:rsidRPr="0009045C" w:rsidRDefault="00D70684" w:rsidP="0009045C">
            <w:pPr>
              <w:pStyle w:val="Akapitzlist"/>
              <w:keepNext/>
              <w:keepLines/>
              <w:spacing w:line="271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</w:p>
        </w:tc>
      </w:tr>
    </w:tbl>
    <w:p w14:paraId="7A53C611" w14:textId="62B2FD2D" w:rsidR="00D70684" w:rsidRPr="0009045C" w:rsidRDefault="00D70684" w:rsidP="0009045C">
      <w:pPr>
        <w:tabs>
          <w:tab w:val="left" w:pos="7425"/>
        </w:tabs>
        <w:spacing w:line="271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5DA3231B" w:rsidR="00923790" w:rsidRPr="0009045C" w:rsidRDefault="00923790" w:rsidP="0009045C">
      <w:pPr>
        <w:pStyle w:val="Akapitzlist"/>
        <w:numPr>
          <w:ilvl w:val="0"/>
          <w:numId w:val="17"/>
        </w:numPr>
        <w:tabs>
          <w:tab w:val="left" w:pos="7425"/>
        </w:tabs>
        <w:spacing w:line="271" w:lineRule="auto"/>
        <w:ind w:left="426" w:right="-427" w:hanging="568"/>
        <w:rPr>
          <w:rFonts w:asciiTheme="minorHAnsi" w:hAnsiTheme="minorHAnsi" w:cstheme="minorHAnsi"/>
        </w:rPr>
      </w:pPr>
      <w:r w:rsidRPr="0009045C">
        <w:rPr>
          <w:rFonts w:asciiTheme="minorHAnsi" w:hAnsiTheme="minorHAnsi" w:cstheme="minorHAnsi"/>
        </w:rPr>
        <w:t>Wykaz dokumentów potwierdzających realizację kwot ryczałtowych określa umowa o dofinansowanie projektu.</w:t>
      </w:r>
    </w:p>
    <w:p w14:paraId="5DFA4CDD" w14:textId="77777777" w:rsidR="002D3FB4" w:rsidRPr="0009045C" w:rsidRDefault="002D3FB4" w:rsidP="0009045C">
      <w:pPr>
        <w:pStyle w:val="Akapitzlist"/>
        <w:tabs>
          <w:tab w:val="left" w:pos="7425"/>
        </w:tabs>
        <w:spacing w:line="271" w:lineRule="auto"/>
        <w:ind w:left="426" w:right="-427"/>
        <w:rPr>
          <w:rFonts w:asciiTheme="minorHAnsi" w:hAnsiTheme="minorHAnsi" w:cstheme="minorHAnsi"/>
        </w:rPr>
        <w:sectPr w:rsidR="002D3FB4" w:rsidRPr="0009045C" w:rsidSect="00D1479F">
          <w:headerReference w:type="default" r:id="rId8"/>
          <w:footerReference w:type="default" r:id="rId9"/>
          <w:headerReference w:type="first" r:id="rId10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C01BCE" w:rsidRDefault="002D3FB4" w:rsidP="00D1479F">
      <w:pPr>
        <w:pStyle w:val="Akapitzlist"/>
        <w:tabs>
          <w:tab w:val="left" w:pos="7425"/>
        </w:tabs>
        <w:spacing w:line="192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09045C" w:rsidRDefault="00350CB7" w:rsidP="00E91DA1">
      <w:pPr>
        <w:keepNext/>
        <w:keepLines/>
        <w:spacing w:line="192" w:lineRule="auto"/>
        <w:jc w:val="center"/>
        <w:outlineLvl w:val="1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  <w:r w:rsidRPr="0009045C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Pr="0009045C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br/>
      </w:r>
      <w:r w:rsidRPr="0009045C">
        <w:rPr>
          <w:rFonts w:asciiTheme="minorHAnsi" w:eastAsiaTheme="majorEastAsia" w:hAnsiTheme="minorHAnsi" w:cstheme="minorHAns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09045C" w:rsidRDefault="00350CB7" w:rsidP="0009045C">
      <w:pPr>
        <w:spacing w:after="160" w:line="192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350CB7" w:rsidRPr="0009045C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09045C" w:rsidRDefault="00350CB7" w:rsidP="0009045C">
      <w:pPr>
        <w:spacing w:after="160" w:line="192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350CB7" w:rsidRPr="0009045C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350CB7" w:rsidRPr="0009045C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lastRenderedPageBreak/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50CB7" w:rsidRPr="0009045C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09045C" w:rsidRDefault="00350CB7" w:rsidP="0009045C">
      <w:pPr>
        <w:spacing w:after="160" w:line="192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09045C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5C5A641E" w14:textId="351C7A3F" w:rsidR="00DD6E1D" w:rsidRPr="0009045C" w:rsidRDefault="00DD6E1D" w:rsidP="0009045C">
      <w:pPr>
        <w:spacing w:after="160" w:line="192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07522592" w:rsidR="00350CB7" w:rsidRPr="0009045C" w:rsidRDefault="00350CB7" w:rsidP="0009045C">
      <w:pPr>
        <w:spacing w:line="192" w:lineRule="auto"/>
        <w:ind w:left="7788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09045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………………………………………….……………………</w:t>
      </w:r>
      <w:r w:rsidR="0009045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…………………………..</w:t>
      </w:r>
      <w:r w:rsidRPr="0009045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</w:t>
      </w:r>
    </w:p>
    <w:p w14:paraId="2DAB274B" w14:textId="0FD3DEF8" w:rsidR="00350CB7" w:rsidRPr="0009045C" w:rsidRDefault="00350CB7" w:rsidP="0009045C">
      <w:pPr>
        <w:spacing w:after="240" w:line="192" w:lineRule="auto"/>
        <w:ind w:left="7791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09045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09045C" w:rsidRDefault="00BC24C4" w:rsidP="0009045C">
      <w:pPr>
        <w:spacing w:line="192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09045C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8078B" w14:textId="77777777" w:rsidR="00D970C6" w:rsidRDefault="00D970C6" w:rsidP="00412E06">
      <w:r>
        <w:separator/>
      </w:r>
    </w:p>
  </w:endnote>
  <w:endnote w:type="continuationSeparator" w:id="0">
    <w:p w14:paraId="0C0486F1" w14:textId="77777777" w:rsidR="00D970C6" w:rsidRDefault="00D970C6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C856D" w14:textId="77777777" w:rsidR="00507368" w:rsidRPr="002B1B93" w:rsidRDefault="00507368" w:rsidP="00507368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62894">
      <w:rPr>
        <w:rFonts w:asciiTheme="minorHAnsi" w:hAnsiTheme="minorHAnsi" w:cstheme="minorHAnsi"/>
        <w:bCs/>
        <w:noProof/>
        <w:sz w:val="18"/>
        <w:szCs w:val="28"/>
      </w:rPr>
      <w:t>8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62894">
      <w:rPr>
        <w:rFonts w:asciiTheme="minorHAnsi" w:hAnsiTheme="minorHAnsi" w:cstheme="minorHAnsi"/>
        <w:bCs/>
        <w:noProof/>
        <w:sz w:val="18"/>
        <w:szCs w:val="28"/>
      </w:rPr>
      <w:t>8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1F7543C" w14:textId="1A716544" w:rsidR="00507368" w:rsidRPr="00D825C7" w:rsidRDefault="00507368" w:rsidP="00507368">
    <w:pPr>
      <w:pStyle w:val="Tekstprzypisudolnego"/>
      <w:jc w:val="center"/>
      <w:rPr>
        <w:lang w:val="pl-PL"/>
      </w:rPr>
    </w:pPr>
    <w:r w:rsidRPr="002B1B93">
      <w:rPr>
        <w:rFonts w:asciiTheme="minorHAnsi" w:hAnsiTheme="minorHAnsi" w:cstheme="minorHAnsi"/>
        <w:sz w:val="16"/>
      </w:rPr>
      <w:t>v</w:t>
    </w:r>
    <w:r w:rsidR="00D825C7">
      <w:rPr>
        <w:rFonts w:asciiTheme="minorHAnsi" w:hAnsiTheme="minorHAnsi" w:cstheme="minorHAnsi"/>
        <w:sz w:val="16"/>
        <w:lang w:val="pl-PL"/>
      </w:rPr>
      <w:t>2</w:t>
    </w:r>
  </w:p>
  <w:p w14:paraId="38F49268" w14:textId="77777777" w:rsidR="005F342F" w:rsidRDefault="005F342F" w:rsidP="00DA71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2A2D3" w14:textId="77777777" w:rsidR="00D970C6" w:rsidRDefault="00D970C6" w:rsidP="00412E06">
      <w:r>
        <w:separator/>
      </w:r>
    </w:p>
  </w:footnote>
  <w:footnote w:type="continuationSeparator" w:id="0">
    <w:p w14:paraId="52D50C72" w14:textId="77777777" w:rsidR="00D970C6" w:rsidRDefault="00D970C6" w:rsidP="00412E06">
      <w:r>
        <w:continuationSeparator/>
      </w:r>
    </w:p>
  </w:footnote>
  <w:footnote w:id="1">
    <w:p w14:paraId="7AE27D5F" w14:textId="77777777" w:rsidR="00D70684" w:rsidRPr="000A1BC5" w:rsidRDefault="00D70684" w:rsidP="00D70684">
      <w:pPr>
        <w:pStyle w:val="Tekstprzypisudolnego"/>
        <w:spacing w:line="19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2">
    <w:p w14:paraId="1B4F20A6" w14:textId="33824CC7" w:rsidR="000B4561" w:rsidRPr="00A95704" w:rsidRDefault="000B4561" w:rsidP="000B4561">
      <w:pPr>
        <w:pStyle w:val="Tekstprzypisudolnego"/>
        <w:spacing w:line="192" w:lineRule="auto"/>
        <w:ind w:left="142" w:hanging="142"/>
        <w:jc w:val="both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 mln 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B92BF" w14:textId="27E91792" w:rsidR="005D589C" w:rsidRPr="00BB4166" w:rsidRDefault="00BB4166" w:rsidP="00BB4166">
    <w:pPr>
      <w:pStyle w:val="Nagwek"/>
    </w:pPr>
    <w:r>
      <w:rPr>
        <w:noProof/>
        <w:lang w:eastAsia="pl-PL"/>
      </w:rPr>
      <w:drawing>
        <wp:inline distT="0" distB="0" distL="0" distR="0" wp14:anchorId="3439FA01" wp14:editId="2F38DA85">
          <wp:extent cx="5760720" cy="792480"/>
          <wp:effectExtent l="0" t="0" r="0" b="7620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8"/>
  </w:num>
  <w:num w:numId="5">
    <w:abstractNumId w:val="23"/>
  </w:num>
  <w:num w:numId="6">
    <w:abstractNumId w:val="4"/>
  </w:num>
  <w:num w:numId="7">
    <w:abstractNumId w:val="22"/>
  </w:num>
  <w:num w:numId="8">
    <w:abstractNumId w:val="2"/>
  </w:num>
  <w:num w:numId="9">
    <w:abstractNumId w:val="20"/>
  </w:num>
  <w:num w:numId="10">
    <w:abstractNumId w:val="15"/>
  </w:num>
  <w:num w:numId="11">
    <w:abstractNumId w:val="12"/>
  </w:num>
  <w:num w:numId="12">
    <w:abstractNumId w:val="17"/>
  </w:num>
  <w:num w:numId="13">
    <w:abstractNumId w:val="14"/>
  </w:num>
  <w:num w:numId="14">
    <w:abstractNumId w:val="1"/>
  </w:num>
  <w:num w:numId="15">
    <w:abstractNumId w:val="3"/>
  </w:num>
  <w:num w:numId="16">
    <w:abstractNumId w:val="13"/>
  </w:num>
  <w:num w:numId="17">
    <w:abstractNumId w:val="10"/>
  </w:num>
  <w:num w:numId="18">
    <w:abstractNumId w:val="19"/>
  </w:num>
  <w:num w:numId="19">
    <w:abstractNumId w:val="9"/>
  </w:num>
  <w:num w:numId="20">
    <w:abstractNumId w:val="21"/>
  </w:num>
  <w:num w:numId="21">
    <w:abstractNumId w:val="6"/>
  </w:num>
  <w:num w:numId="22">
    <w:abstractNumId w:val="5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E06"/>
    <w:rsid w:val="000038FA"/>
    <w:rsid w:val="0002200E"/>
    <w:rsid w:val="0003008D"/>
    <w:rsid w:val="000358E9"/>
    <w:rsid w:val="00035FF3"/>
    <w:rsid w:val="000568AC"/>
    <w:rsid w:val="00060080"/>
    <w:rsid w:val="00061FDC"/>
    <w:rsid w:val="00062E5D"/>
    <w:rsid w:val="000708AD"/>
    <w:rsid w:val="00080119"/>
    <w:rsid w:val="000859E1"/>
    <w:rsid w:val="0009045C"/>
    <w:rsid w:val="00090B2A"/>
    <w:rsid w:val="000A0E7A"/>
    <w:rsid w:val="000A774B"/>
    <w:rsid w:val="000B4561"/>
    <w:rsid w:val="000B49B1"/>
    <w:rsid w:val="000B629A"/>
    <w:rsid w:val="000C5896"/>
    <w:rsid w:val="000C7399"/>
    <w:rsid w:val="000C7997"/>
    <w:rsid w:val="000D3F37"/>
    <w:rsid w:val="000D56CB"/>
    <w:rsid w:val="000F5336"/>
    <w:rsid w:val="000F5AF6"/>
    <w:rsid w:val="00123753"/>
    <w:rsid w:val="00126446"/>
    <w:rsid w:val="001318C9"/>
    <w:rsid w:val="0013598F"/>
    <w:rsid w:val="00182387"/>
    <w:rsid w:val="00184D55"/>
    <w:rsid w:val="00185040"/>
    <w:rsid w:val="00186916"/>
    <w:rsid w:val="00187938"/>
    <w:rsid w:val="00190BF1"/>
    <w:rsid w:val="00193443"/>
    <w:rsid w:val="001A01FF"/>
    <w:rsid w:val="001A1091"/>
    <w:rsid w:val="001B17D0"/>
    <w:rsid w:val="001C4A1D"/>
    <w:rsid w:val="001C5D9E"/>
    <w:rsid w:val="00203214"/>
    <w:rsid w:val="00205F0E"/>
    <w:rsid w:val="00212AB8"/>
    <w:rsid w:val="0023077E"/>
    <w:rsid w:val="00230854"/>
    <w:rsid w:val="00234222"/>
    <w:rsid w:val="002351F4"/>
    <w:rsid w:val="00244E79"/>
    <w:rsid w:val="002457C4"/>
    <w:rsid w:val="0025160C"/>
    <w:rsid w:val="002717CD"/>
    <w:rsid w:val="00280CFF"/>
    <w:rsid w:val="002953CF"/>
    <w:rsid w:val="002A64DF"/>
    <w:rsid w:val="002B18BD"/>
    <w:rsid w:val="002B6A36"/>
    <w:rsid w:val="002D3FB4"/>
    <w:rsid w:val="0031275D"/>
    <w:rsid w:val="00323A88"/>
    <w:rsid w:val="00325266"/>
    <w:rsid w:val="00330294"/>
    <w:rsid w:val="00337C27"/>
    <w:rsid w:val="0034647D"/>
    <w:rsid w:val="00350CB7"/>
    <w:rsid w:val="00354130"/>
    <w:rsid w:val="003612E5"/>
    <w:rsid w:val="00366626"/>
    <w:rsid w:val="00367958"/>
    <w:rsid w:val="00382835"/>
    <w:rsid w:val="003925C2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5DC3"/>
    <w:rsid w:val="003F1941"/>
    <w:rsid w:val="003F603E"/>
    <w:rsid w:val="00402E66"/>
    <w:rsid w:val="004044D8"/>
    <w:rsid w:val="004128CD"/>
    <w:rsid w:val="00412E06"/>
    <w:rsid w:val="00415CE3"/>
    <w:rsid w:val="004516C1"/>
    <w:rsid w:val="00456CDA"/>
    <w:rsid w:val="00460E55"/>
    <w:rsid w:val="004618DC"/>
    <w:rsid w:val="00461A12"/>
    <w:rsid w:val="004725A2"/>
    <w:rsid w:val="0049103C"/>
    <w:rsid w:val="004913F7"/>
    <w:rsid w:val="004A1181"/>
    <w:rsid w:val="004A1E32"/>
    <w:rsid w:val="004A2A9E"/>
    <w:rsid w:val="004B0D3E"/>
    <w:rsid w:val="004B1107"/>
    <w:rsid w:val="004B47F6"/>
    <w:rsid w:val="004C293C"/>
    <w:rsid w:val="004C7978"/>
    <w:rsid w:val="004E3105"/>
    <w:rsid w:val="004E7198"/>
    <w:rsid w:val="004F63C1"/>
    <w:rsid w:val="004F75B6"/>
    <w:rsid w:val="004F7EFD"/>
    <w:rsid w:val="00502F08"/>
    <w:rsid w:val="00507368"/>
    <w:rsid w:val="00507820"/>
    <w:rsid w:val="00515F5D"/>
    <w:rsid w:val="00521BCB"/>
    <w:rsid w:val="0052649A"/>
    <w:rsid w:val="00527037"/>
    <w:rsid w:val="0053023C"/>
    <w:rsid w:val="00532BC9"/>
    <w:rsid w:val="00535B76"/>
    <w:rsid w:val="00542450"/>
    <w:rsid w:val="0055224C"/>
    <w:rsid w:val="005612F1"/>
    <w:rsid w:val="00567E17"/>
    <w:rsid w:val="00574753"/>
    <w:rsid w:val="00577C8F"/>
    <w:rsid w:val="00584D6B"/>
    <w:rsid w:val="005925DE"/>
    <w:rsid w:val="005932DF"/>
    <w:rsid w:val="00595EF1"/>
    <w:rsid w:val="005A2C7E"/>
    <w:rsid w:val="005A73E5"/>
    <w:rsid w:val="005B1525"/>
    <w:rsid w:val="005C35C4"/>
    <w:rsid w:val="005D589C"/>
    <w:rsid w:val="005E4248"/>
    <w:rsid w:val="005F0DF2"/>
    <w:rsid w:val="005F1921"/>
    <w:rsid w:val="005F342F"/>
    <w:rsid w:val="005F618F"/>
    <w:rsid w:val="00604E1E"/>
    <w:rsid w:val="0061567C"/>
    <w:rsid w:val="0062741C"/>
    <w:rsid w:val="00645BEE"/>
    <w:rsid w:val="006506F2"/>
    <w:rsid w:val="00653D7E"/>
    <w:rsid w:val="00697814"/>
    <w:rsid w:val="006A2345"/>
    <w:rsid w:val="006B3719"/>
    <w:rsid w:val="006C35BB"/>
    <w:rsid w:val="006C39DB"/>
    <w:rsid w:val="006C4E1C"/>
    <w:rsid w:val="006C6AEC"/>
    <w:rsid w:val="006F75D6"/>
    <w:rsid w:val="0071136C"/>
    <w:rsid w:val="0071294D"/>
    <w:rsid w:val="0073357A"/>
    <w:rsid w:val="00734003"/>
    <w:rsid w:val="00741B00"/>
    <w:rsid w:val="0074336D"/>
    <w:rsid w:val="00754B3D"/>
    <w:rsid w:val="00765444"/>
    <w:rsid w:val="00771DAF"/>
    <w:rsid w:val="00775DCB"/>
    <w:rsid w:val="00776B55"/>
    <w:rsid w:val="00786559"/>
    <w:rsid w:val="00787DBC"/>
    <w:rsid w:val="00792940"/>
    <w:rsid w:val="007A3704"/>
    <w:rsid w:val="007B16CA"/>
    <w:rsid w:val="007B3E31"/>
    <w:rsid w:val="007B7557"/>
    <w:rsid w:val="007C18F4"/>
    <w:rsid w:val="007C3763"/>
    <w:rsid w:val="007D5FE9"/>
    <w:rsid w:val="007D71FA"/>
    <w:rsid w:val="007E4FE3"/>
    <w:rsid w:val="008032CE"/>
    <w:rsid w:val="0080429E"/>
    <w:rsid w:val="00805496"/>
    <w:rsid w:val="00807A96"/>
    <w:rsid w:val="0082467D"/>
    <w:rsid w:val="008319A9"/>
    <w:rsid w:val="00853D6E"/>
    <w:rsid w:val="00862894"/>
    <w:rsid w:val="00872330"/>
    <w:rsid w:val="00883F88"/>
    <w:rsid w:val="00891F0E"/>
    <w:rsid w:val="008946FD"/>
    <w:rsid w:val="008A0C15"/>
    <w:rsid w:val="008A630C"/>
    <w:rsid w:val="008A6FCB"/>
    <w:rsid w:val="008A7A9C"/>
    <w:rsid w:val="008A7C2E"/>
    <w:rsid w:val="008A7D27"/>
    <w:rsid w:val="008B0605"/>
    <w:rsid w:val="008C4C3F"/>
    <w:rsid w:val="008C78F5"/>
    <w:rsid w:val="008D5546"/>
    <w:rsid w:val="00913763"/>
    <w:rsid w:val="00915CC2"/>
    <w:rsid w:val="00923790"/>
    <w:rsid w:val="00926588"/>
    <w:rsid w:val="00935CE5"/>
    <w:rsid w:val="00950B23"/>
    <w:rsid w:val="00952B9D"/>
    <w:rsid w:val="009535A0"/>
    <w:rsid w:val="00953A8F"/>
    <w:rsid w:val="00953CD4"/>
    <w:rsid w:val="00956B8A"/>
    <w:rsid w:val="009628AC"/>
    <w:rsid w:val="00963B39"/>
    <w:rsid w:val="0098613A"/>
    <w:rsid w:val="00987D40"/>
    <w:rsid w:val="009918A3"/>
    <w:rsid w:val="009A3064"/>
    <w:rsid w:val="009A6829"/>
    <w:rsid w:val="009B6E81"/>
    <w:rsid w:val="009C4489"/>
    <w:rsid w:val="009D3CA6"/>
    <w:rsid w:val="009F42EA"/>
    <w:rsid w:val="009F7C31"/>
    <w:rsid w:val="00A0069C"/>
    <w:rsid w:val="00A00A92"/>
    <w:rsid w:val="00A119B3"/>
    <w:rsid w:val="00A6428A"/>
    <w:rsid w:val="00A94D05"/>
    <w:rsid w:val="00A95704"/>
    <w:rsid w:val="00A9666B"/>
    <w:rsid w:val="00AB2B3A"/>
    <w:rsid w:val="00AD2D98"/>
    <w:rsid w:val="00AF00C2"/>
    <w:rsid w:val="00AF2DAB"/>
    <w:rsid w:val="00B04CA0"/>
    <w:rsid w:val="00B05001"/>
    <w:rsid w:val="00B05FB7"/>
    <w:rsid w:val="00B06F59"/>
    <w:rsid w:val="00B1750A"/>
    <w:rsid w:val="00B270C5"/>
    <w:rsid w:val="00B308D8"/>
    <w:rsid w:val="00B50340"/>
    <w:rsid w:val="00B532D8"/>
    <w:rsid w:val="00B5339C"/>
    <w:rsid w:val="00B57B8F"/>
    <w:rsid w:val="00B73643"/>
    <w:rsid w:val="00B95C14"/>
    <w:rsid w:val="00B967E9"/>
    <w:rsid w:val="00BA214E"/>
    <w:rsid w:val="00BB0AFE"/>
    <w:rsid w:val="00BB4166"/>
    <w:rsid w:val="00BC1FB2"/>
    <w:rsid w:val="00BC24C4"/>
    <w:rsid w:val="00BC52FB"/>
    <w:rsid w:val="00BD3548"/>
    <w:rsid w:val="00BD4634"/>
    <w:rsid w:val="00C11F28"/>
    <w:rsid w:val="00C25D68"/>
    <w:rsid w:val="00C2685E"/>
    <w:rsid w:val="00C32CA8"/>
    <w:rsid w:val="00C33B43"/>
    <w:rsid w:val="00C5095B"/>
    <w:rsid w:val="00C65DC8"/>
    <w:rsid w:val="00C740A4"/>
    <w:rsid w:val="00CA4797"/>
    <w:rsid w:val="00CD3414"/>
    <w:rsid w:val="00CE0567"/>
    <w:rsid w:val="00CE337A"/>
    <w:rsid w:val="00CF41F9"/>
    <w:rsid w:val="00D015CA"/>
    <w:rsid w:val="00D050B9"/>
    <w:rsid w:val="00D1479F"/>
    <w:rsid w:val="00D15732"/>
    <w:rsid w:val="00D25A21"/>
    <w:rsid w:val="00D25C5C"/>
    <w:rsid w:val="00D3576B"/>
    <w:rsid w:val="00D55EB2"/>
    <w:rsid w:val="00D63658"/>
    <w:rsid w:val="00D70684"/>
    <w:rsid w:val="00D74472"/>
    <w:rsid w:val="00D74985"/>
    <w:rsid w:val="00D760F9"/>
    <w:rsid w:val="00D825C7"/>
    <w:rsid w:val="00D839A2"/>
    <w:rsid w:val="00D86A4F"/>
    <w:rsid w:val="00D92A47"/>
    <w:rsid w:val="00D93598"/>
    <w:rsid w:val="00D970C6"/>
    <w:rsid w:val="00D97FE3"/>
    <w:rsid w:val="00DA3038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E042A3"/>
    <w:rsid w:val="00E254D0"/>
    <w:rsid w:val="00E40F19"/>
    <w:rsid w:val="00E42520"/>
    <w:rsid w:val="00E5657A"/>
    <w:rsid w:val="00E643C7"/>
    <w:rsid w:val="00E71636"/>
    <w:rsid w:val="00E75944"/>
    <w:rsid w:val="00E76D6E"/>
    <w:rsid w:val="00E91DA1"/>
    <w:rsid w:val="00E96C1F"/>
    <w:rsid w:val="00EA5429"/>
    <w:rsid w:val="00EA5FDD"/>
    <w:rsid w:val="00EB035E"/>
    <w:rsid w:val="00ED237C"/>
    <w:rsid w:val="00EE7CFE"/>
    <w:rsid w:val="00F11E6B"/>
    <w:rsid w:val="00F40FF9"/>
    <w:rsid w:val="00F43086"/>
    <w:rsid w:val="00F44173"/>
    <w:rsid w:val="00F50949"/>
    <w:rsid w:val="00F51010"/>
    <w:rsid w:val="00F526D0"/>
    <w:rsid w:val="00F668F5"/>
    <w:rsid w:val="00F715D9"/>
    <w:rsid w:val="00F71D1C"/>
    <w:rsid w:val="00F83B43"/>
    <w:rsid w:val="00F94868"/>
    <w:rsid w:val="00F9711B"/>
    <w:rsid w:val="00FA2C95"/>
    <w:rsid w:val="00FA594F"/>
    <w:rsid w:val="00FA5A64"/>
    <w:rsid w:val="00FA6478"/>
    <w:rsid w:val="00FB2C7B"/>
    <w:rsid w:val="00FB543D"/>
    <w:rsid w:val="00FC3843"/>
    <w:rsid w:val="00FD2039"/>
    <w:rsid w:val="00FD4DA2"/>
    <w:rsid w:val="00FE6B57"/>
    <w:rsid w:val="00FF4289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8A44A-BBD7-4C70-9BBB-823D3DEA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2235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Małgorzata Drzewicka</cp:lastModifiedBy>
  <cp:revision>15</cp:revision>
  <cp:lastPrinted>2022-09-21T09:48:00Z</cp:lastPrinted>
  <dcterms:created xsi:type="dcterms:W3CDTF">2023-04-25T08:12:00Z</dcterms:created>
  <dcterms:modified xsi:type="dcterms:W3CDTF">2024-10-04T06:29:00Z</dcterms:modified>
</cp:coreProperties>
</file>