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CE43" w14:textId="47290093" w:rsidR="00D70684" w:rsidRPr="009350F6" w:rsidRDefault="003D5D90" w:rsidP="00DE67FE">
      <w:pPr>
        <w:tabs>
          <w:tab w:val="left" w:pos="700"/>
        </w:tabs>
        <w:spacing w:line="276" w:lineRule="auto"/>
        <w:rPr>
          <w:rFonts w:asciiTheme="minorHAnsi" w:hAnsiTheme="minorHAnsi" w:cstheme="minorHAnsi"/>
          <w:b/>
        </w:rPr>
      </w:pPr>
      <w:r w:rsidRPr="00FE05A7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FE05A7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FE05A7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653D7E" w:rsidRPr="00FE05A7">
        <w:rPr>
          <w:rFonts w:asciiTheme="minorHAnsi" w:hAnsiTheme="minorHAnsi" w:cstheme="minorHAnsi"/>
          <w:sz w:val="24"/>
          <w:szCs w:val="24"/>
        </w:rPr>
        <w:t xml:space="preserve">DO UMOWY O DOFINASOWANIE PROJEKTU W RAMACH FUNDUSZY EUROPEJSKICH DLA DOLNEGO ŚLĄSKA 2021-2027 WSPÓŁFINANSOWANEGO ZE ŚRODKÓW </w:t>
      </w:r>
      <w:r w:rsidR="00DE67FE">
        <w:rPr>
          <w:rFonts w:asciiTheme="minorHAnsi" w:hAnsiTheme="minorHAnsi" w:cstheme="minorHAnsi"/>
          <w:sz w:val="24"/>
          <w:szCs w:val="24"/>
        </w:rPr>
        <w:t>FUNDUSZU NA RZECZ  SPRAWIEDLIWEJ TRANSFORMACJI</w:t>
      </w:r>
    </w:p>
    <w:p w14:paraId="73DA284F" w14:textId="5D37F091" w:rsidR="003D5D90" w:rsidRPr="009350F6" w:rsidRDefault="003D5D90" w:rsidP="0084478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A9893E2" w14:textId="7791881E" w:rsidR="009F3678" w:rsidRDefault="00D70684" w:rsidP="00000C90">
      <w:pPr>
        <w:spacing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9C3CD1">
        <w:rPr>
          <w:rFonts w:asciiTheme="minorHAnsi" w:hAnsiTheme="minorHAnsi" w:cstheme="minorHAnsi"/>
          <w:bCs/>
          <w:sz w:val="24"/>
          <w:szCs w:val="24"/>
        </w:rPr>
        <w:t>załączyć</w:t>
      </w:r>
      <w:r w:rsidR="009C3CD1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9C3CD1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0E9FF2EA" w14:textId="4F8608D1" w:rsidR="009F3678" w:rsidRPr="0009045C" w:rsidRDefault="009F3678" w:rsidP="009F3678">
      <w:pPr>
        <w:spacing w:line="271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Zgodnie z </w:t>
      </w:r>
      <w:r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wniosku o płatność,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</w:t>
      </w:r>
      <w:r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Pośrednicząca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poinformuje Państwa poprzez system CST2021 po złożeniu wniosku o płatność o wyborze dokumentów do próby. </w:t>
      </w:r>
    </w:p>
    <w:p w14:paraId="21F31B54" w14:textId="242BBD86" w:rsidR="00D70684" w:rsidRPr="009350F6" w:rsidRDefault="009C3CD1" w:rsidP="00000C90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 xml:space="preserve">objęcia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4007A0">
        <w:rPr>
          <w:rFonts w:asciiTheme="minorHAnsi" w:hAnsiTheme="minorHAnsi" w:cstheme="minorHAnsi"/>
          <w:bCs/>
          <w:sz w:val="24"/>
          <w:szCs w:val="24"/>
        </w:rPr>
        <w:t>Instytucja Pośrednicząca</w:t>
      </w:r>
      <w:r w:rsidR="004007A0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których dane </w:t>
      </w:r>
      <w:r>
        <w:rPr>
          <w:rFonts w:asciiTheme="minorHAnsi" w:hAnsiTheme="minorHAnsi" w:cstheme="minorHAnsi"/>
          <w:bCs/>
          <w:sz w:val="24"/>
          <w:szCs w:val="24"/>
        </w:rPr>
        <w:t>wprowadzili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7C63A14E" w14:textId="32D3D0C3" w:rsidR="00D70684" w:rsidRPr="009350F6" w:rsidRDefault="00D70684" w:rsidP="00000C90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15302AF5" w14:textId="51ED90C7" w:rsidR="00D70684" w:rsidRPr="009350F6" w:rsidRDefault="00D70684" w:rsidP="00000C90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1587342E" w14:textId="4A9F27FC" w:rsidR="00D70684" w:rsidRPr="009350F6" w:rsidRDefault="00D70684" w:rsidP="00000C90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4007A0">
        <w:rPr>
          <w:rFonts w:asciiTheme="minorHAnsi" w:hAnsiTheme="minorHAnsi" w:cstheme="minorHAnsi"/>
          <w:sz w:val="24"/>
          <w:szCs w:val="24"/>
        </w:rPr>
        <w:t>Instytucji Pośredniczącej</w:t>
      </w:r>
      <w:r w:rsidR="004007A0" w:rsidRPr="009350F6">
        <w:rPr>
          <w:rFonts w:asciiTheme="minorHAnsi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sz w:val="24"/>
          <w:szCs w:val="24"/>
        </w:rPr>
        <w:t xml:space="preserve">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C0D845C" w14:textId="77777777" w:rsidR="00D70684" w:rsidRPr="009350F6" w:rsidRDefault="00D70684" w:rsidP="00000C90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844782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3DC75E0A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wynosi……… (w tym VAT …)”;</w:t>
      </w:r>
    </w:p>
    <w:p w14:paraId="7F57E1A9" w14:textId="4BF85403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3275CE24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EB08D9">
      <w:pPr>
        <w:spacing w:before="24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844782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3BC1DD67" w14:textId="71763333" w:rsidR="00325266" w:rsidRPr="009350F6" w:rsidRDefault="00CE0567" w:rsidP="00000C90">
      <w:pPr>
        <w:pStyle w:val="Akapitzlist"/>
        <w:numPr>
          <w:ilvl w:val="0"/>
          <w:numId w:val="23"/>
        </w:numPr>
        <w:spacing w:before="120" w:after="360" w:line="276" w:lineRule="auto"/>
        <w:ind w:left="426" w:hanging="284"/>
        <w:contextualSpacing w:val="0"/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2D05C9A8" w14:textId="64B8CCD3" w:rsidR="00D70684" w:rsidRPr="009350F6" w:rsidRDefault="00D70684" w:rsidP="00844782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844782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844782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6C91CD3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Dokumenty księgowe muszą spełniać wymogi przepisów prawa </w:t>
            </w:r>
            <w:r w:rsidRPr="00000C9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krajowego oraz muszą być wystawione na Beneficjenta/Partnera/</w:t>
            </w:r>
            <w:r w:rsidR="00663C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Podmiot, do którego skierowane jest wsparcie Projektu.</w:t>
            </w:r>
          </w:p>
          <w:p w14:paraId="01662C1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048EA12C" w:rsidR="005B1525" w:rsidRPr="009350F6" w:rsidRDefault="00D7068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</w:t>
            </w:r>
            <w:r w:rsidR="00663C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zmniejszenia.</w:t>
            </w:r>
            <w:r w:rsidR="00AD2D98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9350F6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Operacje finansowe związane z Projektem powinny być dokonywane z rachunku  płatniczego Projektu  wskazanego w umowie o dofinansowanie (nie dotyczy wydatków poniesionych przed datą zawarcia umowy o dofinansowanie). </w:t>
            </w:r>
          </w:p>
          <w:p w14:paraId="57B4A66D" w14:textId="77777777" w:rsidR="00D70684" w:rsidRPr="009350F6" w:rsidRDefault="00D70684" w:rsidP="00000C90">
            <w:pPr>
              <w:spacing w:before="24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5EC586FB" w14:textId="736BDD5E" w:rsidR="00D70684" w:rsidRPr="009350F6" w:rsidRDefault="00D70684" w:rsidP="00000C90">
            <w:pPr>
              <w:spacing w:before="24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1E341799" w14:textId="30C73EB3" w:rsidR="00F11E6B" w:rsidRPr="009350F6" w:rsidRDefault="00F11E6B" w:rsidP="00000C90">
            <w:pPr>
              <w:spacing w:before="240"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000C90">
            <w:pPr>
              <w:spacing w:after="3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protokoły odbioru zakupionych towarów/usług, przekazanych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 xml:space="preserve">W przypadku szkoleń Beneficjent powinien dodatkowo sporządzić listę obecności uczestników szkolenia. </w:t>
            </w:r>
          </w:p>
          <w:p w14:paraId="71A06FDE" w14:textId="09E52759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844782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17C09634" w:rsidR="00D70684" w:rsidRPr="009350F6" w:rsidRDefault="00D70684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663C9F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663C9F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00C90">
              <w:rPr>
                <w:rFonts w:asciiTheme="minorHAnsi" w:hAnsiTheme="minorHAnsi" w:cstheme="minorHAnsi"/>
                <w:bCs/>
                <w:spacing w:val="-4"/>
              </w:rPr>
              <w:t>Środek trwały należy ująć w ewidencji zgodnie z obowiązującymi</w:t>
            </w:r>
            <w:r w:rsidRPr="009350F6">
              <w:rPr>
                <w:rFonts w:asciiTheme="minorHAnsi" w:hAnsiTheme="minorHAnsi" w:cstheme="minorHAnsi"/>
                <w:bCs/>
              </w:rPr>
              <w:t xml:space="preserve"> przepisami prawa w tym zakresie. </w:t>
            </w:r>
          </w:p>
          <w:p w14:paraId="260909EA" w14:textId="3DB0A3DE" w:rsidR="005B1525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524F01E9" w:rsidR="00D70684" w:rsidRPr="009350F6" w:rsidRDefault="00956F39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3C092A40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</w:t>
            </w:r>
            <w:r w:rsidRPr="009350F6">
              <w:rPr>
                <w:rFonts w:asciiTheme="minorHAnsi" w:hAnsiTheme="minorHAnsi" w:cstheme="minorHAnsi"/>
                <w:bCs/>
              </w:rPr>
              <w:lastRenderedPageBreak/>
              <w:t xml:space="preserve">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46A6B496" w:rsidR="00D70684" w:rsidRPr="009350F6" w:rsidRDefault="00956F39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844782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84478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046AC872" w:rsidR="00D70684" w:rsidRPr="009350F6" w:rsidRDefault="00956F39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na wniosek: zestawienie składników wynagrodzenia </w:t>
            </w:r>
            <w:r w:rsidRPr="009350F6">
              <w:rPr>
                <w:rFonts w:asciiTheme="minorHAnsi" w:hAnsiTheme="minorHAnsi" w:cstheme="minorHAnsi"/>
                <w:color w:val="auto"/>
              </w:rPr>
              <w:lastRenderedPageBreak/>
              <w:t>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0F986AC0" w:rsidR="00186916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="00714BB4">
              <w:rPr>
                <w:rFonts w:asciiTheme="minorHAnsi" w:hAnsiTheme="minorHAnsi" w:cstheme="minorHAnsi"/>
                <w:sz w:val="24"/>
                <w:szCs w:val="24"/>
              </w:rPr>
              <w:t>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6543F71A" w:rsidR="004C293C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14BB4" w:rsidRPr="009350F6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714BB4">
              <w:rPr>
                <w:rFonts w:asciiTheme="minorHAnsi" w:hAnsiTheme="minorHAnsi" w:cstheme="minorHAnsi"/>
                <w:sz w:val="24"/>
                <w:szCs w:val="24"/>
              </w:rPr>
              <w:t>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7B6B98DA" w:rsidR="00D70684" w:rsidRPr="009350F6" w:rsidRDefault="00D70684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Beneficjent nie przedkłada do wniosku o płatność deklaracji rozliczeniowych ZUS oraz deklaracji podatkowych (chyba, że </w:t>
            </w:r>
            <w:r w:rsidR="00714BB4" w:rsidRPr="009350F6">
              <w:rPr>
                <w:rFonts w:asciiTheme="minorHAnsi" w:hAnsiTheme="minorHAnsi" w:cstheme="minorHAnsi"/>
              </w:rPr>
              <w:lastRenderedPageBreak/>
              <w:t>I</w:t>
            </w:r>
            <w:r w:rsidR="00714BB4">
              <w:rPr>
                <w:rFonts w:asciiTheme="minorHAnsi" w:hAnsiTheme="minorHAnsi" w:cstheme="minorHAnsi"/>
              </w:rPr>
              <w:t>nstytucja Pośrednicząca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69D3DF6D" w:rsidR="00D70684" w:rsidRPr="009350F6" w:rsidRDefault="00035F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714BB4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002F38BC" w:rsidR="00D70684" w:rsidRPr="009350F6" w:rsidRDefault="00956F39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844782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2EA0397F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</w:t>
            </w:r>
            <w:r w:rsidR="00714BB4" w:rsidRPr="009350F6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714BB4">
              <w:rPr>
                <w:rFonts w:asciiTheme="minorHAnsi" w:hAnsiTheme="minorHAnsi" w:cstheme="minorHAnsi"/>
                <w:sz w:val="24"/>
                <w:szCs w:val="24"/>
              </w:rPr>
              <w:t>nstytucja 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nie wystąpi). </w:t>
            </w:r>
          </w:p>
          <w:p w14:paraId="22FD2A40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844782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204429A0" w:rsidR="00D70684" w:rsidRPr="00000C90" w:rsidRDefault="00956F39" w:rsidP="00000C90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9350F6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844782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9350F6" w:rsidRDefault="00923790" w:rsidP="00844782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844782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53CA95A1" w:rsidR="00350CB7" w:rsidRPr="009350F6" w:rsidRDefault="00350CB7" w:rsidP="00844782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844782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DDA26" w14:textId="77777777" w:rsidR="007D6D0F" w:rsidRDefault="007D6D0F" w:rsidP="00412E06">
      <w:r>
        <w:separator/>
      </w:r>
    </w:p>
  </w:endnote>
  <w:endnote w:type="continuationSeparator" w:id="0">
    <w:p w14:paraId="34F9F249" w14:textId="77777777" w:rsidR="007D6D0F" w:rsidRDefault="007D6D0F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30AB9E54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85CB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85CBB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3D12762D" w:rsidR="005F342F" w:rsidRPr="009C3CD1" w:rsidRDefault="00244C43" w:rsidP="00244C43">
    <w:pPr>
      <w:pStyle w:val="Tekstprzypisudolnego"/>
      <w:jc w:val="center"/>
      <w:rPr>
        <w:lang w:val="pl-PL"/>
      </w:rPr>
    </w:pPr>
    <w:r w:rsidRPr="002B1B93">
      <w:rPr>
        <w:rFonts w:asciiTheme="minorHAnsi" w:hAnsiTheme="minorHAnsi" w:cstheme="minorHAnsi"/>
        <w:sz w:val="16"/>
      </w:rPr>
      <w:t>v</w:t>
    </w:r>
    <w:r w:rsidR="009C3CD1">
      <w:rPr>
        <w:rFonts w:asciiTheme="minorHAnsi" w:hAnsiTheme="minorHAnsi" w:cstheme="minorHAnsi"/>
        <w:sz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C9C8" w14:textId="77777777" w:rsidR="007D6D0F" w:rsidRDefault="007D6D0F" w:rsidP="00412E06">
      <w:r>
        <w:separator/>
      </w:r>
    </w:p>
  </w:footnote>
  <w:footnote w:type="continuationSeparator" w:id="0">
    <w:p w14:paraId="2424A6FD" w14:textId="77777777" w:rsidR="007D6D0F" w:rsidRDefault="007D6D0F" w:rsidP="00412E06">
      <w:r>
        <w:continuationSeparator/>
      </w:r>
    </w:p>
  </w:footnote>
  <w:footnote w:id="1">
    <w:p w14:paraId="7AE27D5F" w14:textId="77777777" w:rsidR="00D70684" w:rsidRPr="000A1BC5" w:rsidRDefault="00D70684" w:rsidP="00844782">
      <w:pPr>
        <w:pStyle w:val="Tekstprzypisudolnego"/>
        <w:spacing w:line="192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79161E4C" w:rsidR="000B4561" w:rsidRPr="00A95704" w:rsidRDefault="000B4561" w:rsidP="00000C90">
      <w:pPr>
        <w:pStyle w:val="Tekstprzypisudolnego"/>
        <w:spacing w:line="192" w:lineRule="auto"/>
        <w:ind w:left="142" w:hanging="142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</w:t>
      </w:r>
      <w:r w:rsidR="00956F39">
        <w:rPr>
          <w:sz w:val="16"/>
          <w:szCs w:val="16"/>
        </w:rPr>
        <w:t> </w:t>
      </w:r>
      <w:r w:rsidR="00956F39">
        <w:rPr>
          <w:sz w:val="16"/>
          <w:szCs w:val="16"/>
          <w:lang w:val="pl-PL"/>
        </w:rPr>
        <w:t>000 000</w:t>
      </w:r>
      <w:r w:rsidRPr="00A95704">
        <w:rPr>
          <w:sz w:val="16"/>
          <w:szCs w:val="16"/>
        </w:rPr>
        <w:t xml:space="preserve">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0C90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2F212D"/>
    <w:rsid w:val="0031275D"/>
    <w:rsid w:val="003134B7"/>
    <w:rsid w:val="00323A88"/>
    <w:rsid w:val="00325266"/>
    <w:rsid w:val="00330294"/>
    <w:rsid w:val="00337C27"/>
    <w:rsid w:val="003442F0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07A0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A3314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BCB"/>
    <w:rsid w:val="0052649A"/>
    <w:rsid w:val="00527037"/>
    <w:rsid w:val="00532BC9"/>
    <w:rsid w:val="00542450"/>
    <w:rsid w:val="00543477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589C"/>
    <w:rsid w:val="005D75C4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63C9F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14BB4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6D0F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56F39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3CD1"/>
    <w:rsid w:val="009C4489"/>
    <w:rsid w:val="009D3CA6"/>
    <w:rsid w:val="009F3678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27DB7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DE67FE"/>
    <w:rsid w:val="00E042A3"/>
    <w:rsid w:val="00E254D0"/>
    <w:rsid w:val="00E40F19"/>
    <w:rsid w:val="00E5657A"/>
    <w:rsid w:val="00E607BD"/>
    <w:rsid w:val="00E643C7"/>
    <w:rsid w:val="00E71636"/>
    <w:rsid w:val="00E96C1F"/>
    <w:rsid w:val="00EA5429"/>
    <w:rsid w:val="00EA5FDD"/>
    <w:rsid w:val="00EB08D9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36E9"/>
    <w:rsid w:val="00F668F5"/>
    <w:rsid w:val="00F715D9"/>
    <w:rsid w:val="00F71D1C"/>
    <w:rsid w:val="00F83B43"/>
    <w:rsid w:val="00F85CBB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CD1F-2A32-4366-9FE6-D43BBD1C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2233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Małgorzata Drzewicka</cp:lastModifiedBy>
  <cp:revision>39</cp:revision>
  <cp:lastPrinted>2022-09-21T09:48:00Z</cp:lastPrinted>
  <dcterms:created xsi:type="dcterms:W3CDTF">2022-10-10T09:04:00Z</dcterms:created>
  <dcterms:modified xsi:type="dcterms:W3CDTF">2024-10-04T06:32:00Z</dcterms:modified>
</cp:coreProperties>
</file>