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473916B7" w:rsidR="005F35A9" w:rsidRPr="00A732A2" w:rsidRDefault="00D83330" w:rsidP="00A823C6">
      <w:pPr>
        <w:pStyle w:val="Nagwek1"/>
        <w:spacing w:before="48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-I</w:t>
      </w:r>
      <w:r w:rsidR="009D498B" w:rsidRPr="00A732A2">
        <w:rPr>
          <w:rFonts w:cs="Calibri"/>
        </w:rPr>
        <w:t xml:space="preserve">Z.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A3B80CD" w:rsidR="0078363E" w:rsidRPr="00A732A2" w:rsidRDefault="00892718" w:rsidP="00F9016A">
      <w:pPr>
        <w:ind w:left="0" w:firstLine="0"/>
        <w:rPr>
          <w:rFonts w:cs="Calibri"/>
          <w:szCs w:val="24"/>
          <w:lang w:eastAsia="pl-PL"/>
        </w:rPr>
      </w:pPr>
      <w:r w:rsidRPr="00A732A2">
        <w:rPr>
          <w:rFonts w:cs="Calibri"/>
          <w:b/>
          <w:bCs/>
          <w:szCs w:val="24"/>
          <w:lang w:eastAsia="pl-PL"/>
        </w:rPr>
        <w:t>Województwem Dolnośląskim</w:t>
      </w:r>
      <w:r w:rsidRPr="00A732A2">
        <w:rPr>
          <w:rFonts w:cs="Calibri"/>
          <w:b/>
          <w:szCs w:val="24"/>
          <w:lang w:eastAsia="pl-PL"/>
        </w:rPr>
        <w:t>, z siedzibą we Wrocławiu, Wybrze</w:t>
      </w:r>
      <w:r w:rsidR="002A40AF" w:rsidRPr="00A732A2">
        <w:rPr>
          <w:rFonts w:cs="Calibri"/>
          <w:b/>
          <w:szCs w:val="24"/>
          <w:lang w:eastAsia="pl-PL"/>
        </w:rPr>
        <w:t xml:space="preserve">że Juliusza </w:t>
      </w:r>
      <w:r w:rsidRPr="00A732A2">
        <w:rPr>
          <w:rFonts w:cs="Calibri"/>
          <w:b/>
          <w:szCs w:val="24"/>
          <w:lang w:eastAsia="pl-PL"/>
        </w:rPr>
        <w:t>Słowackiego 12</w:t>
      </w:r>
      <w:r w:rsidR="007B0A95" w:rsidRPr="007B0A95">
        <w:rPr>
          <w:rFonts w:cs="Calibri"/>
          <w:b/>
          <w:szCs w:val="24"/>
          <w:lang w:eastAsia="pl-PL"/>
        </w:rPr>
        <w:t>–</w:t>
      </w:r>
      <w:r w:rsidRPr="00A732A2">
        <w:rPr>
          <w:rFonts w:cs="Calibri"/>
          <w:b/>
          <w:szCs w:val="24"/>
          <w:lang w:eastAsia="pl-PL"/>
        </w:rPr>
        <w:t>14,</w:t>
      </w:r>
      <w:r w:rsidR="00132D5F" w:rsidRPr="00A732A2">
        <w:rPr>
          <w:rFonts w:cs="Calibri"/>
          <w:b/>
          <w:szCs w:val="24"/>
          <w:lang w:eastAsia="pl-PL"/>
        </w:rPr>
        <w:t xml:space="preserve"> </w:t>
      </w:r>
      <w:r w:rsidRPr="00A732A2">
        <w:rPr>
          <w:rFonts w:cs="Calibri"/>
          <w:b/>
          <w:szCs w:val="24"/>
          <w:lang w:eastAsia="pl-PL"/>
        </w:rPr>
        <w:t>50</w:t>
      </w:r>
      <w:r w:rsidR="00132D5F" w:rsidRPr="00A732A2">
        <w:rPr>
          <w:rFonts w:cs="Calibri"/>
          <w:b/>
          <w:szCs w:val="24"/>
          <w:lang w:eastAsia="pl-PL"/>
        </w:rPr>
        <w:t>-</w:t>
      </w:r>
      <w:r w:rsidRPr="00A732A2">
        <w:rPr>
          <w:rFonts w:cs="Calibri"/>
          <w:b/>
          <w:szCs w:val="24"/>
          <w:lang w:eastAsia="pl-PL"/>
        </w:rPr>
        <w:t>411</w:t>
      </w:r>
      <w:r w:rsidR="00132D5F" w:rsidRPr="00A732A2">
        <w:rPr>
          <w:rFonts w:cs="Calibri"/>
          <w:b/>
          <w:szCs w:val="24"/>
          <w:lang w:eastAsia="pl-PL"/>
        </w:rPr>
        <w:t xml:space="preserve"> </w:t>
      </w:r>
      <w:r w:rsidRPr="00A732A2">
        <w:rPr>
          <w:rFonts w:cs="Calibri"/>
          <w:b/>
          <w:szCs w:val="24"/>
          <w:lang w:eastAsia="pl-PL"/>
        </w:rPr>
        <w:t>Wrocław</w:t>
      </w:r>
      <w:r w:rsidRPr="00A732A2">
        <w:rPr>
          <w:rFonts w:cs="Calibri"/>
          <w:bCs/>
          <w:szCs w:val="24"/>
          <w:lang w:eastAsia="pl-PL"/>
        </w:rPr>
        <w:t>,</w:t>
      </w:r>
      <w:r w:rsidR="00D96C16" w:rsidRPr="00A732A2">
        <w:rPr>
          <w:rFonts w:cs="Calibri"/>
          <w:szCs w:val="24"/>
          <w:lang w:eastAsia="pl-PL"/>
        </w:rPr>
        <w:t xml:space="preserve"> reprezentowanym przez Zarząd </w:t>
      </w:r>
      <w:r w:rsidR="00963060" w:rsidRPr="00A732A2">
        <w:rPr>
          <w:rFonts w:cs="Calibri"/>
          <w:szCs w:val="24"/>
          <w:lang w:eastAsia="pl-PL"/>
        </w:rPr>
        <w:t xml:space="preserve">Województwa Dolnośląskiego, </w:t>
      </w:r>
      <w:r w:rsidRPr="00A732A2">
        <w:rPr>
          <w:rFonts w:cs="Calibri"/>
          <w:szCs w:val="24"/>
          <w:lang w:eastAsia="pl-PL"/>
        </w:rPr>
        <w:t xml:space="preserve">pełniący rolę Instytucji Zarządzającej </w:t>
      </w:r>
      <w:r w:rsidRPr="00A732A2">
        <w:rPr>
          <w:rFonts w:cs="Calibri"/>
          <w:color w:val="000000" w:themeColor="text1"/>
          <w:szCs w:val="24"/>
          <w:lang w:eastAsia="pl-PL"/>
        </w:rPr>
        <w:t>Fundusz</w:t>
      </w:r>
      <w:r w:rsidR="00040BC3" w:rsidRPr="00A732A2">
        <w:rPr>
          <w:rFonts w:cs="Calibri"/>
          <w:color w:val="000000" w:themeColor="text1"/>
          <w:szCs w:val="24"/>
          <w:lang w:eastAsia="pl-PL"/>
        </w:rPr>
        <w:t>ami</w:t>
      </w:r>
      <w:r w:rsidRPr="00A732A2">
        <w:rPr>
          <w:rFonts w:cs="Calibri"/>
          <w:color w:val="000000" w:themeColor="text1"/>
          <w:szCs w:val="24"/>
          <w:lang w:eastAsia="pl-PL"/>
        </w:rPr>
        <w:t xml:space="preserve"> Europejski</w:t>
      </w:r>
      <w:r w:rsidR="00040BC3" w:rsidRPr="00A732A2">
        <w:rPr>
          <w:rFonts w:cs="Calibri"/>
          <w:color w:val="000000" w:themeColor="text1"/>
          <w:szCs w:val="24"/>
          <w:lang w:eastAsia="pl-PL"/>
        </w:rPr>
        <w:t>mi</w:t>
      </w:r>
      <w:r w:rsidRPr="00A732A2">
        <w:rPr>
          <w:rFonts w:cs="Calibri"/>
          <w:color w:val="000000" w:themeColor="text1"/>
          <w:szCs w:val="24"/>
          <w:lang w:eastAsia="pl-PL"/>
        </w:rPr>
        <w:t xml:space="preserve"> dla Dolnego Śląska 2021</w:t>
      </w:r>
      <w:r w:rsidR="00E52A00">
        <w:rPr>
          <w:rFonts w:cs="Calibri"/>
          <w:color w:val="000000" w:themeColor="text1"/>
          <w:szCs w:val="24"/>
          <w:lang w:eastAsia="pl-PL"/>
        </w:rPr>
        <w:t>–</w:t>
      </w:r>
      <w:r w:rsidRPr="00A732A2">
        <w:rPr>
          <w:rFonts w:cs="Calibri"/>
          <w:color w:val="000000" w:themeColor="text1"/>
          <w:szCs w:val="24"/>
          <w:lang w:eastAsia="pl-PL"/>
        </w:rPr>
        <w:t>2027</w:t>
      </w:r>
      <w:r w:rsidR="00876854" w:rsidRPr="00A732A2">
        <w:rPr>
          <w:rFonts w:cs="Calibri"/>
          <w:color w:val="000000" w:themeColor="text1"/>
          <w:szCs w:val="24"/>
          <w:lang w:eastAsia="pl-PL"/>
        </w:rPr>
        <w:t>,</w:t>
      </w:r>
      <w:r w:rsidR="000804F7" w:rsidRPr="00A732A2">
        <w:rPr>
          <w:rFonts w:cs="Calibri"/>
          <w:szCs w:val="24"/>
          <w:lang w:eastAsia="pl-PL"/>
        </w:rPr>
        <w:t xml:space="preserve"> </w:t>
      </w:r>
      <w:r w:rsidR="00591BB6" w:rsidRPr="00A732A2">
        <w:rPr>
          <w:rFonts w:cs="Calibri"/>
          <w:szCs w:val="24"/>
          <w:lang w:eastAsia="pl-PL"/>
        </w:rPr>
        <w:t>zwanym dalej „Instytucją Zarządzającą”</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w:t>
      </w:r>
      <w:proofErr w:type="spellStart"/>
      <w:r w:rsidR="001616DE" w:rsidRPr="00A732A2">
        <w:rPr>
          <w:rFonts w:cs="Calibri"/>
          <w:bCs/>
          <w:szCs w:val="24"/>
          <w:lang w:eastAsia="pl-PL"/>
        </w:rPr>
        <w:t>ym</w:t>
      </w:r>
      <w:proofErr w:type="spellEnd"/>
      <w:r w:rsidR="001616DE" w:rsidRPr="00A732A2">
        <w:rPr>
          <w:rFonts w:cs="Calibri"/>
          <w:bCs/>
          <w:szCs w:val="24"/>
          <w:lang w:eastAsia="pl-PL"/>
        </w:rPr>
        <w:t xml:space="preserve">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6C02AAE7" w:rsidR="00F87D08" w:rsidRPr="00A732A2" w:rsidRDefault="00F87D08" w:rsidP="00F9016A">
      <w:pPr>
        <w:pStyle w:val="Akapitzlist"/>
        <w:numPr>
          <w:ilvl w:val="0"/>
          <w:numId w:val="48"/>
        </w:numPr>
        <w:spacing w:before="40" w:after="40"/>
        <w:ind w:left="369" w:hanging="369"/>
        <w:contextualSpacing w:val="0"/>
        <w:rPr>
          <w:rFonts w:cs="Calibri"/>
          <w:b/>
          <w:bCs/>
          <w:szCs w:val="24"/>
        </w:rPr>
      </w:pPr>
      <w:bookmarkStart w:id="1" w:name="_Hlk114830504"/>
      <w:r w:rsidRPr="00A732A2">
        <w:rPr>
          <w:rFonts w:cs="Calibri"/>
          <w:b/>
          <w:bCs/>
          <w:szCs w:val="24"/>
        </w:rPr>
        <w:t xml:space="preserve">„CST2021” </w:t>
      </w:r>
      <w:r w:rsidRPr="00A732A2">
        <w:rPr>
          <w:rFonts w:cs="Calibri"/>
          <w:szCs w:val="24"/>
        </w:rPr>
        <w:t xml:space="preserve">– </w:t>
      </w:r>
      <w:bookmarkStart w:id="2" w:name="_Hlk114829886"/>
      <w:r w:rsidRPr="00A732A2">
        <w:rPr>
          <w:rFonts w:cs="Calibri"/>
          <w:szCs w:val="24"/>
        </w:rPr>
        <w:t>należy przez to rozumieć</w:t>
      </w:r>
      <w:bookmarkEnd w:id="2"/>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eneficjentem a Instytucją Zarządzającą</w:t>
      </w:r>
      <w:r w:rsidR="006F3CD2" w:rsidRPr="00A732A2">
        <w:rPr>
          <w:rFonts w:cs="Calibri"/>
          <w:szCs w:val="24"/>
        </w:rPr>
        <w:t>;</w:t>
      </w:r>
    </w:p>
    <w:bookmarkEnd w:id="1"/>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3" w:name="_Hlk108611536"/>
      <w:r w:rsidRPr="00A732A2">
        <w:rPr>
          <w:rFonts w:cs="Calibri"/>
          <w:b/>
          <w:bCs/>
          <w:szCs w:val="24"/>
        </w:rPr>
        <w:t>kategorii kosztów”</w:t>
      </w:r>
      <w:r w:rsidRPr="00A732A2">
        <w:rPr>
          <w:rFonts w:cs="Calibri"/>
          <w:szCs w:val="24"/>
        </w:rPr>
        <w:t xml:space="preserve"> </w:t>
      </w:r>
      <w:bookmarkStart w:id="4" w:name="_Hlk97560268"/>
      <w:r w:rsidRPr="00A732A2">
        <w:rPr>
          <w:rFonts w:cs="Calibri"/>
          <w:szCs w:val="24"/>
        </w:rPr>
        <w:t xml:space="preserve">– należy przez to rozumieć </w:t>
      </w:r>
      <w:bookmarkEnd w:id="4"/>
      <w:r w:rsidRPr="00A732A2">
        <w:rPr>
          <w:rFonts w:cs="Calibri"/>
          <w:szCs w:val="24"/>
        </w:rPr>
        <w:t>wyodrębniony rodzaj</w:t>
      </w:r>
      <w:r w:rsidR="00E90150" w:rsidRPr="00A732A2">
        <w:rPr>
          <w:rFonts w:cs="Calibri"/>
          <w:szCs w:val="24"/>
        </w:rPr>
        <w:t xml:space="preserve"> </w:t>
      </w:r>
      <w:bookmarkEnd w:id="3"/>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5E7C2E52"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przez Instytucję Zarządzającą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 xml:space="preserve">zatwierdzonym wniosku o dofinansowanie projektu, realizujący </w:t>
      </w:r>
      <w:r w:rsidR="0006723A" w:rsidRPr="00A732A2">
        <w:rPr>
          <w:rFonts w:cs="Calibri"/>
          <w:szCs w:val="24"/>
        </w:rPr>
        <w:lastRenderedPageBreak/>
        <w:t>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29AEE1FE"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w:t>
      </w:r>
      <w:proofErr w:type="spellStart"/>
      <w:r w:rsidRPr="00A732A2">
        <w:rPr>
          <w:rFonts w:cs="Calibri"/>
          <w:szCs w:val="24"/>
        </w:rPr>
        <w:t>późn</w:t>
      </w:r>
      <w:proofErr w:type="spellEnd"/>
      <w:r w:rsidRPr="00A732A2">
        <w:rPr>
          <w:rFonts w:cs="Calibri"/>
          <w:szCs w:val="24"/>
        </w:rPr>
        <w:t xml:space="preserve">.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w:t>
      </w:r>
      <w:proofErr w:type="spellStart"/>
      <w:r w:rsidRPr="00A732A2">
        <w:rPr>
          <w:rFonts w:cs="Calibri"/>
          <w:szCs w:val="24"/>
        </w:rPr>
        <w:t>późn</w:t>
      </w:r>
      <w:proofErr w:type="spellEnd"/>
      <w:r w:rsidRPr="00A732A2">
        <w:rPr>
          <w:rFonts w:cs="Calibri"/>
          <w:szCs w:val="24"/>
        </w:rPr>
        <w:t>. zm.). Obsługę kompetencji Zarządu Województwa Dolnośląskiego w zakresie Programu zapewniają właściwe komórki organizacyjne Urzędu Marszałkowskiego Województwa Dolnośląskiego zaangażowane w</w:t>
      </w:r>
      <w:r w:rsidR="006500E8" w:rsidRPr="00A732A2">
        <w:rPr>
          <w:rFonts w:cs="Calibri"/>
          <w:szCs w:val="24"/>
        </w:rPr>
        <w:t> </w:t>
      </w:r>
      <w:r w:rsidRPr="00A732A2">
        <w:rPr>
          <w:rFonts w:cs="Calibri"/>
          <w:szCs w:val="24"/>
        </w:rPr>
        <w:t>zarządzanie, wdrażanie i kontrolę;</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5"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Pr="00A732A2" w:rsidRDefault="009C588E" w:rsidP="00F9016A">
      <w:pPr>
        <w:pStyle w:val="Akapitzlist"/>
        <w:numPr>
          <w:ilvl w:val="0"/>
          <w:numId w:val="48"/>
        </w:numPr>
        <w:spacing w:before="40" w:after="40"/>
        <w:ind w:hanging="357"/>
        <w:contextualSpacing w:val="0"/>
        <w:rPr>
          <w:rFonts w:cs="Calibri"/>
          <w:szCs w:val="24"/>
        </w:rPr>
      </w:pPr>
      <w:bookmarkStart w:id="6"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bookmarkEnd w:id="6"/>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4F52D990"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 należy przez to rozumieć</w:t>
      </w:r>
      <w:r w:rsidR="005D2308" w:rsidRPr="00A732A2">
        <w:rPr>
          <w:rFonts w:cs="Calibri"/>
          <w:szCs w:val="24"/>
        </w:rPr>
        <w:t xml:space="preserve"> podmiot korzystający z CST2021 w ramach realizacji projektu, w tym Partnera;</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5"/>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Pr="00A732A2">
        <w:rPr>
          <w:rFonts w:cs="Calibri"/>
          <w:szCs w:val="24"/>
        </w:rPr>
        <w:lastRenderedPageBreak/>
        <w:t>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charakter niezależny oraz niezawiniony przez Beneficjenta lub Instytucję Zarządzającą,</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t>rozporządzeniu Parlamentu Europejskiego i Rady (UE) 2021/1056 z dnia 24 czerwca 2021 r.</w:t>
      </w:r>
      <w:r w:rsidR="008E606E" w:rsidRPr="00A732A2">
        <w:rPr>
          <w:rFonts w:cs="Calibri"/>
          <w:color w:val="000000" w:themeColor="text1"/>
          <w:szCs w:val="24"/>
        </w:rPr>
        <w:t xml:space="preserve"> </w:t>
      </w:r>
      <w:r w:rsidR="008E606E" w:rsidRPr="00A732A2">
        <w:rPr>
          <w:rFonts w:cs="Calibri"/>
          <w:color w:val="000000" w:themeColor="text1"/>
          <w:szCs w:val="24"/>
        </w:rPr>
        <w:lastRenderedPageBreak/>
        <w:t>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1928043D"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stawki ryczałtowej data ta odnosi się do kosztów bezpośrednich 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lonego szczegółowo we 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7"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7"/>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6CD3832F" w:rsidR="000E5A83" w:rsidRPr="00A732A2" w:rsidRDefault="000E5A83"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Pr="00A732A2">
        <w:rPr>
          <w:rFonts w:cs="Calibri"/>
          <w:szCs w:val="24"/>
        </w:rPr>
        <w:t xml:space="preserve"> </w:t>
      </w:r>
      <w:r w:rsidRPr="00A732A2">
        <w:rPr>
          <w:rFonts w:cs="Calibri"/>
          <w:b/>
          <w:szCs w:val="24"/>
        </w:rPr>
        <w:t>PLN</w:t>
      </w:r>
      <w:r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Pr="00A732A2">
        <w:rPr>
          <w:rFonts w:cs="Calibri"/>
          <w:b/>
          <w:szCs w:val="24"/>
        </w:rPr>
        <w:t>wydatków kwalifikowalnych</w:t>
      </w:r>
      <w:r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lastRenderedPageBreak/>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8" w:name="_Hlk93488228"/>
      <w:r w:rsidR="00A04F3D" w:rsidRPr="00A732A2">
        <w:rPr>
          <w:rFonts w:cs="Calibri"/>
          <w:b/>
          <w:bCs/>
          <w:szCs w:val="24"/>
        </w:rPr>
        <w:t>..…</w:t>
      </w:r>
      <w:bookmarkEnd w:id="8"/>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22CE4CFC"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pomoc publiczną</w:t>
      </w:r>
      <w:r w:rsidRPr="00A732A2">
        <w:rPr>
          <w:rFonts w:cs="Calibri"/>
          <w:szCs w:val="24"/>
        </w:rPr>
        <w:t xml:space="preserve"> w kwocie nieprzekraczającej</w:t>
      </w:r>
      <w:r w:rsidR="006B604B" w:rsidRPr="00A732A2">
        <w:rPr>
          <w:rFonts w:cs="Calibri"/>
          <w:szCs w:val="24"/>
        </w:rPr>
        <w:t xml:space="preserve"> </w:t>
      </w:r>
      <w:bookmarkStart w:id="9" w:name="_Hlk93488275"/>
      <w:r w:rsidR="005A4BD0" w:rsidRPr="00A732A2">
        <w:rPr>
          <w:rFonts w:cs="Calibri"/>
          <w:b/>
          <w:szCs w:val="24"/>
        </w:rPr>
        <w:t>………………..</w:t>
      </w:r>
      <w:bookmarkEnd w:id="9"/>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 w tym:</w:t>
      </w:r>
    </w:p>
    <w:p w14:paraId="00CCDFBF" w14:textId="0BB0569D" w:rsidR="00EA698D" w:rsidRPr="00A732A2" w:rsidRDefault="00BD0550"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w:t>
      </w:r>
      <w:r w:rsidR="00EA698D" w:rsidRPr="00A732A2">
        <w:rPr>
          <w:rFonts w:cs="Calibri"/>
          <w:szCs w:val="24"/>
        </w:rPr>
        <w:t xml:space="preserve">Beneficjentowi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393B6A2C" w14:textId="12C8394C" w:rsidR="00677C5D" w:rsidRPr="00A732A2" w:rsidRDefault="00A163E4" w:rsidP="00007CF5">
      <w:pPr>
        <w:pStyle w:val="Akapitzlist"/>
        <w:numPr>
          <w:ilvl w:val="0"/>
          <w:numId w:val="10"/>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bookmarkStart w:id="10" w:name="_Hlk91144272"/>
      <w:r w:rsidRPr="00A732A2">
        <w:rPr>
          <w:rFonts w:cs="Calibri"/>
          <w:szCs w:val="24"/>
        </w:rPr>
        <w:t>…</w:t>
      </w:r>
      <w:r w:rsidR="00755427" w:rsidRPr="00A732A2">
        <w:rPr>
          <w:rFonts w:cs="Calibri"/>
          <w:szCs w:val="24"/>
        </w:rPr>
        <w:t>……</w:t>
      </w:r>
      <w:r w:rsidRPr="00A732A2">
        <w:rPr>
          <w:rFonts w:cs="Calibri"/>
          <w:szCs w:val="24"/>
        </w:rPr>
        <w:t xml:space="preserve">…. w kwocie </w:t>
      </w:r>
      <w:r w:rsidR="00EA698D" w:rsidRPr="00A732A2">
        <w:rPr>
          <w:rFonts w:cs="Calibri"/>
          <w:szCs w:val="24"/>
        </w:rPr>
        <w:t xml:space="preserve">nieprzekraczającej </w:t>
      </w:r>
      <w:r w:rsidRPr="00A732A2">
        <w:rPr>
          <w:rFonts w:cs="Calibri"/>
          <w:b/>
          <w:szCs w:val="24"/>
        </w:rPr>
        <w:t>....</w:t>
      </w:r>
      <w:r w:rsidR="00755427" w:rsidRPr="00A732A2">
        <w:rPr>
          <w:rFonts w:cs="Calibri"/>
          <w:b/>
          <w:szCs w:val="24"/>
        </w:rPr>
        <w:t>......</w:t>
      </w:r>
      <w:r w:rsidRPr="00A732A2">
        <w:rPr>
          <w:rFonts w:cs="Calibri"/>
          <w:b/>
          <w:szCs w:val="24"/>
        </w:rPr>
        <w:t>...</w:t>
      </w:r>
      <w:r w:rsidR="0018514E">
        <w:rPr>
          <w:rFonts w:cs="Calibri"/>
          <w:b/>
          <w:szCs w:val="24"/>
        </w:rPr>
        <w:t xml:space="preserve"> </w:t>
      </w:r>
      <w:r w:rsidRPr="00A732A2">
        <w:rPr>
          <w:rFonts w:cs="Calibri"/>
          <w:b/>
          <w:szCs w:val="24"/>
        </w:rPr>
        <w:t>PLN</w:t>
      </w:r>
      <w:r w:rsidRPr="00A732A2">
        <w:rPr>
          <w:rFonts w:cs="Calibri"/>
          <w:szCs w:val="24"/>
        </w:rPr>
        <w:t xml:space="preserve"> (słownie: ………)</w:t>
      </w:r>
      <w:bookmarkEnd w:id="10"/>
      <w:r w:rsidRPr="00A732A2">
        <w:rPr>
          <w:rFonts w:cs="Calibri"/>
          <w:szCs w:val="24"/>
        </w:rPr>
        <w:t>;</w:t>
      </w:r>
      <w:bookmarkStart w:id="11" w:name="_Hlk91144338"/>
    </w:p>
    <w:bookmarkEnd w:id="11"/>
    <w:p w14:paraId="60253693" w14:textId="5327DC10" w:rsidR="00A163E4" w:rsidRPr="00A732A2" w:rsidRDefault="00D91C1E" w:rsidP="00007CF5">
      <w:pPr>
        <w:pStyle w:val="Akapitzlist"/>
        <w:numPr>
          <w:ilvl w:val="0"/>
          <w:numId w:val="9"/>
        </w:numPr>
        <w:spacing w:before="40" w:after="40"/>
        <w:ind w:left="1135" w:hanging="284"/>
        <w:contextualSpacing w:val="0"/>
        <w:rPr>
          <w:rFonts w:cs="Calibri"/>
          <w:szCs w:val="24"/>
        </w:rPr>
      </w:pPr>
      <w:r w:rsidRPr="00A732A2">
        <w:rPr>
          <w:rFonts w:cs="Calibri"/>
          <w:szCs w:val="24"/>
          <w:u w:val="single"/>
        </w:rPr>
        <w:t xml:space="preserve">pomoc de </w:t>
      </w:r>
      <w:proofErr w:type="spellStart"/>
      <w:r w:rsidRPr="00A732A2">
        <w:rPr>
          <w:rFonts w:cs="Calibri"/>
          <w:szCs w:val="24"/>
          <w:u w:val="single"/>
        </w:rPr>
        <w:t>minimis</w:t>
      </w:r>
      <w:proofErr w:type="spellEnd"/>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12" w:name="_Hlk93489317"/>
      <w:r w:rsidR="00901EC5" w:rsidRPr="00A732A2">
        <w:rPr>
          <w:rFonts w:cs="Calibri"/>
          <w:szCs w:val="24"/>
        </w:rPr>
        <w:t>..…</w:t>
      </w:r>
      <w:bookmarkEnd w:id="12"/>
      <w:r w:rsidRPr="00A732A2">
        <w:rPr>
          <w:rFonts w:cs="Calibri"/>
          <w:szCs w:val="24"/>
        </w:rPr>
        <w:t xml:space="preserve">% wydatków kwalifikowalnych objętych pomocą </w:t>
      </w:r>
      <w:r w:rsidR="00FC46C2" w:rsidRPr="00A732A2">
        <w:rPr>
          <w:rFonts w:cs="Calibri"/>
          <w:szCs w:val="24"/>
        </w:rPr>
        <w:t xml:space="preserve">de </w:t>
      </w:r>
      <w:proofErr w:type="spellStart"/>
      <w:r w:rsidR="00FC46C2" w:rsidRPr="00A732A2">
        <w:rPr>
          <w:rFonts w:cs="Calibri"/>
          <w:szCs w:val="24"/>
        </w:rPr>
        <w:t>minimis</w:t>
      </w:r>
      <w:proofErr w:type="spellEnd"/>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45B0927C" w:rsidR="00677C5D"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3373BAB" w14:textId="6F0976D9" w:rsidR="00EA698D" w:rsidRPr="00A732A2" w:rsidRDefault="002345F9"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 xml:space="preserve">publiczną/pomocą de </w:t>
      </w:r>
      <w:proofErr w:type="spellStart"/>
      <w:r w:rsidR="00EA698D" w:rsidRPr="00A732A2">
        <w:rPr>
          <w:rFonts w:cs="Calibri"/>
          <w:szCs w:val="24"/>
          <w:u w:val="single"/>
        </w:rPr>
        <w:t>minimis</w:t>
      </w:r>
      <w:proofErr w:type="spellEnd"/>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xml:space="preserve">% wydatków kwalifikowalnych nie objętych pomocą publiczną/pomocą de </w:t>
      </w:r>
      <w:proofErr w:type="spellStart"/>
      <w:r w:rsidR="00EA698D" w:rsidRPr="00A732A2">
        <w:rPr>
          <w:rFonts w:cs="Calibri"/>
          <w:szCs w:val="24"/>
        </w:rPr>
        <w:t>minimis</w:t>
      </w:r>
      <w:proofErr w:type="spellEnd"/>
      <w:r w:rsidRPr="00A732A2">
        <w:rPr>
          <w:rFonts w:cs="Calibri"/>
          <w:szCs w:val="24"/>
        </w:rPr>
        <w:t>.</w:t>
      </w:r>
    </w:p>
    <w:p w14:paraId="58F8FE8A" w14:textId="6A788D8E" w:rsidR="00EA698D" w:rsidRPr="00A732A2" w:rsidRDefault="002345F9"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72516CB1" w:rsidR="00CA61FA" w:rsidRPr="00A732A2" w:rsidRDefault="00CA61FA" w:rsidP="00007CF5">
      <w:pPr>
        <w:pStyle w:val="Akapitzlist"/>
        <w:numPr>
          <w:ilvl w:val="0"/>
          <w:numId w:val="7"/>
        </w:numPr>
        <w:spacing w:before="40" w:after="40"/>
        <w:ind w:left="284" w:hanging="284"/>
        <w:contextualSpacing w:val="0"/>
        <w:rPr>
          <w:rFonts w:cs="Calibri"/>
          <w:szCs w:val="24"/>
        </w:rPr>
      </w:pPr>
      <w:r w:rsidRPr="00A732A2">
        <w:rPr>
          <w:rFonts w:cs="Calibri"/>
          <w:szCs w:val="24"/>
        </w:rPr>
        <w:t>Instytucja Zarządzająca upoważnia Beneficjenta do wystawiania i przekazywania, w jej imieniu, zlecenia płatności do BGK, zgodnie z obowiązującymi przepisami prawa oraz procedurami w</w:t>
      </w:r>
      <w:r w:rsidR="005504AE" w:rsidRPr="00A732A2">
        <w:rPr>
          <w:rFonts w:cs="Calibri"/>
          <w:szCs w:val="24"/>
        </w:rPr>
        <w:t> </w:t>
      </w:r>
      <w:r w:rsidRPr="00A732A2">
        <w:rPr>
          <w:rFonts w:cs="Calibri"/>
          <w:szCs w:val="24"/>
        </w:rPr>
        <w:t xml:space="preserve">ramach Programu, </w:t>
      </w:r>
      <w:r w:rsidR="0079727E" w:rsidRPr="00A732A2">
        <w:rPr>
          <w:rFonts w:cs="Calibri"/>
          <w:szCs w:val="24"/>
        </w:rPr>
        <w:t xml:space="preserve">z uwzględnieniem </w:t>
      </w:r>
      <w:r w:rsidRPr="00A732A2">
        <w:rPr>
          <w:rFonts w:cs="Calibri"/>
          <w:szCs w:val="24"/>
        </w:rPr>
        <w:t xml:space="preserve">§ 8 ust. </w:t>
      </w:r>
      <w:r w:rsidR="00121E65" w:rsidRPr="00A732A2">
        <w:rPr>
          <w:rFonts w:cs="Calibri"/>
          <w:szCs w:val="24"/>
        </w:rPr>
        <w:t>4 i ust. 5</w:t>
      </w:r>
      <w:r w:rsidRPr="00A732A2">
        <w:rPr>
          <w:rFonts w:cs="Calibri"/>
          <w:szCs w:val="24"/>
        </w:rPr>
        <w:t xml:space="preserve"> </w:t>
      </w:r>
      <w:r w:rsidR="00931A42" w:rsidRPr="00A732A2">
        <w:rPr>
          <w:rFonts w:cs="Calibri"/>
          <w:szCs w:val="24"/>
        </w:rPr>
        <w:t>Porozumienia</w:t>
      </w:r>
      <w:r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Numer i data decyzji 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13" w:name="_Hlk92976705"/>
      <w:r w:rsidR="00F267FA" w:rsidRPr="00A732A2">
        <w:rPr>
          <w:rFonts w:cs="Calibri"/>
          <w:szCs w:val="24"/>
        </w:rPr>
        <w:t>*</w:t>
      </w:r>
      <w:bookmarkEnd w:id="13"/>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lastRenderedPageBreak/>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xml:space="preserve">….…. pomocy de </w:t>
      </w:r>
      <w:proofErr w:type="spellStart"/>
      <w:r w:rsidRPr="00A732A2">
        <w:rPr>
          <w:rFonts w:cs="Calibri"/>
          <w:szCs w:val="24"/>
        </w:rPr>
        <w:t>minimis</w:t>
      </w:r>
      <w:proofErr w:type="spellEnd"/>
      <w:r w:rsidRPr="00A732A2">
        <w:rPr>
          <w:rFonts w:cs="Calibri"/>
          <w:szCs w:val="24"/>
        </w:rPr>
        <w:t xml:space="preserve">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14" w:name="_Hlk91152892"/>
      <w:r w:rsidRPr="00A732A2">
        <w:rPr>
          <w:rFonts w:cs="Calibri"/>
          <w:szCs w:val="24"/>
        </w:rPr>
        <w:t>...................................................................................................................................................</w:t>
      </w:r>
    </w:p>
    <w:bookmarkEnd w:id="14"/>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15" w:name="_Hlk107217287"/>
      <w:r w:rsidRPr="00A732A2">
        <w:rPr>
          <w:rFonts w:cs="Calibri"/>
          <w:sz w:val="24"/>
          <w:szCs w:val="24"/>
          <w:lang w:eastAsia="pl-PL"/>
        </w:rPr>
        <w:t>§ 4</w:t>
      </w:r>
    </w:p>
    <w:bookmarkEnd w:id="15"/>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38C436F5"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Instytucji Zarządzającej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13F5FFCA"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odpowiada przed Instytucją Zarządzającą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t>
      </w:r>
      <w:r w:rsidRPr="00A732A2">
        <w:rPr>
          <w:rFonts w:cs="Calibri"/>
          <w:szCs w:val="24"/>
        </w:rPr>
        <w:lastRenderedPageBreak/>
        <w:t xml:space="preserve">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16" w:name="_Hlk112746092"/>
    </w:p>
    <w:p w14:paraId="16FEFA86" w14:textId="16A28F50"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Instytucji Zarządzającej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17" w:name="_Hlk95993213"/>
      <w:bookmarkEnd w:id="16"/>
      <w:r w:rsidRPr="00A732A2">
        <w:rPr>
          <w:rFonts w:cs="Calibri"/>
          <w:szCs w:val="24"/>
        </w:rPr>
        <w:t xml:space="preserve">Beneficjent, w imieniu swoim oraz Partnera i Podmiotu </w:t>
      </w:r>
      <w:bookmarkStart w:id="18" w:name="_Hlk98851813"/>
      <w:r w:rsidRPr="00A732A2">
        <w:rPr>
          <w:rFonts w:cs="Calibri"/>
          <w:szCs w:val="24"/>
        </w:rPr>
        <w:t>upoważnionego do ponoszenia wydatków</w:t>
      </w:r>
      <w:bookmarkEnd w:id="17"/>
      <w:bookmarkEnd w:id="18"/>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 xml:space="preserve">pomocy de </w:t>
      </w:r>
      <w:proofErr w:type="spellStart"/>
      <w:r w:rsidRPr="00A732A2">
        <w:rPr>
          <w:rFonts w:cs="Calibri"/>
          <w:szCs w:val="24"/>
        </w:rPr>
        <w:t>minimis</w:t>
      </w:r>
      <w:proofErr w:type="spellEnd"/>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5E3B1FF7"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aplikacji SL2021 w sposób zgodny z aktualną wersją </w:t>
      </w:r>
      <w:r w:rsidR="00901937" w:rsidRPr="00A732A2">
        <w:rPr>
          <w:rFonts w:cs="Calibri"/>
          <w:szCs w:val="24"/>
        </w:rPr>
        <w:t xml:space="preserve">Instrukcji użytkownika aplikacji SL2021 </w:t>
      </w:r>
      <w:r w:rsidRPr="00A732A2">
        <w:rPr>
          <w:rFonts w:cs="Calibri"/>
          <w:szCs w:val="24"/>
        </w:rPr>
        <w:t>dostępne</w:t>
      </w:r>
      <w:r w:rsidR="00901937" w:rsidRPr="00A732A2">
        <w:rPr>
          <w:rFonts w:cs="Calibri"/>
          <w:szCs w:val="24"/>
        </w:rPr>
        <w:t>j</w:t>
      </w:r>
      <w:r w:rsidRPr="00A732A2">
        <w:rPr>
          <w:rFonts w:cs="Calibri"/>
          <w:szCs w:val="24"/>
        </w:rPr>
        <w:t xml:space="preserve"> na stronie internetowej Programu, a także bieżącego monitorowania zmian </w:t>
      </w:r>
      <w:r w:rsidR="00901937" w:rsidRPr="00A732A2">
        <w:rPr>
          <w:rFonts w:cs="Calibri"/>
          <w:szCs w:val="24"/>
        </w:rPr>
        <w:t>Instrukcji użytkownika aplikacji SL2021</w:t>
      </w:r>
      <w:r w:rsidRPr="00A732A2">
        <w:rPr>
          <w:rFonts w:cs="Calibri"/>
          <w:szCs w:val="24"/>
        </w:rPr>
        <w:t>, 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668A3387"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19" w:name="_Hlk95995911"/>
      <w:r w:rsidRPr="00A732A2">
        <w:rPr>
          <w:rFonts w:cs="Calibri"/>
          <w:szCs w:val="24"/>
        </w:rPr>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14</w:t>
      </w:r>
      <w:r w:rsidR="00A35B08" w:rsidRPr="00A732A2">
        <w:rPr>
          <w:rFonts w:cs="Calibri"/>
          <w:szCs w:val="24"/>
        </w:rPr>
        <w:t xml:space="preserve"> i</w:t>
      </w:r>
      <w:r w:rsidR="00755427" w:rsidRPr="00A732A2">
        <w:rPr>
          <w:rFonts w:cs="Calibri"/>
          <w:szCs w:val="24"/>
        </w:rPr>
        <w:t> </w:t>
      </w:r>
      <w:r w:rsidR="00762B68" w:rsidRPr="00A732A2">
        <w:rPr>
          <w:rFonts w:cs="Calibri"/>
          <w:szCs w:val="24"/>
        </w:rPr>
        <w:t xml:space="preserve">pkt 15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19"/>
    <w:p w14:paraId="0D29A3C6" w14:textId="632A5BB8"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systematycznego monitorowania przebiegu realizacji Projektu oraz niezwłocznego informowania Instytucji Zarządzającej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53DB9F49"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przedstawiania na żądanie Instytucji Zarządzającej</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w:t>
      </w:r>
      <w:r w:rsidR="00172327" w:rsidRPr="00A732A2">
        <w:rPr>
          <w:rFonts w:cs="Calibri"/>
          <w:szCs w:val="24"/>
        </w:rPr>
        <w:lastRenderedPageBreak/>
        <w:t xml:space="preserve">rygorem uznania wydatków za niekwalifikowalne lub rozwiązania </w:t>
      </w:r>
      <w:r w:rsidR="004600FC" w:rsidRPr="00A732A2">
        <w:rPr>
          <w:rFonts w:cs="Calibri"/>
          <w:szCs w:val="24"/>
        </w:rPr>
        <w:t>Porozumienia</w:t>
      </w:r>
      <w:r w:rsidR="00172327" w:rsidRPr="00A732A2">
        <w:rPr>
          <w:rFonts w:cs="Calibri"/>
          <w:szCs w:val="24"/>
        </w:rPr>
        <w:t>. Instytucja Zarządzająca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20"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1906E471"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innym uzgodnionym z Instytucją Zarządzającą terminie i</w:t>
      </w:r>
      <w:r w:rsidR="0067791B" w:rsidRPr="00A732A2">
        <w:rPr>
          <w:rFonts w:cs="Calibri"/>
          <w:szCs w:val="24"/>
        </w:rPr>
        <w:t> </w:t>
      </w:r>
      <w:r w:rsidRPr="00A732A2">
        <w:rPr>
          <w:rFonts w:cs="Calibri"/>
          <w:szCs w:val="24"/>
        </w:rPr>
        <w:t>niezwłocznego poinformowania Instytucji Zarządzającej o tym fakcie</w:t>
      </w:r>
      <w:r w:rsidR="00F43E05" w:rsidRPr="00A732A2">
        <w:rPr>
          <w:rFonts w:cs="Calibri"/>
          <w:szCs w:val="24"/>
        </w:rPr>
        <w:t>,</w:t>
      </w:r>
    </w:p>
    <w:bookmarkEnd w:id="20"/>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387692B3"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r w:rsidR="009B070F" w:rsidRPr="00A732A2">
        <w:rPr>
          <w:rFonts w:cs="Calibri"/>
          <w:szCs w:val="24"/>
        </w:rPr>
        <w:t>,</w:t>
      </w:r>
    </w:p>
    <w:p w14:paraId="5940381C" w14:textId="318EB14C"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zgłaszania do Instytucji Zarządzającej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Pr="00A732A2">
        <w:rPr>
          <w:rFonts w:cs="Calibri"/>
          <w:color w:val="000000" w:themeColor="text1"/>
          <w:szCs w:val="24"/>
        </w:rPr>
        <w:lastRenderedPageBreak/>
        <w:t xml:space="preserve">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w:t>
      </w:r>
      <w:proofErr w:type="spellStart"/>
      <w:r w:rsidR="00275776" w:rsidRPr="00A732A2">
        <w:rPr>
          <w:rFonts w:cs="Calibri"/>
          <w:color w:val="000000" w:themeColor="text1"/>
          <w:szCs w:val="24"/>
        </w:rPr>
        <w:t>minimis</w:t>
      </w:r>
      <w:proofErr w:type="spellEnd"/>
      <w:r w:rsidR="00275776" w:rsidRPr="00A732A2">
        <w:rPr>
          <w:rFonts w:cs="Calibri"/>
          <w:color w:val="000000" w:themeColor="text1"/>
          <w:szCs w:val="24"/>
        </w:rPr>
        <w:t xml:space="preserve"> (</w:t>
      </w:r>
      <w:bookmarkStart w:id="22" w:name="_Hlk130562965"/>
      <w:r w:rsidR="00F64A74" w:rsidRPr="00A732A2">
        <w:rPr>
          <w:rFonts w:cs="Calibri"/>
          <w:color w:val="000000" w:themeColor="text1"/>
          <w:szCs w:val="24"/>
        </w:rPr>
        <w:t>bez względu na wartość</w:t>
      </w:r>
      <w:bookmarkEnd w:id="22"/>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43C465F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pisemnego informowania Instytucji Zarządzającej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xml:space="preserve">, udowodnić te okoliczności poprzez przedstawienie dokumentacji potwierdzającej wystąpienie </w:t>
      </w:r>
      <w:r w:rsidRPr="00A732A2">
        <w:rPr>
          <w:rFonts w:cs="Calibri"/>
          <w:szCs w:val="24"/>
        </w:rPr>
        <w:lastRenderedPageBreak/>
        <w:t>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77777777"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p>
    <w:p w14:paraId="511A88B3" w14:textId="4E8CAC3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sposobu korygowania i odzyskiwania nieprawidłowych wydatków oraz zgłaszania nieprawidłowości w ramach programów polityki spójności 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t>§ 6</w:t>
      </w:r>
    </w:p>
    <w:p w14:paraId="6200D879" w14:textId="37298188"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którym Instytucja Zarządzająca</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23" w:name="_Hlk114833489"/>
      <w:r w:rsidRPr="00A732A2">
        <w:rPr>
          <w:rFonts w:cs="Calibri"/>
          <w:szCs w:val="24"/>
        </w:rPr>
        <w:t xml:space="preserve">Dokumenty </w:t>
      </w:r>
      <w:r w:rsidR="00B045F1" w:rsidRPr="00A732A2">
        <w:rPr>
          <w:rFonts w:cs="Calibri"/>
          <w:szCs w:val="24"/>
        </w:rPr>
        <w:t xml:space="preserve">dotyczące pomocy publicznej lub pomocy de </w:t>
      </w:r>
      <w:proofErr w:type="spellStart"/>
      <w:r w:rsidR="00B045F1" w:rsidRPr="00A732A2">
        <w:rPr>
          <w:rFonts w:cs="Calibri"/>
          <w:szCs w:val="24"/>
        </w:rPr>
        <w:t>minimis</w:t>
      </w:r>
      <w:proofErr w:type="spellEnd"/>
      <w:r w:rsidR="00B045F1" w:rsidRPr="00A732A2">
        <w:rPr>
          <w:rFonts w:cs="Calibri"/>
          <w:szCs w:val="24"/>
        </w:rPr>
        <w:t xml:space="preserve"> Beneficjent zobowiązuje się przechowywać przez okres 10 lat, licząc od dnia jej przyznania, tj. od daty zawarcia </w:t>
      </w:r>
      <w:bookmarkEnd w:id="23"/>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lastRenderedPageBreak/>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7B4F28DE" w:rsidR="00470176" w:rsidRPr="00A732A2" w:rsidRDefault="00470176" w:rsidP="00F9016A">
      <w:pPr>
        <w:pStyle w:val="Akapitzlist"/>
        <w:numPr>
          <w:ilvl w:val="0"/>
          <w:numId w:val="39"/>
        </w:numPr>
        <w:spacing w:before="40" w:after="40"/>
        <w:ind w:left="284" w:hanging="284"/>
        <w:contextualSpacing w:val="0"/>
        <w:rPr>
          <w:rFonts w:cs="Calibri"/>
          <w:color w:val="000000" w:themeColor="text1"/>
          <w:szCs w:val="24"/>
        </w:rPr>
      </w:pPr>
      <w:r w:rsidRPr="00A732A2">
        <w:rPr>
          <w:rFonts w:cs="Calibri"/>
          <w:szCs w:val="24"/>
        </w:rPr>
        <w:t xml:space="preserve">Instytucja Zarządzająca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F379FD7"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Przekazanie dokumentów do Instytucji Zarządzającej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obowiązku przechowywania oryginałów dokumentów i ich udostępniania 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3F713D0E"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ust. 1 lub ust. 2, Beneficjent zobowiązuje się do niezwłocznego pisemnego poinformowania Instytucji Zarządzającej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24"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25" w:name="_Hlk95917127"/>
      <w:bookmarkEnd w:id="24"/>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09A2ECB4"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00CBE1DF"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za wyjątkiem wprowadzenia zmian do Projektu </w:t>
      </w:r>
      <w:r w:rsidR="00B1118E" w:rsidRPr="00A732A2">
        <w:rPr>
          <w:rFonts w:cs="Calibri"/>
          <w:color w:val="000000" w:themeColor="text1"/>
          <w:szCs w:val="24"/>
        </w:rPr>
        <w:t xml:space="preserve">skutkujących </w:t>
      </w:r>
      <w:r w:rsidR="00F87B10" w:rsidRPr="00A732A2">
        <w:rPr>
          <w:rFonts w:cs="Calibri"/>
          <w:color w:val="000000" w:themeColor="text1"/>
          <w:szCs w:val="24"/>
        </w:rPr>
        <w:t xml:space="preserve">jednocześnie </w:t>
      </w:r>
      <w:r w:rsidR="00B1118E" w:rsidRPr="00A732A2">
        <w:rPr>
          <w:rFonts w:cs="Calibri"/>
          <w:color w:val="000000" w:themeColor="text1"/>
          <w:szCs w:val="24"/>
        </w:rPr>
        <w:t xml:space="preserve">koniecznością zawarcia aneksu do </w:t>
      </w:r>
      <w:r w:rsidR="009172D3" w:rsidRPr="00A732A2">
        <w:rPr>
          <w:rFonts w:cs="Calibri"/>
          <w:color w:val="000000" w:themeColor="text1"/>
          <w:szCs w:val="24"/>
        </w:rPr>
        <w:t>Porozumienia</w:t>
      </w:r>
      <w:r w:rsidR="00872242" w:rsidRPr="00A732A2">
        <w:rPr>
          <w:rFonts w:cs="Calibri"/>
          <w:color w:val="000000" w:themeColor="text1"/>
          <w:szCs w:val="24"/>
        </w:rPr>
        <w:t xml:space="preserve"> i </w:t>
      </w:r>
      <w:r w:rsidR="007F0A87" w:rsidRPr="00A732A2">
        <w:rPr>
          <w:rFonts w:cs="Calibri"/>
          <w:color w:val="000000" w:themeColor="text1"/>
          <w:szCs w:val="24"/>
        </w:rPr>
        <w:t xml:space="preserve">aktualizacją </w:t>
      </w:r>
      <w:r w:rsidR="00C15875" w:rsidRPr="00A732A2">
        <w:rPr>
          <w:rFonts w:cs="Calibri"/>
          <w:color w:val="000000" w:themeColor="text1"/>
          <w:szCs w:val="24"/>
        </w:rPr>
        <w:t>harmonogram</w:t>
      </w:r>
      <w:r w:rsidR="00F87B10" w:rsidRPr="00A732A2">
        <w:rPr>
          <w:rFonts w:cs="Calibri"/>
          <w:color w:val="000000" w:themeColor="text1"/>
          <w:szCs w:val="24"/>
        </w:rPr>
        <w:t>u</w:t>
      </w:r>
      <w:r w:rsidR="00C15875" w:rsidRPr="00A732A2">
        <w:rPr>
          <w:rFonts w:cs="Calibri"/>
          <w:color w:val="000000" w:themeColor="text1"/>
          <w:szCs w:val="24"/>
        </w:rPr>
        <w:t xml:space="preserve"> </w:t>
      </w:r>
      <w:r w:rsidR="00B1118E" w:rsidRPr="00A732A2">
        <w:rPr>
          <w:rFonts w:cs="Calibri"/>
          <w:color w:val="000000" w:themeColor="text1"/>
          <w:szCs w:val="24"/>
        </w:rPr>
        <w:t>płatności</w:t>
      </w:r>
      <w:r w:rsidR="00D96C9B" w:rsidRPr="00A732A2">
        <w:rPr>
          <w:rFonts w:cs="Calibri"/>
          <w:color w:val="000000" w:themeColor="text1"/>
          <w:szCs w:val="24"/>
        </w:rPr>
        <w:t>,</w:t>
      </w:r>
    </w:p>
    <w:p w14:paraId="64EB6899" w14:textId="48E6AFA2"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Instytucja Zarządzająca, w uzasadnionych przypadkach zastrzega sobie prawo wezwania Beneficjenta do przedłożenia zaktualizowanego Załącznika nr </w:t>
      </w:r>
      <w:r w:rsidR="00583CAB"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jak i</w:t>
      </w:r>
      <w:r w:rsidR="00F875E9">
        <w:rPr>
          <w:rFonts w:cs="Calibri"/>
          <w:color w:val="000000" w:themeColor="text1"/>
          <w:szCs w:val="24"/>
        </w:rPr>
        <w:t> </w:t>
      </w:r>
      <w:r w:rsidRPr="00A732A2">
        <w:rPr>
          <w:rFonts w:cs="Calibri"/>
          <w:color w:val="000000" w:themeColor="text1"/>
          <w:szCs w:val="24"/>
        </w:rPr>
        <w:t xml:space="preserve">wypełnienia danych w </w:t>
      </w:r>
      <w:r w:rsidR="0014022C" w:rsidRPr="00A732A2">
        <w:rPr>
          <w:rFonts w:cs="Calibri"/>
          <w:color w:val="000000" w:themeColor="text1"/>
          <w:szCs w:val="24"/>
        </w:rPr>
        <w:t>CST</w:t>
      </w:r>
      <w:r w:rsidRPr="00A732A2">
        <w:rPr>
          <w:rFonts w:cs="Calibri"/>
          <w:color w:val="000000" w:themeColor="text1"/>
          <w:szCs w:val="24"/>
        </w:rPr>
        <w:t>2021, w dowolnym terminie.</w:t>
      </w:r>
    </w:p>
    <w:p w14:paraId="36189A96" w14:textId="428EE7A9"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 xml:space="preserve">Harmonogram płatności powinien być przygotowany w oparciu o aktualny, tj. ostatni zaakceptowany przez Instytucję Zarządzającą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Instytucja Zarządzająca zastrzega sobie prawo wniesienia uwag do otrzymanego harmonogramu płatności.</w:t>
      </w:r>
    </w:p>
    <w:p w14:paraId="7374AA1C" w14:textId="630B382C"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 xml:space="preserve">płatność </w:t>
      </w:r>
      <w:r w:rsidRPr="00A732A2">
        <w:rPr>
          <w:rFonts w:cs="Calibri"/>
          <w:szCs w:val="24"/>
        </w:rPr>
        <w:lastRenderedPageBreak/>
        <w:t>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zatwierdzonego przez Instytucję Zarządzającą harmonogramu płatności oraz pod warunkiem poinformowania Instytucji Zarządzającej</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25"/>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26"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27" w:name="_Hlk131083666"/>
      <w:bookmarkEnd w:id="26"/>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27"/>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28" w:name="_Hlk93064807"/>
      <w:bookmarkStart w:id="29"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28"/>
      <w:r w:rsidRPr="00A732A2">
        <w:rPr>
          <w:rFonts w:cs="Calibri"/>
          <w:color w:val="FF0000"/>
          <w:szCs w:val="24"/>
        </w:rPr>
        <w:t xml:space="preserve"> </w:t>
      </w:r>
      <w:bookmarkEnd w:id="29"/>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2BC18A92"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r w:rsidR="00CE1A63" w:rsidRPr="00A732A2">
        <w:rPr>
          <w:rFonts w:cs="Calibri"/>
          <w:szCs w:val="24"/>
        </w:rPr>
        <w:t>e</w:t>
      </w:r>
      <w:r w:rsidR="00901937" w:rsidRPr="00A732A2">
        <w:rPr>
          <w:rFonts w:cs="Calibri"/>
          <w:szCs w:val="24"/>
        </w:rPr>
        <w:t>j</w:t>
      </w:r>
      <w:r w:rsidRPr="00A732A2">
        <w:rPr>
          <w:rFonts w:cs="Calibri"/>
          <w:szCs w:val="24"/>
        </w:rPr>
        <w:t xml:space="preserve"> na dzień złożenia wniosku o płatność </w:t>
      </w:r>
      <w:r w:rsidR="00901937" w:rsidRPr="00A732A2">
        <w:rPr>
          <w:rFonts w:cs="Calibri"/>
          <w:color w:val="000000" w:themeColor="text1"/>
          <w:szCs w:val="24"/>
        </w:rPr>
        <w:t>Instrukcji użytkownika aplikacji SL2021</w:t>
      </w:r>
      <w:r w:rsidRPr="00A732A2">
        <w:rPr>
          <w:rFonts w:cs="Calibri"/>
          <w:color w:val="000000" w:themeColor="text1"/>
          <w:szCs w:val="24"/>
        </w:rPr>
        <w:t xml:space="preserve"> </w:t>
      </w:r>
      <w:r w:rsidRPr="00A732A2">
        <w:rPr>
          <w:rFonts w:cs="Calibri"/>
          <w:szCs w:val="24"/>
        </w:rPr>
        <w:t>i</w:t>
      </w:r>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139D0C3D"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przedkładanych do Instytucji Zarządzającej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 xml:space="preserve">o dofinansowanie projektu zostały już zrealizowane oraz w jaki sposób ich realizacja wpłynęła na sytuację osób </w:t>
      </w:r>
      <w:r w:rsidR="00B24091" w:rsidRPr="00A732A2">
        <w:rPr>
          <w:rFonts w:cs="Calibri"/>
          <w:szCs w:val="24"/>
        </w:rPr>
        <w:lastRenderedPageBreak/>
        <w:t>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30"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 xml:space="preserve">zmniejszenia z tytułu korekt finansowych, oszczędności </w:t>
      </w:r>
      <w:proofErr w:type="spellStart"/>
      <w:r w:rsidRPr="00A732A2">
        <w:rPr>
          <w:rFonts w:cs="Calibri"/>
          <w:szCs w:val="24"/>
        </w:rPr>
        <w:t>poprzetargowe</w:t>
      </w:r>
      <w:proofErr w:type="spellEnd"/>
      <w:r w:rsidRPr="00A732A2">
        <w:rPr>
          <w:rFonts w:cs="Calibri"/>
          <w:szCs w:val="24"/>
        </w:rPr>
        <w:t>).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17A48172"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Instytucję Zarządzającą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31"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31"/>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lastRenderedPageBreak/>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30"/>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32" w:name="_Hlk96513649"/>
      <w:bookmarkStart w:id="33" w:name="_Hlk96503150"/>
    </w:p>
    <w:bookmarkEnd w:id="32"/>
    <w:bookmarkEnd w:id="33"/>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34" w:name="_Hlk96082800"/>
      <w:r w:rsidRPr="00A732A2">
        <w:rPr>
          <w:rFonts w:cs="Calibri"/>
          <w:szCs w:val="24"/>
        </w:rPr>
        <w:t xml:space="preserve">Beneficjent rozlicza </w:t>
      </w:r>
      <w:bookmarkStart w:id="35" w:name="_Hlk106803847"/>
      <w:r w:rsidR="0094528D" w:rsidRPr="00A732A2">
        <w:rPr>
          <w:rFonts w:cs="Calibri"/>
          <w:szCs w:val="24"/>
        </w:rPr>
        <w:t xml:space="preserve">koszty </w:t>
      </w:r>
      <w:r w:rsidRPr="00A732A2">
        <w:rPr>
          <w:rFonts w:cs="Calibri"/>
          <w:szCs w:val="24"/>
        </w:rPr>
        <w:t xml:space="preserve">objęte stawkami jednostkowymi </w:t>
      </w:r>
      <w:bookmarkEnd w:id="35"/>
      <w:r w:rsidRPr="00A732A2">
        <w:rPr>
          <w:rFonts w:cs="Calibri"/>
          <w:szCs w:val="24"/>
        </w:rPr>
        <w:t>w ramach Projektu zgodnie z</w:t>
      </w:r>
      <w:bookmarkStart w:id="36"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36"/>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34"/>
    <w:p w14:paraId="5B5C14D1" w14:textId="77777777"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Instytucja Zarządzająca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związanej z cross-</w:t>
      </w:r>
      <w:proofErr w:type="spellStart"/>
      <w:r w:rsidRPr="00A732A2">
        <w:rPr>
          <w:rFonts w:cs="Calibri"/>
          <w:szCs w:val="24"/>
        </w:rPr>
        <w:t>financing</w:t>
      </w:r>
      <w:proofErr w:type="spellEnd"/>
      <w:r w:rsidRPr="00A732A2">
        <w:rPr>
          <w:rFonts w:cs="Calibri"/>
          <w:szCs w:val="24"/>
        </w:rPr>
        <w:t xml:space="preserve">,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37"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37"/>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27EDE818" w14:textId="3C1F9F38" w:rsidR="00B415C7"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r w:rsidR="00B415C7">
        <w:rPr>
          <w:rFonts w:cs="Calibri"/>
          <w:szCs w:val="24"/>
        </w:rPr>
        <w:br w:type="page"/>
      </w: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lastRenderedPageBreak/>
        <w:t>§ 1</w:t>
      </w:r>
      <w:r w:rsidR="00C52291" w:rsidRPr="00A732A2">
        <w:rPr>
          <w:rFonts w:cs="Calibri"/>
          <w:sz w:val="24"/>
          <w:szCs w:val="24"/>
        </w:rPr>
        <w:t>3</w:t>
      </w:r>
    </w:p>
    <w:p w14:paraId="2D28094C" w14:textId="42D9A57F" w:rsidR="00B36B71" w:rsidRPr="00A732A2" w:rsidRDefault="00BE6684" w:rsidP="00DC1E39">
      <w:pPr>
        <w:pStyle w:val="Akapitzlist"/>
        <w:numPr>
          <w:ilvl w:val="0"/>
          <w:numId w:val="30"/>
        </w:numPr>
        <w:spacing w:before="120" w:after="40"/>
        <w:ind w:left="284" w:hanging="284"/>
        <w:contextualSpacing w:val="0"/>
        <w:rPr>
          <w:rFonts w:cs="Calibri"/>
          <w:szCs w:val="24"/>
        </w:rPr>
      </w:pPr>
      <w:r w:rsidRPr="00A732A2">
        <w:rPr>
          <w:rFonts w:cs="Calibri"/>
          <w:szCs w:val="24"/>
        </w:rPr>
        <w:t xml:space="preserve">Instytucja Zarządzająca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Do oceny kwalifikowalności wydatków stosuje się wersję 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E7F5117"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38" w:name="_Hlk92978608"/>
      <w:r w:rsidRPr="00A732A2">
        <w:rPr>
          <w:rFonts w:cs="Calibri"/>
          <w:szCs w:val="24"/>
        </w:rPr>
        <w:t xml:space="preserve">Instytucja Zarządzająca </w:t>
      </w:r>
      <w:bookmarkEnd w:id="38"/>
      <w:r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Pr="00A732A2">
        <w:rPr>
          <w:rFonts w:cs="Calibri"/>
          <w:szCs w:val="24"/>
        </w:rPr>
        <w:t>skorygowanych dokumentów, wyjaśnień, opinii, wyników kontroli i</w:t>
      </w:r>
      <w:r w:rsidR="0064186B" w:rsidRPr="00A732A2">
        <w:rPr>
          <w:rFonts w:cs="Calibri"/>
          <w:szCs w:val="24"/>
        </w:rPr>
        <w:t> </w:t>
      </w:r>
      <w:r w:rsidRPr="00A732A2">
        <w:rPr>
          <w:rFonts w:cs="Calibri"/>
          <w:szCs w:val="24"/>
        </w:rPr>
        <w:t>audytów, w</w:t>
      </w:r>
      <w:r w:rsidR="00BA6958" w:rsidRPr="00A732A2">
        <w:rPr>
          <w:rFonts w:cs="Calibri"/>
          <w:szCs w:val="24"/>
        </w:rPr>
        <w:t> </w:t>
      </w:r>
      <w:r w:rsidRPr="00A732A2">
        <w:rPr>
          <w:rFonts w:cs="Calibri"/>
          <w:szCs w:val="24"/>
        </w:rPr>
        <w:t>szczególności potwierdzających prawidłowość poniesionych wydatków</w:t>
      </w:r>
      <w:r w:rsidR="00E57593" w:rsidRPr="00A732A2">
        <w:rPr>
          <w:rFonts w:cs="Calibri"/>
          <w:szCs w:val="24"/>
        </w:rPr>
        <w:t xml:space="preserve">, a także </w:t>
      </w:r>
      <w:r w:rsidRPr="00A732A2">
        <w:rPr>
          <w:rFonts w:cs="Calibri"/>
          <w:szCs w:val="24"/>
        </w:rPr>
        <w:t>w</w:t>
      </w:r>
      <w:r w:rsidR="00103F0D" w:rsidRPr="00A732A2">
        <w:rPr>
          <w:rFonts w:cs="Calibri"/>
          <w:szCs w:val="24"/>
        </w:rPr>
        <w:t xml:space="preserve"> </w:t>
      </w:r>
      <w:r w:rsidRPr="00A732A2">
        <w:rPr>
          <w:rFonts w:cs="Calibri"/>
          <w:szCs w:val="24"/>
        </w:rPr>
        <w:t>przypadku złożenia przez Beneficjenta wniosku o płatność końcową, gdy Instytucja Zarządzająca nie zatwierdziła wszystkich wcześniej złożonych w ramach Projektu wniosków o płatność.</w:t>
      </w:r>
    </w:p>
    <w:p w14:paraId="146CA51E" w14:textId="6AF959A9" w:rsidR="000C0431" w:rsidRPr="00A732A2" w:rsidRDefault="000C0431"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Instytucja Zarządzająca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073A6CC4" w:rsidR="00BE6684" w:rsidRPr="00A732A2" w:rsidRDefault="00BE6684" w:rsidP="0017133F">
      <w:pPr>
        <w:pStyle w:val="Akapitzlist"/>
        <w:numPr>
          <w:ilvl w:val="0"/>
          <w:numId w:val="30"/>
        </w:numPr>
        <w:spacing w:before="40" w:after="40"/>
        <w:ind w:left="284" w:hanging="284"/>
        <w:contextualSpacing w:val="0"/>
        <w:rPr>
          <w:rFonts w:cs="Calibri"/>
          <w:szCs w:val="24"/>
        </w:rPr>
      </w:pPr>
      <w:bookmarkStart w:id="39" w:name="_Hlk99606970"/>
      <w:r w:rsidRPr="00A732A2">
        <w:rPr>
          <w:rFonts w:cs="Calibri"/>
          <w:szCs w:val="24"/>
        </w:rPr>
        <w:t xml:space="preserve">Instytucja Zarządzająca zastrzega sobie prawo do </w:t>
      </w:r>
      <w:bookmarkEnd w:id="39"/>
      <w:r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0"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40"/>
    <w:p w14:paraId="763AE84E" w14:textId="7B8B4413"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W przypadku wezwania Beneficjenta do poprawy wniosku o płatność, niezłożenie żądanych wyjaśnień bądź nieusunięcie przez Beneficjenta braków lub błędów w terminie wyznaczonym przez Instytucję Zarządzającą skutkuje wstrzymaniem rozliczania Projektu.</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41"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41"/>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FD7FD7E"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Instytucji Zarządzającej </w:t>
      </w:r>
      <w:bookmarkStart w:id="42"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42"/>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28BF9739"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lastRenderedPageBreak/>
        <w:t>zakończenie prowadzonych przez Instytucję Zarządzającą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2D120A64"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zatwierdzenie wniosku o płatność przez Instytucję Zarządzającą</w:t>
      </w:r>
      <w:r w:rsidR="00812B7E">
        <w:rPr>
          <w:rFonts w:cs="Calibri"/>
          <w:szCs w:val="24"/>
        </w:rPr>
        <w:t>.</w:t>
      </w:r>
    </w:p>
    <w:p w14:paraId="551001E3" w14:textId="79515953"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może wystąpić z wnioskiem do dysponenta odpowiedniej części budżetowej o</w:t>
      </w:r>
      <w:r w:rsidR="00084BA2" w:rsidRPr="00A732A2">
        <w:rPr>
          <w:rFonts w:cs="Calibri"/>
          <w:szCs w:val="24"/>
        </w:rPr>
        <w:t> </w:t>
      </w:r>
      <w:r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Pr="00A732A2">
        <w:rPr>
          <w:rFonts w:cs="Calibri"/>
          <w:szCs w:val="24"/>
        </w:rPr>
        <w:t>o</w:t>
      </w:r>
      <w:r w:rsidR="00084BA2" w:rsidRPr="00A732A2">
        <w:rPr>
          <w:rFonts w:cs="Calibri"/>
          <w:szCs w:val="24"/>
        </w:rPr>
        <w:t> </w:t>
      </w:r>
      <w:r w:rsidRPr="00A732A2">
        <w:rPr>
          <w:rFonts w:cs="Calibri"/>
          <w:szCs w:val="24"/>
        </w:rPr>
        <w:t>finansach publicznych, w</w:t>
      </w:r>
      <w:r w:rsidR="00831BCD" w:rsidRPr="00A732A2">
        <w:rPr>
          <w:rFonts w:cs="Calibri"/>
          <w:szCs w:val="24"/>
        </w:rPr>
        <w:t> </w:t>
      </w:r>
      <w:r w:rsidRPr="00A732A2">
        <w:rPr>
          <w:rFonts w:cs="Calibri"/>
          <w:szCs w:val="24"/>
        </w:rPr>
        <w:t>przypadku zaistnienia niegospodarności, opóźnień lub braku postępów w</w:t>
      </w:r>
      <w:r w:rsidR="00084BA2" w:rsidRPr="00A732A2">
        <w:rPr>
          <w:rFonts w:cs="Calibri"/>
          <w:szCs w:val="24"/>
        </w:rPr>
        <w:t> </w:t>
      </w:r>
      <w:r w:rsidRPr="00A732A2">
        <w:rPr>
          <w:rFonts w:cs="Calibri"/>
          <w:szCs w:val="24"/>
        </w:rPr>
        <w:t>realizacji Projektu albo naruszenia zasad gospodarki finansowej.</w:t>
      </w:r>
    </w:p>
    <w:p w14:paraId="622537EE" w14:textId="1E77E4E6" w:rsidR="00252874" w:rsidRPr="00A732A2" w:rsidRDefault="00252874" w:rsidP="0017133F">
      <w:pPr>
        <w:pStyle w:val="Akapitzlist"/>
        <w:numPr>
          <w:ilvl w:val="0"/>
          <w:numId w:val="30"/>
        </w:numPr>
        <w:spacing w:before="40" w:after="40"/>
        <w:ind w:left="284" w:hanging="284"/>
        <w:contextualSpacing w:val="0"/>
        <w:rPr>
          <w:rFonts w:cs="Calibri"/>
          <w:szCs w:val="24"/>
        </w:rPr>
      </w:pPr>
      <w:r w:rsidRPr="00A732A2">
        <w:rPr>
          <w:rFonts w:cs="Calibri"/>
          <w:szCs w:val="24"/>
        </w:rPr>
        <w:t>Instytucja Zarządzająca nie ponosi odpowiedzialności wobec Beneficjenta i wobec wykonawcy za szkodę wynikającą z</w:t>
      </w:r>
      <w:r w:rsidR="00831BCD" w:rsidRPr="00A732A2">
        <w:rPr>
          <w:rFonts w:cs="Calibri"/>
          <w:szCs w:val="24"/>
        </w:rPr>
        <w:t> </w:t>
      </w:r>
      <w:r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43" w:name="_Hlk125007932"/>
      <w:r w:rsidRPr="00A732A2">
        <w:rPr>
          <w:rFonts w:cs="Calibri"/>
          <w:sz w:val="24"/>
          <w:szCs w:val="24"/>
          <w:lang w:eastAsia="pl-PL"/>
        </w:rPr>
        <w:t>§</w:t>
      </w:r>
      <w:bookmarkEnd w:id="43"/>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44"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44"/>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3A1FC68D"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dokumentowania podejmowanych czynności i udostępniania na żądanie Instytucji Zarządzającej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7777777"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lastRenderedPageBreak/>
        <w:t>niezwłocznego przekazywania Instytucji Zarządzającej informacji o wynikach kontroli lub postępowania wyjaśniającego przeprowadzonego przez Prezesa Urzędu Zamówień Publicznych lub innych zewnętrznych instytucji uprawnionych do kontroli zamówień,</w:t>
      </w:r>
      <w:bookmarkStart w:id="45" w:name="_Hlk118096081"/>
    </w:p>
    <w:p w14:paraId="312E1F6C" w14:textId="119DA9B6"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Instytucji Zarządzającej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45"/>
    </w:p>
    <w:p w14:paraId="4E52E3BB" w14:textId="1DD5D2AC"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przekazywania Instytucji Zarządzającej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podwykonawców. Instytucja Zarządzająca zastrzega sobie prawo do weryfikacji przekazanych informacji.</w:t>
      </w:r>
    </w:p>
    <w:p w14:paraId="5CF755A6" w14:textId="5079E2A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aplikacji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6EF854C3"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zastrzega sobie prawo kontroli postępowań o udzielenie zamówienia, o</w:t>
      </w:r>
      <w:r w:rsidR="00485BBF" w:rsidRPr="00A732A2">
        <w:rPr>
          <w:rFonts w:eastAsia="Times New Roman" w:cs="Calibri"/>
          <w:szCs w:val="24"/>
          <w:lang w:eastAsia="pl-PL"/>
        </w:rPr>
        <w:t> </w:t>
      </w:r>
      <w:r w:rsidRPr="00A732A2">
        <w:rPr>
          <w:rFonts w:eastAsia="Times New Roman" w:cs="Calibri"/>
          <w:szCs w:val="24"/>
          <w:lang w:eastAsia="pl-PL"/>
        </w:rPr>
        <w:t>których mowa w ust. 4 pkt 3, zgodnie z przyjętymi założeniami kontroli zamówień wynikającymi z przyjętej metodyki doboru próby.</w:t>
      </w:r>
    </w:p>
    <w:p w14:paraId="7E85EA6C" w14:textId="47D8BCF8"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zachowaniem zasad uzyskiwania najlepszych efektów z danych nakładów. Beneficjent jest zobowiązany do przekazania na żądanie Instytucji Zarządzającej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7148EC3E" w14:textId="241DDFBB" w:rsidR="00065700"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r w:rsidR="00065700">
        <w:rPr>
          <w:rFonts w:eastAsia="Times New Roman" w:cs="Calibri"/>
          <w:szCs w:val="24"/>
          <w:lang w:eastAsia="pl-PL"/>
        </w:rPr>
        <w:br w:type="page"/>
      </w:r>
    </w:p>
    <w:p w14:paraId="29E1F427" w14:textId="77777777" w:rsidR="00322302" w:rsidRPr="001E1A70" w:rsidRDefault="006F13FE" w:rsidP="00A732A2">
      <w:pPr>
        <w:pStyle w:val="Nagwek1"/>
        <w:rPr>
          <w:sz w:val="24"/>
          <w:szCs w:val="24"/>
        </w:rPr>
      </w:pPr>
      <w:r w:rsidRPr="001E1A70">
        <w:rPr>
          <w:sz w:val="24"/>
          <w:szCs w:val="24"/>
        </w:rPr>
        <w:lastRenderedPageBreak/>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1387E5F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przez 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1CCB5EA4" w14:textId="3EF69FB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 xml:space="preserve">na rzecz instytucji kontrolującej, na 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Obowiązki Beneficjenta w związku z prowadzoną kontrolą lub audytem reguluje art. 25 ust. 8 ustawy wdrożeniowej</w:t>
      </w:r>
      <w:r w:rsidR="00B929EC" w:rsidRPr="00A732A2">
        <w:rPr>
          <w:rFonts w:eastAsia="Times New Roman" w:cs="Calibri"/>
          <w:szCs w:val="24"/>
          <w:lang w:eastAsia="pl-PL"/>
        </w:rPr>
        <w:t xml:space="preserve">. </w:t>
      </w:r>
    </w:p>
    <w:p w14:paraId="7F579D60" w14:textId="77777777"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Instytucja Zarządzająca może uznać 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z zastrzeżeniem przepisów, 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xml:space="preserve">, pomocy de </w:t>
      </w:r>
      <w:proofErr w:type="spellStart"/>
      <w:r w:rsidR="002A1E8D" w:rsidRPr="00A732A2">
        <w:rPr>
          <w:rFonts w:eastAsia="Times New Roman" w:cs="Calibri"/>
          <w:szCs w:val="24"/>
          <w:lang w:eastAsia="pl-PL"/>
        </w:rPr>
        <w:t>minimis</w:t>
      </w:r>
      <w:proofErr w:type="spellEnd"/>
      <w:r w:rsidRPr="00A732A2">
        <w:rPr>
          <w:rFonts w:eastAsia="Times New Roman" w:cs="Calibri"/>
          <w:szCs w:val="24"/>
          <w:lang w:eastAsia="pl-PL"/>
        </w:rPr>
        <w:t xml:space="preserve"> oraz podatku od towarów i usług.</w:t>
      </w:r>
    </w:p>
    <w:p w14:paraId="4813ECD1" w14:textId="220A9C2B" w:rsidR="004869C3" w:rsidRPr="00A732A2" w:rsidRDefault="004869C3"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Instytucja Zarządzająca informuje Beneficjenta o dacie rozpoczęcia okresu, o którym mowa w</w:t>
      </w:r>
      <w:r w:rsidR="006C360A" w:rsidRPr="00A732A2">
        <w:rPr>
          <w:rFonts w:eastAsia="Times New Roman" w:cs="Calibri"/>
          <w:szCs w:val="24"/>
          <w:lang w:eastAsia="pl-PL"/>
        </w:rPr>
        <w:t> </w:t>
      </w:r>
      <w:r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Pr="00A732A2">
        <w:rPr>
          <w:rFonts w:eastAsia="Times New Roman" w:cs="Calibri"/>
          <w:szCs w:val="24"/>
          <w:lang w:eastAsia="pl-PL"/>
        </w:rPr>
        <w:t xml:space="preserve"> pkt</w:t>
      </w:r>
      <w:r w:rsidR="0088466A" w:rsidRPr="00A732A2">
        <w:rPr>
          <w:rFonts w:eastAsia="Times New Roman" w:cs="Calibri"/>
          <w:szCs w:val="24"/>
          <w:lang w:eastAsia="pl-PL"/>
        </w:rPr>
        <w:t> </w:t>
      </w:r>
      <w:r w:rsidRPr="00A732A2">
        <w:rPr>
          <w:rFonts w:eastAsia="Times New Roman" w:cs="Calibri"/>
          <w:szCs w:val="24"/>
          <w:lang w:eastAsia="pl-PL"/>
        </w:rPr>
        <w:t>1.</w:t>
      </w:r>
    </w:p>
    <w:p w14:paraId="4DA783DB" w14:textId="3E34EC1A"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Jeżeli Projekt lub wydatki rozliczone w Projekcie zostały poddane kontroli lub audytowi przez inny podmiot uprawniony do ich przeprowadzenia niż Instytucja Zarządzająca, Beneficjent niezwłocznie po dniu wszczęcia i zakończenia kontroli lub audytu informuje o tym Instytucję Zarządzającą</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przekazuje Instytucji Zarządzającej kopię dokumentu zawierającego wstępny oraz ostateczny wynik kontroli lub audytu, wnoszonych przez 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zlecania zadań merytorycznych lub ich części w ramach Projektu wykonawcy, Beneficjent zobowiązuje się do przedstawienia do wglądu dokumentów wytworzonych przez </w:t>
      </w:r>
      <w:r w:rsidRPr="00A732A2">
        <w:rPr>
          <w:rFonts w:eastAsia="Times New Roman" w:cs="Calibri"/>
          <w:szCs w:val="24"/>
          <w:lang w:eastAsia="pl-PL"/>
        </w:rPr>
        <w:lastRenderedPageBreak/>
        <w:t>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46"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46"/>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tymi 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42B1A479"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Do końca okresu trwałości Projektu Beneficjent jest zobowiązany niezwłocznie poinformować Instytucję Zarządzającą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47" w:name="_Hlk92803846"/>
      <w:r w:rsidRPr="00630B04">
        <w:rPr>
          <w:rFonts w:cs="Calibri"/>
          <w:sz w:val="24"/>
          <w:szCs w:val="24"/>
        </w:rPr>
        <w:t>§ 1</w:t>
      </w:r>
      <w:bookmarkEnd w:id="47"/>
      <w:r w:rsidR="003E17BA" w:rsidRPr="00630B04">
        <w:rPr>
          <w:rFonts w:cs="Calibri"/>
          <w:sz w:val="24"/>
          <w:szCs w:val="24"/>
        </w:rPr>
        <w:t>7</w:t>
      </w:r>
    </w:p>
    <w:p w14:paraId="28A9049D" w14:textId="134B95D0"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Beneficjent zgłasza Instytucji Zarządzającej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48" w:name="_Hlk92807438"/>
      <w:r w:rsidRPr="00A732A2">
        <w:rPr>
          <w:rFonts w:cs="Calibri"/>
          <w:szCs w:val="24"/>
          <w:lang w:eastAsia="pl-PL"/>
        </w:rPr>
        <w:t>§</w:t>
      </w:r>
      <w:bookmarkEnd w:id="48"/>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lastRenderedPageBreak/>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kwota dofinansowania tych kategorii kosztów nie ulega zmianie, a różnica pomiędzy tymi sumami nie podlega rozliczeniu, 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5F8D5FCA"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uzasadnionych przypadkach Beneficjent może złożyć do Instytucji Zarządzającej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polegać na zmianie Zadania pociągającej za sobą zmianę kwoty ryczałtowej lub wskaźnika ją rozliczającego, z zastrzeżeniem ust. 11 (dotyczy Projektu, w którym rozliczana jest kwota ryczałtowa).</w:t>
      </w:r>
    </w:p>
    <w:p w14:paraId="544942CC" w14:textId="79B83235"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Instytucja Zarządzająca 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Pr="00A732A2">
        <w:rPr>
          <w:rFonts w:cs="Calibri"/>
          <w:szCs w:val="24"/>
          <w:lang w:eastAsia="pl-PL"/>
        </w:rPr>
        <w:t xml:space="preserve">zakres rzeczowy Projektu, kwalifikowalność wydatków (w tym podatku VAT), warunki określone w regulaminie wyboru projektów oraz pod kątem faktycznej i uzasadnionej potrzeby finansowej. </w:t>
      </w:r>
    </w:p>
    <w:p w14:paraId="7C2FE01F" w14:textId="34A8209D"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szczególnie uzasadnionych przypadkach, Instytucja Zarządzająca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Instytucję Zarządzającą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razie wystąpienia niezależnych od Beneficjenta 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7B7DF116"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Projekcie lub jego części rozliczanej kwotą ryczałtową, w szczególnie uzasadnionych przypadkach (w tym wystąpienia siły wyższej lub innej okoliczności niezależnej od Beneficjenta, a mającej wpływ na realizację Zadania i Projektu), Instytucja Zarządzająca, po dokonaniu analizy, może wyrazić zgodę na zmianę Projektu polegającą na zmianie Zadania rozliczanego kwotą ryczałtową. Każda wnioskowana zmiana mająca wpływ na wysokość kwoty ryczałtowej </w:t>
      </w:r>
      <w:r w:rsidRPr="00A732A2">
        <w:rPr>
          <w:rFonts w:cs="Calibri"/>
          <w:szCs w:val="24"/>
          <w:lang w:eastAsia="pl-PL"/>
        </w:rPr>
        <w:lastRenderedPageBreak/>
        <w:t>lub wskaźnika ją rozliczającego będzie analizowana przez Instytucję Zarządzającą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Instytucji Zarządzającej skutkuje uznaniem kwoty ryczałtowej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1555AD4"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Pr="00A732A2">
        <w:rPr>
          <w:rFonts w:cs="Calibri"/>
          <w:szCs w:val="24"/>
        </w:rPr>
        <w:t xml:space="preserve">Instytucja Zarządzająca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21483D9"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Instytucji Zarządzającej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6D695443"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oraz wymagają zachowania formy pisemnej pod rygorem nieważności,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r w:rsidR="00283A46" w:rsidRPr="00A732A2">
        <w:rPr>
          <w:rFonts w:cs="Calibri"/>
          <w:szCs w:val="24"/>
          <w:lang w:eastAsia="pl-PL"/>
        </w:rPr>
        <w:t>–</w:t>
      </w:r>
      <w:r w:rsidRPr="00A732A2">
        <w:rPr>
          <w:rFonts w:cs="Calibri"/>
          <w:szCs w:val="24"/>
          <w:lang w:eastAsia="pl-PL"/>
        </w:rPr>
        <w:t>5</w:t>
      </w:r>
      <w:r w:rsidR="0097472C" w:rsidRPr="00A732A2">
        <w:rPr>
          <w:rFonts w:cs="Calibri"/>
          <w:szCs w:val="24"/>
        </w:rPr>
        <w:t xml:space="preserve"> </w:t>
      </w:r>
      <w:r w:rsidR="0097472C" w:rsidRPr="00A732A2">
        <w:rPr>
          <w:rFonts w:cs="Calibri"/>
          <w:szCs w:val="24"/>
          <w:lang w:eastAsia="pl-PL"/>
        </w:rPr>
        <w:t>oraz § 20 ust. 13 Porozumienia</w:t>
      </w:r>
      <w:r w:rsidRPr="00A732A2">
        <w:rPr>
          <w:rFonts w:cs="Calibri"/>
          <w:szCs w:val="24"/>
          <w:lang w:eastAsia="pl-PL"/>
        </w:rPr>
        <w:t>.</w:t>
      </w:r>
    </w:p>
    <w:p w14:paraId="113D0CCF" w14:textId="23C43F8F"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Instytucji Zarządzającej,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7CD28BD7"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r w:rsidRPr="00A732A2">
        <w:rPr>
          <w:rFonts w:cs="Calibri"/>
          <w:szCs w:val="24"/>
          <w:lang w:eastAsia="pl-PL"/>
        </w:rPr>
        <w:t xml:space="preserve"> Instytucja Zarządzająca</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Zmiana powyższych załączników nie wymaga zawarcia aneksu do </w:t>
      </w:r>
      <w:r w:rsidR="001F6806" w:rsidRPr="00A732A2">
        <w:rPr>
          <w:rFonts w:cs="Calibri"/>
          <w:szCs w:val="24"/>
          <w:lang w:eastAsia="pl-PL"/>
        </w:rPr>
        <w:t>Porozumienia</w:t>
      </w:r>
      <w:r w:rsidRPr="00A732A2">
        <w:rPr>
          <w:rFonts w:cs="Calibri"/>
          <w:szCs w:val="24"/>
          <w:lang w:eastAsia="pl-PL"/>
        </w:rPr>
        <w:t>.</w:t>
      </w:r>
      <w:r w:rsidR="00625144" w:rsidRPr="00A732A2">
        <w:rPr>
          <w:rFonts w:cs="Calibri"/>
          <w:szCs w:val="24"/>
        </w:rPr>
        <w:t xml:space="preserve"> </w:t>
      </w:r>
    </w:p>
    <w:p w14:paraId="1799DBF4" w14:textId="737ABC06" w:rsidR="00C82C19" w:rsidRPr="00A732A2" w:rsidRDefault="00625144"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49" w:name="_Hlk92806562"/>
      <w:r w:rsidRPr="00A732A2">
        <w:rPr>
          <w:rFonts w:cs="Calibri"/>
          <w:sz w:val="24"/>
          <w:szCs w:val="24"/>
        </w:rPr>
        <w:t xml:space="preserve">§ </w:t>
      </w:r>
      <w:r w:rsidR="003C2D89" w:rsidRPr="00A732A2">
        <w:rPr>
          <w:rFonts w:cs="Calibri"/>
          <w:sz w:val="24"/>
          <w:szCs w:val="24"/>
        </w:rPr>
        <w:t>19</w:t>
      </w:r>
    </w:p>
    <w:bookmarkEnd w:id="49"/>
    <w:p w14:paraId="78844150" w14:textId="79F9B4C3"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W przypadku stwierdzenia wystąpienia nieprawidłowości w Projekcie</w:t>
      </w:r>
      <w:r w:rsidR="00057104" w:rsidRPr="00A732A2">
        <w:rPr>
          <w:rFonts w:cs="Calibri"/>
          <w:szCs w:val="24"/>
          <w:lang w:eastAsia="pl-PL"/>
        </w:rPr>
        <w:t xml:space="preserve"> </w:t>
      </w:r>
      <w:r w:rsidRPr="00A732A2">
        <w:rPr>
          <w:rFonts w:cs="Calibri"/>
          <w:szCs w:val="24"/>
          <w:lang w:eastAsia="pl-PL"/>
        </w:rPr>
        <w:t xml:space="preserve">Instytucja Zarządzająca podejmuje odpowiednie działania mające na celu niedopuszczenie do sfinansowania nieprawidłowo poniesionych wydatków, w tym nakłada korekty finansowe. </w:t>
      </w:r>
    </w:p>
    <w:p w14:paraId="3C2ACC2C" w14:textId="6BE464FC"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Wytycznych w</w:t>
      </w:r>
      <w:r w:rsidR="00FA3E43" w:rsidRPr="00A732A2">
        <w:rPr>
          <w:rFonts w:cs="Calibri"/>
          <w:iCs/>
          <w:color w:val="000000" w:themeColor="text1"/>
          <w:szCs w:val="24"/>
        </w:rPr>
        <w:t> </w:t>
      </w:r>
      <w:r w:rsidR="009167E3" w:rsidRPr="00A732A2">
        <w:rPr>
          <w:rFonts w:cs="Calibri"/>
          <w:iCs/>
          <w:color w:val="000000" w:themeColor="text1"/>
          <w:szCs w:val="24"/>
        </w:rPr>
        <w:t xml:space="preserve">zakresie </w:t>
      </w:r>
      <w:r w:rsidR="009167E3" w:rsidRPr="00A732A2">
        <w:rPr>
          <w:rFonts w:cs="Calibri"/>
          <w:iCs/>
          <w:color w:val="000000" w:themeColor="text1"/>
          <w:szCs w:val="24"/>
        </w:rPr>
        <w:lastRenderedPageBreak/>
        <w:t>sposobu korygowania i odzyskiwania nieprawidłowych wydatków oraz zgłaszania nieprawidłowości w</w:t>
      </w:r>
      <w:r w:rsidR="0088466A" w:rsidRPr="00A732A2">
        <w:rPr>
          <w:rFonts w:cs="Calibri"/>
          <w:iCs/>
          <w:color w:val="000000" w:themeColor="text1"/>
          <w:szCs w:val="24"/>
        </w:rPr>
        <w:t> </w:t>
      </w:r>
      <w:r w:rsidR="009167E3" w:rsidRPr="00A732A2">
        <w:rPr>
          <w:rFonts w:cs="Calibri"/>
          <w:iCs/>
          <w:color w:val="000000" w:themeColor="text1"/>
          <w:szCs w:val="24"/>
        </w:rPr>
        <w:t>ramach programów polityki spójności 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11CE8A9D"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246530" w:rsidRPr="00A732A2">
        <w:rPr>
          <w:rFonts w:cs="Calibri"/>
          <w:szCs w:val="24"/>
          <w:lang w:eastAsia="pl-PL"/>
        </w:rPr>
        <w:t>Instytucja Zarządzająca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77777777"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produktu, który nie został wykazany we wniosku o płatność końcową jako osiągnięty, Instytucja Zarządzająca przed 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5EF13786" w14:textId="28ED0BAB"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w przypadku wskaźnika rezultatu, którego założenia nie zostały osiągnięte, Instytucja Zarządzająca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4F36A4FA"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Wytycznych dotyczących realizacji zasad równościowych w 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Instytucja Zarządzająca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4AE6A393"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o finansach 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Instytucja Zarządzająca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50" w:name="_Hlk125545283"/>
      <w:r w:rsidRPr="001E1A70">
        <w:rPr>
          <w:sz w:val="24"/>
          <w:szCs w:val="24"/>
        </w:rPr>
        <w:lastRenderedPageBreak/>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umieszczania w widoczny sposób znaku Funduszy Europejskich, znaku barw Rzeczypospolitej Polskiej (jeśli dotyczy; wersja </w:t>
      </w:r>
      <w:proofErr w:type="spellStart"/>
      <w:r w:rsidRPr="00A732A2">
        <w:rPr>
          <w:rFonts w:eastAsia="Calibri" w:cs="Calibri"/>
          <w:szCs w:val="24"/>
        </w:rPr>
        <w:t>pełnokolorowa</w:t>
      </w:r>
      <w:proofErr w:type="spellEnd"/>
      <w:r w:rsidRPr="00A732A2">
        <w:rPr>
          <w:rFonts w:eastAsia="Calibri" w:cs="Calibri"/>
          <w:szCs w:val="24"/>
        </w:rPr>
        <w:t>),</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51" w:name="_Hlk124853353"/>
      <w:r w:rsidRPr="00A732A2">
        <w:rPr>
          <w:rFonts w:eastAsia="Calibri" w:cs="Calibri"/>
          <w:szCs w:val="24"/>
        </w:rPr>
        <w:t>Funduszu na rzecz Sprawiedliwej Transformacji</w:t>
      </w:r>
      <w:bookmarkEnd w:id="51"/>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5A0533FA"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Pr="00A732A2">
        <w:rPr>
          <w:rFonts w:eastAsia="Calibri" w:cs="Calibri"/>
          <w:szCs w:val="24"/>
        </w:rPr>
        <w:t xml:space="preserve">Instytucją Zarządzającą. Tablica musi być umieszczona niezwłocznie po 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54C5FC5A"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lastRenderedPageBreak/>
        <w:t xml:space="preserve">umieszczenia krótkiego opisu Projektu na </w:t>
      </w:r>
      <w:r w:rsidR="00CA1C11" w:rsidRPr="00A732A2">
        <w:rPr>
          <w:rFonts w:eastAsia="Calibri" w:cs="Calibri"/>
          <w:color w:val="000000"/>
          <w:szCs w:val="24"/>
        </w:rPr>
        <w:t xml:space="preserve">oficjalnej </w:t>
      </w:r>
      <w:r w:rsidRPr="00A732A2">
        <w:rPr>
          <w:rFonts w:eastAsia="Calibri" w:cs="Calibri"/>
          <w:color w:val="000000"/>
          <w:szCs w:val="24"/>
        </w:rPr>
        <w:t>stronie internetowej Beneficjenta</w:t>
      </w:r>
      <w:r w:rsidR="00440F80" w:rsidRPr="00A732A2">
        <w:rPr>
          <w:rFonts w:eastAsia="Calibri" w:cs="Calibri"/>
          <w:color w:val="000000"/>
          <w:szCs w:val="24"/>
        </w:rPr>
        <w:t>, jeśli ją posiada lub</w:t>
      </w:r>
      <w:r w:rsidRPr="00A732A2">
        <w:rPr>
          <w:rFonts w:eastAsia="Calibri" w:cs="Calibri"/>
          <w:color w:val="000000"/>
          <w:szCs w:val="24"/>
        </w:rPr>
        <w:t xml:space="preserve"> na jego stronach </w:t>
      </w:r>
      <w:r w:rsidR="00FC4DFE" w:rsidRPr="00A732A2">
        <w:rPr>
          <w:rFonts w:eastAsia="Calibri" w:cs="Calibri"/>
          <w:color w:val="000000"/>
          <w:szCs w:val="24"/>
        </w:rPr>
        <w:t xml:space="preserve">(kontach) w </w:t>
      </w:r>
      <w:r w:rsidRPr="00A732A2">
        <w:rPr>
          <w:rFonts w:eastAsia="Calibri" w:cs="Calibri"/>
          <w:color w:val="000000"/>
          <w:szCs w:val="24"/>
        </w:rPr>
        <w:t>medi</w:t>
      </w:r>
      <w:r w:rsidR="00FC4DFE" w:rsidRPr="00A732A2">
        <w:rPr>
          <w:rFonts w:eastAsia="Calibri" w:cs="Calibri"/>
          <w:color w:val="000000"/>
          <w:szCs w:val="24"/>
        </w:rPr>
        <w:t>ach</w:t>
      </w:r>
      <w:r w:rsidRPr="00A732A2">
        <w:rPr>
          <w:rFonts w:eastAsia="Calibri" w:cs="Calibri"/>
          <w:color w:val="000000"/>
          <w:szCs w:val="24"/>
        </w:rPr>
        <w:t xml:space="preserve"> społecznościowych.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7B8D24D1"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ważnego etapu np. 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t xml:space="preserve">przedstawicieli Komisji Europejskiej i Instytucji Zarządzającej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CA4184" w:rsidRPr="00A732A2">
        <w:rPr>
          <w:rFonts w:eastAsia="Calibri" w:cs="Calibri"/>
          <w:b/>
          <w:bCs/>
          <w:color w:val="000000" w:themeColor="text1"/>
          <w:szCs w:val="24"/>
        </w:rPr>
        <w:t xml:space="preserve"> </w:t>
      </w:r>
      <w:r w:rsidR="00CA4184" w:rsidRPr="00A732A2">
        <w:rPr>
          <w:rFonts w:eastAsia="Calibri" w:cs="Calibri"/>
          <w:color w:val="000000" w:themeColor="text1"/>
          <w:szCs w:val="24"/>
        </w:rPr>
        <w:t>oraz</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CA4184" w:rsidRPr="00A732A2">
        <w:rPr>
          <w:rFonts w:eastAsia="Calibri" w:cs="Calibri"/>
          <w:szCs w:val="24"/>
        </w:rPr>
        <w:t>.</w:t>
      </w:r>
    </w:p>
    <w:p w14:paraId="77BC0B05" w14:textId="5AC82A2A"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którym współfinansowanie krajowe z budżetu państwa w ramach przyznanego dofinansowania przekracza kwotę 2 mln PLN</w:t>
      </w:r>
      <w:r w:rsidRPr="00A732A2">
        <w:rPr>
          <w:rFonts w:cs="Calibri"/>
          <w:color w:val="000000" w:themeColor="text1"/>
          <w:szCs w:val="24"/>
          <w:lang w:eastAsia="pl-PL"/>
        </w:rPr>
        <w:t>, informuje Instytucję Zarządzającą</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wydarzeniu otwierającym/kończącym realizację 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44FC73D6"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w:t>
      </w:r>
      <w:r w:rsidRPr="00A732A2">
        <w:rPr>
          <w:rFonts w:cs="Calibri"/>
          <w:color w:val="000000" w:themeColor="text1"/>
          <w:szCs w:val="24"/>
          <w:lang w:eastAsia="pl-PL"/>
        </w:rPr>
        <w:lastRenderedPageBreak/>
        <w:t xml:space="preserve">Instytucji </w:t>
      </w:r>
      <w:r w:rsidR="00022C72" w:rsidRPr="00A732A2">
        <w:rPr>
          <w:rFonts w:cs="Calibri"/>
          <w:color w:val="000000" w:themeColor="text1"/>
          <w:szCs w:val="24"/>
          <w:lang w:eastAsia="pl-PL"/>
        </w:rPr>
        <w:t>Zarządzającej</w:t>
      </w:r>
      <w:r w:rsidRPr="00A732A2">
        <w:rPr>
          <w:rFonts w:cs="Calibri"/>
          <w:color w:val="000000" w:themeColor="text1"/>
          <w:szCs w:val="24"/>
          <w:lang w:eastAsia="pl-PL"/>
        </w:rPr>
        <w:t xml:space="preserve"> </w:t>
      </w:r>
      <w:hyperlink r:id="rId15"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 </w:t>
      </w:r>
      <w:r w:rsidRPr="00A732A2">
        <w:rPr>
          <w:rFonts w:cs="Calibri"/>
          <w:color w:val="000000" w:themeColor="text1"/>
          <w:szCs w:val="24"/>
          <w:lang w:eastAsia="pl-PL"/>
        </w:rPr>
        <w:t xml:space="preserve">Informacja powinna wskazywać dane kontaktowe osób ze strony Beneficjenta zaangażowanych w wydarzenie. </w:t>
      </w:r>
    </w:p>
    <w:p w14:paraId="059CACAA" w14:textId="6D1EBA5A"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52"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 xml:space="preserve">Projektem lub widzi potrzebę jego wsparcia promocyjnego powinien poinformować o tym fakcie Instytucję Zarządzającą na adres </w:t>
      </w:r>
      <w:hyperlink r:id="rId16" w:history="1">
        <w:r w:rsidRPr="00636446">
          <w:rPr>
            <w:rStyle w:val="Hipercze"/>
            <w:rFonts w:cs="Calibri"/>
            <w:color w:val="000000" w:themeColor="text1"/>
            <w:szCs w:val="24"/>
            <w:lang w:eastAsia="pl-PL"/>
          </w:rPr>
          <w:t>otwarcia.projektow@dolnyslask.pl</w:t>
        </w:r>
      </w:hyperlink>
    </w:p>
    <w:bookmarkEnd w:id="52"/>
    <w:p w14:paraId="55F21C2B" w14:textId="7830DD09"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5D8C2DC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niewywiązania się 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Instytucja Zarządzająca wzywa Beneficjenta do podjęcia działań zaradczych w</w:t>
      </w:r>
      <w:r w:rsidR="00C87816" w:rsidRPr="00A732A2">
        <w:rPr>
          <w:rFonts w:eastAsia="Calibri" w:cs="Calibri"/>
          <w:szCs w:val="24"/>
        </w:rPr>
        <w:t> </w:t>
      </w:r>
      <w:r w:rsidRPr="00A732A2">
        <w:rPr>
          <w:rFonts w:eastAsia="Calibri" w:cs="Calibri"/>
          <w:szCs w:val="24"/>
        </w:rPr>
        <w:t>terminie i na warunkach określonych w wezwaniu. W przypadku braku wykonania przez Beneficjenta działań zaradczych, o których mowa w wezwaniu, Instytucja Zarządzająca 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wartość nie większą niż 3% tego dofinansowania, zgodnie z 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takim przypadku Instytucja Zarządzająca w drodze 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wyniku pomniejszenia dofinansowania okaże się, że Beneficjent otrzymał 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57F91672"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 udzielenia licencji, o których mowa w ust. 11</w:t>
      </w:r>
      <w:r w:rsidRPr="00A732A2">
        <w:rPr>
          <w:rFonts w:eastAsia="Calibri" w:cs="Calibri"/>
          <w:color w:val="000000" w:themeColor="text1"/>
          <w:szCs w:val="24"/>
        </w:rPr>
        <w:t>.</w:t>
      </w:r>
    </w:p>
    <w:p w14:paraId="79E259A6" w14:textId="68323C4E"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 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lastRenderedPageBreak/>
        <w:t>na terytorium Rzeczypospolitej Polskiej oraz na terytorium innych państw członkowskich 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tym fakcie w formie pisemnej lub elektronicznej, wraz ze wskazaniem daty, od której obowiązuje zmieniony adres. Zmiana jest skuteczna z chwilą doręczenia informacji Beneficjentowi.</w:t>
      </w:r>
    </w:p>
    <w:p w14:paraId="4B7E6CC6" w14:textId="204BB956"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publikowanym przez Instytucję Zarządzającą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53"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53"/>
    </w:p>
    <w:bookmarkEnd w:id="50"/>
    <w:p w14:paraId="31E0BDD4" w14:textId="15E1F109" w:rsidR="00F5039D" w:rsidRPr="001E1A70" w:rsidRDefault="006F13FE" w:rsidP="00A732A2">
      <w:pPr>
        <w:pStyle w:val="Nagwek1"/>
        <w:rPr>
          <w:sz w:val="24"/>
          <w:szCs w:val="24"/>
        </w:rPr>
      </w:pPr>
      <w:r w:rsidRPr="001E1A70">
        <w:rPr>
          <w:sz w:val="24"/>
          <w:szCs w:val="24"/>
        </w:rPr>
        <w:lastRenderedPageBreak/>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5B5529B7"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W ramach procesu rozliczenia Projektu</w:t>
      </w:r>
      <w:bookmarkStart w:id="54" w:name="_Hlk90980720"/>
      <w:r w:rsidRPr="00A732A2">
        <w:rPr>
          <w:rFonts w:eastAsia="Times New Roman" w:cs="Calibri"/>
          <w:szCs w:val="24"/>
          <w:lang w:eastAsia="pl-PL"/>
        </w:rPr>
        <w:t xml:space="preserve"> Beneficjent zobowiązany jest do korzystania z </w:t>
      </w:r>
      <w:bookmarkEnd w:id="54"/>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aplikacji SL2021)</w:t>
      </w:r>
      <w:r w:rsidRPr="00A732A2">
        <w:rPr>
          <w:rFonts w:eastAsia="Times New Roman" w:cs="Calibri"/>
          <w:szCs w:val="24"/>
          <w:lang w:eastAsia="pl-PL"/>
        </w:rPr>
        <w:t>, który jest podstawowym kanałem komunikacji pomiędzy Beneficjentem a Instytucją Zarządzającą,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55" w:name="_Hlk92273973"/>
      <w:r w:rsidRPr="00A732A2">
        <w:rPr>
          <w:rFonts w:eastAsia="Times New Roman" w:cs="Calibri"/>
          <w:szCs w:val="24"/>
          <w:lang w:eastAsia="pl-PL"/>
        </w:rPr>
        <w:t>Beneficjent wyznacza osoby uprawnione do 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56" w:name="_Hlk125964637"/>
      <w:r w:rsidR="00D33F0E" w:rsidRPr="00A732A2">
        <w:rPr>
          <w:rFonts w:eastAsia="Times New Roman" w:cs="Calibri"/>
          <w:szCs w:val="24"/>
          <w:lang w:eastAsia="pl-PL"/>
        </w:rPr>
        <w:t xml:space="preserve">przez Beneficjenta </w:t>
      </w:r>
      <w:bookmarkEnd w:id="56"/>
      <w:r w:rsidRPr="00A732A2">
        <w:rPr>
          <w:rFonts w:eastAsia="Times New Roman" w:cs="Calibri"/>
          <w:szCs w:val="24"/>
          <w:lang w:eastAsia="pl-PL"/>
        </w:rPr>
        <w:t>są traktowane w sensie prawnym jako działania Beneficjenta.</w:t>
      </w:r>
    </w:p>
    <w:bookmarkEnd w:id="55"/>
    <w:p w14:paraId="548865D8" w14:textId="08AC3B2D"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aplikacji 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0C0F6755"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niezwłocznie poinformować Instytucję Zarządzającą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t>Przedmiotem komunikacji dokonywanej 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4EE0010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Beneficjent zgłasza Instytucji Zarządzającej zaistniały problem na adres e-mail </w:t>
      </w:r>
      <w:hyperlink r:id="rId17" w:history="1"/>
      <w:hyperlink r:id="rId18" w:history="1">
        <w:r w:rsidR="00557386" w:rsidRPr="00636446">
          <w:rPr>
            <w:rStyle w:val="Hipercze"/>
            <w:rFonts w:eastAsia="Times New Roman" w:cs="Calibri"/>
            <w:color w:val="000000" w:themeColor="text1"/>
            <w:szCs w:val="24"/>
            <w:lang w:eastAsia="pl-PL"/>
          </w:rPr>
          <w:t>amiz.feds@dolnyslask.pl</w:t>
        </w:r>
      </w:hyperlink>
      <w:r w:rsidR="00636446">
        <w:rPr>
          <w:rFonts w:eastAsia="Times New Roman" w:cs="Calibri"/>
          <w:szCs w:val="24"/>
          <w:lang w:eastAsia="pl-PL"/>
        </w:rPr>
        <w:t xml:space="preserve"> </w:t>
      </w:r>
      <w:r w:rsidRPr="00A732A2">
        <w:rPr>
          <w:rFonts w:eastAsia="Times New Roman" w:cs="Calibri"/>
          <w:szCs w:val="24"/>
          <w:lang w:eastAsia="pl-PL"/>
        </w:rPr>
        <w:t>. W przypadku potwierdzenia awarii CST2021 przez pracownika Instytucji Zarządzającej, proces rozliczania Projektu oraz komunikowania się z</w:t>
      </w:r>
      <w:r w:rsidR="006262D1" w:rsidRPr="00A732A2">
        <w:rPr>
          <w:rFonts w:eastAsia="Times New Roman" w:cs="Calibri"/>
          <w:szCs w:val="24"/>
          <w:lang w:eastAsia="pl-PL"/>
        </w:rPr>
        <w:t> </w:t>
      </w:r>
      <w:r w:rsidRPr="00A732A2">
        <w:rPr>
          <w:rFonts w:eastAsia="Times New Roman" w:cs="Calibri"/>
          <w:szCs w:val="24"/>
          <w:lang w:eastAsia="pl-PL"/>
        </w:rPr>
        <w:t xml:space="preserve">Instytucją Zarządzającą odbywa się drogą elektroniczną poprzez </w:t>
      </w:r>
      <w:proofErr w:type="spellStart"/>
      <w:r w:rsidRPr="00A732A2">
        <w:rPr>
          <w:rFonts w:eastAsia="Times New Roman" w:cs="Calibri"/>
          <w:szCs w:val="24"/>
          <w:lang w:eastAsia="pl-PL"/>
        </w:rPr>
        <w:t>ePUAP</w:t>
      </w:r>
      <w:proofErr w:type="spellEnd"/>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Instytucja Zarządzająca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usunięciu awarii CST2021 Instytucja Zarządzająca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 xml:space="preserve">zakresie dokumentów </w:t>
      </w:r>
      <w:r w:rsidRPr="00A732A2">
        <w:rPr>
          <w:rFonts w:eastAsia="Times New Roman" w:cs="Calibri"/>
          <w:szCs w:val="24"/>
          <w:lang w:eastAsia="pl-PL"/>
        </w:rPr>
        <w:lastRenderedPageBreak/>
        <w:t>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95D2345"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Instytucją Zarządzającą</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57" w:name="_Hlk97630120"/>
      <w:r w:rsidRPr="001E1A70">
        <w:rPr>
          <w:sz w:val="24"/>
          <w:szCs w:val="24"/>
        </w:rPr>
        <w:t>Zapobieganie nadużyciom finansowym</w:t>
      </w:r>
      <w:bookmarkEnd w:id="57"/>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tym w szczególności przy podejmowaniu działań finansowych oraz wyłanianiu wykonawcy dla zamówień przewidzianych 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77A76A1E"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pisemnego powiadomienia Instytucji Zarządzającej o każdym podejrzeniu wystąpienia lub stwierdzonym przypadku wystąpienia nadużycia finansowego, w</w:t>
      </w:r>
      <w:r w:rsidR="00B842A4" w:rsidRPr="00A732A2">
        <w:rPr>
          <w:rFonts w:cs="Calibri"/>
          <w:szCs w:val="24"/>
        </w:rPr>
        <w:t> </w:t>
      </w:r>
      <w:r w:rsidRPr="00A732A2">
        <w:rPr>
          <w:rFonts w:cs="Calibri"/>
          <w:szCs w:val="24"/>
        </w:rPr>
        <w:t>tym konfliktu interesów lub korupcji, a także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5396B645"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przypadku podejrzenia, iż doszło do 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realizacją Projektu przez Beneficjenta/Partnera/Podmiot upoważniony do ponoszenia wydatków, Instytucja Zarządzająca bezzwłocznie podejmuje przewidziane prawem działania, w tym zawiadamia właściwe organy.</w:t>
      </w:r>
    </w:p>
    <w:p w14:paraId="2CE4541A" w14:textId="2819871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powzięcia informacji o postępowaniach prowadzonych przez organy ścigania oraz Urząd Ochrony Konkurencji i Konsumentów (UOKiK) Beneficjent jest zobowiązany do przekazania Instytucji Zarządzającej w formie pisemnej informacji w tym zakresie, w</w:t>
      </w:r>
      <w:r w:rsidR="008E2EFD">
        <w:rPr>
          <w:rFonts w:cs="Calibri"/>
          <w:szCs w:val="24"/>
        </w:rPr>
        <w:t> </w:t>
      </w:r>
      <w:r w:rsidRPr="00A732A2">
        <w:rPr>
          <w:rFonts w:cs="Calibri"/>
          <w:szCs w:val="24"/>
        </w:rPr>
        <w:t>terminie 3 dni od dnia jej uzyskania.</w:t>
      </w:r>
    </w:p>
    <w:p w14:paraId="4E7B26D0" w14:textId="1737A06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jest zobowiązany do informowania podmiotów uczestniczących w Projekcie o</w:t>
      </w:r>
      <w:r w:rsidR="008B4354" w:rsidRPr="00A732A2">
        <w:rPr>
          <w:rFonts w:cs="Calibri"/>
          <w:szCs w:val="24"/>
        </w:rPr>
        <w:t> </w:t>
      </w:r>
      <w:r w:rsidRPr="00A732A2">
        <w:rPr>
          <w:rFonts w:cs="Calibri"/>
          <w:szCs w:val="24"/>
        </w:rPr>
        <w:t>możliwości zgłoszenia Instytucji Zarządzającej, m.in.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 xml:space="preserve">dokonywania wyboru wykonawcy Beneficjent obowiązany jest kierować się </w:t>
      </w:r>
      <w:r w:rsidRPr="00A732A2">
        <w:rPr>
          <w:rFonts w:cs="Calibri"/>
          <w:szCs w:val="24"/>
        </w:rPr>
        <w:lastRenderedPageBreak/>
        <w:t>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niezobowiązanego do stosowania obowiązującej ustawy regulującej udzielanie zamówień publicznych, nie mogą być 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1C43FBC3"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Instytucja Zarządzająca podejmuje działania mające na celu wykrycie ewentualnych nadużyć finansowych, w</w:t>
      </w:r>
      <w:r w:rsidR="009C5157" w:rsidRPr="00A732A2">
        <w:rPr>
          <w:rFonts w:cs="Calibri"/>
          <w:szCs w:val="24"/>
        </w:rPr>
        <w:t> </w:t>
      </w:r>
      <w:r w:rsidRPr="00A732A2">
        <w:rPr>
          <w:rFonts w:cs="Calibri"/>
          <w:szCs w:val="24"/>
        </w:rPr>
        <w:t>tym konfliktów interesów i przypadków korupcji, a Beneficjent zobowiązany jest do przedstawienia wszystkich informacji i</w:t>
      </w:r>
      <w:r w:rsidR="007D395D" w:rsidRPr="00A732A2">
        <w:rPr>
          <w:rFonts w:cs="Calibri"/>
          <w:szCs w:val="24"/>
        </w:rPr>
        <w:t> </w:t>
      </w:r>
      <w:r w:rsidRPr="00A732A2">
        <w:rPr>
          <w:rFonts w:cs="Calibri"/>
          <w:szCs w:val="24"/>
        </w:rPr>
        <w:t>dokumentów umożliwiających ustalenie stanu faktycznego w</w:t>
      </w:r>
      <w:r w:rsidR="00F85750" w:rsidRPr="00A732A2">
        <w:rPr>
          <w:rFonts w:cs="Calibri"/>
          <w:szCs w:val="24"/>
        </w:rPr>
        <w:t> </w:t>
      </w:r>
      <w:r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58" w:name="_Hlk108095584"/>
      <w:r w:rsidRPr="001E1A70">
        <w:rPr>
          <w:sz w:val="24"/>
          <w:szCs w:val="24"/>
        </w:rPr>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0DF518F3"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Beneficjent oraz Instytucja Zarządzająca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4093CE42"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Beneficjent oraz Instytucja Zarządzająca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sprawie ochrony osób 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p>
    <w:p w14:paraId="3690DF83" w14:textId="4930E77C"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Instytucja Zarządzająca zobowiązują się przetwarzać dane osobowe w sposób zgodny z przepisami RODO, ustawy o ochronie danych osobowych i innych przepisów prawa </w:t>
      </w:r>
      <w:r w:rsidRPr="00A732A2">
        <w:rPr>
          <w:rFonts w:cs="Calibri"/>
          <w:szCs w:val="24"/>
        </w:rPr>
        <w:lastRenderedPageBreak/>
        <w:t>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05E2F411"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Instytucję Zarządzającą jest dopuszczalne na podstawie art. 6 ust. 1 lit. b lub c lub e RODO</w:t>
      </w:r>
      <w:r w:rsidR="00132718" w:rsidRPr="00A732A2">
        <w:rPr>
          <w:rFonts w:cs="Calibri"/>
          <w:szCs w:val="24"/>
        </w:rPr>
        <w:t xml:space="preserve">, a w przypadku danych szczególnej 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59" w:name="_Hlk96605927"/>
      <w:bookmarkEnd w:id="58"/>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4BA503FB"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Instytucja Zarządzająca może rozwiązać </w:t>
      </w:r>
      <w:r w:rsidR="003E01D1" w:rsidRPr="00A732A2">
        <w:rPr>
          <w:rFonts w:eastAsia="Calibri" w:cs="Calibri"/>
          <w:szCs w:val="24"/>
        </w:rPr>
        <w:t xml:space="preserve">Porozumienie </w:t>
      </w:r>
      <w:r w:rsidRPr="00A732A2">
        <w:rPr>
          <w:rFonts w:eastAsia="Calibri" w:cs="Calibri"/>
          <w:szCs w:val="24"/>
        </w:rPr>
        <w:t>bez zachowania okresu wypowiedzenia, w przypadku gdy Beneficjent nie wywiązuje się z obowiązków umownych, w 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utrudnia lub uniemożliwia przeprowadzenie kontroli lub audytu Projektu przez 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7E0E0CE1"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przedkłada wniosków o płatność zgodnie z </w:t>
      </w:r>
      <w:r w:rsidR="003E01D1" w:rsidRPr="00A732A2">
        <w:rPr>
          <w:rFonts w:eastAsia="Calibri" w:cs="Calibri"/>
          <w:szCs w:val="24"/>
        </w:rPr>
        <w:t>Porozumieniem</w:t>
      </w:r>
      <w:r w:rsidRPr="00A732A2">
        <w:rPr>
          <w:rFonts w:eastAsia="Calibri" w:cs="Calibri"/>
          <w:szCs w:val="24"/>
        </w:rPr>
        <w:t>, w tym poprawek, uzupełnień lub wyjaśnień do wniosków o</w:t>
      </w:r>
      <w:r w:rsidR="007D395D" w:rsidRPr="00A732A2">
        <w:rPr>
          <w:rFonts w:eastAsia="Calibri" w:cs="Calibri"/>
          <w:szCs w:val="24"/>
        </w:rPr>
        <w:t> </w:t>
      </w:r>
      <w:r w:rsidRPr="00A732A2">
        <w:rPr>
          <w:rFonts w:eastAsia="Calibri" w:cs="Calibri"/>
          <w:szCs w:val="24"/>
        </w:rPr>
        <w:t>płatność, pomimo kierowanego do niego wezwania przez Instytucję Zarządzającą;</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uzyskał ostatecznej decyzji o pozwoleniu na użytkowanie obiektu budowlanego (jeżeli 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nie zrealizował pełnego zakresu rzeczowego Projektu;</w:t>
      </w:r>
    </w:p>
    <w:p w14:paraId="0DF8F67C" w14:textId="6B6E2D6D"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Instytucją Zarządzającą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istnieje uzasadnione podejrzenie, że złożył lub przedstawił Instytucji Zarządzającej w toku wykonywanych czynności w ramach aplikowania, realizacji Projektu i w okresie trwałości nieprawdziwe, podrobione, przerobione, poświadczające nieprawdę lub nierzetelne dokumenty lub oświadczenia;</w:t>
      </w:r>
    </w:p>
    <w:p w14:paraId="61F5385D" w14:textId="575B4DD6"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lastRenderedPageBreak/>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 xml:space="preserve">ytycznych, o których mowa w § 5 </w:t>
      </w:r>
      <w:r w:rsidR="003E01D1" w:rsidRPr="00A732A2">
        <w:rPr>
          <w:rFonts w:eastAsia="Calibri" w:cs="Calibri"/>
          <w:szCs w:val="24"/>
        </w:rPr>
        <w:t>Porozumienia</w:t>
      </w:r>
      <w:r w:rsidRPr="00A732A2">
        <w:rPr>
          <w:rFonts w:eastAsia="Calibri" w:cs="Calibri"/>
          <w:szCs w:val="24"/>
        </w:rPr>
        <w:t>;</w:t>
      </w:r>
      <w:bookmarkStart w:id="60" w:name="_Hlk94611130"/>
    </w:p>
    <w:bookmarkEnd w:id="60"/>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3FD32F4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Instytucji Zarządzającej.</w:t>
      </w:r>
    </w:p>
    <w:p w14:paraId="3980F649" w14:textId="636CD054"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W przypadku wystąpienia przesłanek, o których mowa w ust. 1, Instytucja Zarządzająca,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0A76A88C"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Pr="00A732A2">
        <w:rPr>
          <w:rFonts w:cs="Calibri"/>
          <w:szCs w:val="24"/>
        </w:rPr>
        <w:t xml:space="preserve">Wypowiedzenie </w:t>
      </w:r>
      <w:r w:rsidR="000916C2" w:rsidRPr="00A732A2">
        <w:rPr>
          <w:rFonts w:cs="Calibri"/>
          <w:szCs w:val="24"/>
        </w:rPr>
        <w:t>Porozumienia</w:t>
      </w:r>
      <w:r w:rsidRPr="00A732A2">
        <w:rPr>
          <w:rFonts w:cs="Calibri"/>
          <w:szCs w:val="24"/>
        </w:rPr>
        <w:t xml:space="preserve"> wymaga zachowania formy pisemnej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112AA888" w:rsidR="00796A7A" w:rsidRPr="00A732A2" w:rsidRDefault="00223A87" w:rsidP="00F9016A">
      <w:pPr>
        <w:pStyle w:val="Akapitzlist"/>
        <w:numPr>
          <w:ilvl w:val="0"/>
          <w:numId w:val="52"/>
        </w:numPr>
        <w:spacing w:before="40" w:after="40"/>
        <w:ind w:left="284" w:hanging="284"/>
        <w:contextualSpacing w:val="0"/>
        <w:rPr>
          <w:rFonts w:cs="Calibri"/>
          <w:szCs w:val="24"/>
        </w:rPr>
      </w:pPr>
      <w:r w:rsidRPr="00A732A2">
        <w:rPr>
          <w:rFonts w:cs="Calibri"/>
          <w:szCs w:val="24"/>
        </w:rPr>
        <w:t>Instytucja Zarządzająca poinformuje pisemnie właściwego dysponenta środków o rozwiązaniu i</w:t>
      </w:r>
      <w:r w:rsidR="001C4326" w:rsidRPr="00A732A2">
        <w:rPr>
          <w:rFonts w:cs="Calibri"/>
          <w:szCs w:val="24"/>
        </w:rPr>
        <w:t> </w:t>
      </w:r>
      <w:r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59"/>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 xml:space="preserve">ietnia 2004 r. o postępowaniu </w:t>
      </w:r>
      <w:r w:rsidR="001668A9" w:rsidRPr="00A732A2">
        <w:rPr>
          <w:rFonts w:cs="Calibri"/>
          <w:szCs w:val="24"/>
        </w:rPr>
        <w:lastRenderedPageBreak/>
        <w:t>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61"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61"/>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3D296229"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Instytucji Zarządzającej.</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7777777" w:rsidR="00437275" w:rsidRPr="00A732A2" w:rsidRDefault="00437275" w:rsidP="00E620EC">
      <w:pPr>
        <w:numPr>
          <w:ilvl w:val="0"/>
          <w:numId w:val="2"/>
        </w:numPr>
        <w:spacing w:before="40" w:after="40"/>
        <w:ind w:left="697" w:hanging="357"/>
        <w:rPr>
          <w:rFonts w:cs="Calibri"/>
          <w:szCs w:val="24"/>
        </w:rPr>
      </w:pPr>
      <w:r w:rsidRPr="00A732A2">
        <w:rPr>
          <w:rFonts w:cs="Calibri"/>
          <w:szCs w:val="24"/>
        </w:rPr>
        <w:t>Instytucja Zarządzająca:</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19"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3C9CA12E"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62" w:name="_Hlk130903017"/>
      <w:r w:rsidR="00EF0634" w:rsidRPr="00A732A2">
        <w:rPr>
          <w:rFonts w:cs="Calibri"/>
          <w:szCs w:val="24"/>
        </w:rPr>
        <w:t>/UMWD_WROCLAW/</w:t>
      </w:r>
      <w:proofErr w:type="spellStart"/>
      <w:r w:rsidR="00EF0634" w:rsidRPr="00A732A2">
        <w:rPr>
          <w:rFonts w:cs="Calibri"/>
          <w:szCs w:val="24"/>
        </w:rPr>
        <w:t>SkrytkaESP</w:t>
      </w:r>
      <w:bookmarkEnd w:id="62"/>
      <w:proofErr w:type="spellEnd"/>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1763593A"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Pr="00A732A2">
        <w:rPr>
          <w:rFonts w:cs="Calibri"/>
          <w:bCs/>
          <w:iCs/>
          <w:szCs w:val="24"/>
        </w:rPr>
        <w:t>Instytucja Zarządzająca</w:t>
      </w:r>
      <w:r w:rsidR="00DE278A" w:rsidRPr="00A732A2">
        <w:rPr>
          <w:rFonts w:cs="Calibri"/>
          <w:bCs/>
          <w:iCs/>
          <w:szCs w:val="24"/>
        </w:rPr>
        <w:t xml:space="preserve"> </w:t>
      </w:r>
      <w:r w:rsidR="007B75DC" w:rsidRPr="00A732A2">
        <w:rPr>
          <w:rFonts w:cs="Calibri"/>
          <w:bCs/>
          <w:iCs/>
          <w:color w:val="000000" w:themeColor="text1"/>
          <w:szCs w:val="24"/>
        </w:rPr>
        <w:t>FEDS 2021</w:t>
      </w:r>
      <w:r w:rsidR="002E4F6F" w:rsidRPr="00A732A2">
        <w:rPr>
          <w:rFonts w:cs="Calibri"/>
          <w:bCs/>
          <w:iCs/>
          <w:color w:val="000000" w:themeColor="text1"/>
          <w:szCs w:val="24"/>
        </w:rPr>
        <w:t>–</w:t>
      </w:r>
      <w:r w:rsidR="007B75DC" w:rsidRPr="00A732A2">
        <w:rPr>
          <w:rFonts w:cs="Calibri"/>
          <w:bCs/>
          <w:iCs/>
          <w:color w:val="000000" w:themeColor="text1"/>
          <w:szCs w:val="24"/>
        </w:rPr>
        <w:t>2027</w:t>
      </w:r>
      <w:r w:rsidRPr="00A732A2">
        <w:rPr>
          <w:rFonts w:cs="Calibri"/>
          <w:bCs/>
          <w:iCs/>
          <w:szCs w:val="24"/>
        </w:rPr>
        <w:t>, Departament Funduszy Europejskich w Urzędzie Marszałkowskim Województwa Dolnośląskiego, ul. Mazowiecka</w:t>
      </w:r>
      <w:r w:rsidR="00192AA1" w:rsidRPr="00A732A2">
        <w:rPr>
          <w:rFonts w:cs="Calibri"/>
          <w:bCs/>
          <w:iCs/>
          <w:szCs w:val="24"/>
        </w:rPr>
        <w:t> </w:t>
      </w:r>
      <w:r w:rsidRPr="00A732A2">
        <w:rPr>
          <w:rFonts w:cs="Calibri"/>
          <w:bCs/>
          <w:iCs/>
          <w:szCs w:val="24"/>
        </w:rPr>
        <w:t>17, 50</w:t>
      </w:r>
      <w:r w:rsidR="005A6655" w:rsidRPr="00A732A2">
        <w:rPr>
          <w:rFonts w:cs="Calibri"/>
          <w:bCs/>
          <w:iCs/>
          <w:szCs w:val="24"/>
        </w:rPr>
        <w:t>-</w:t>
      </w:r>
      <w:r w:rsidRPr="00A732A2">
        <w:rPr>
          <w:rFonts w:cs="Calibri"/>
          <w:bCs/>
          <w:iCs/>
          <w:szCs w:val="24"/>
        </w:rPr>
        <w:t xml:space="preserve">412 Wrocław;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0"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lastRenderedPageBreak/>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307FD0A3"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20B4CEE4"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63"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63"/>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64" w:name="_Hlk124933272"/>
      <w:r w:rsidRPr="00A732A2">
        <w:rPr>
          <w:rFonts w:cs="Calibri"/>
          <w:color w:val="000000" w:themeColor="text1"/>
          <w:szCs w:val="24"/>
        </w:rPr>
        <w:t>Wykaz pomniejszenia wartości dofinansowania Projektu w zakresie obowiązków komunikacyjnych beneficjentów FE</w:t>
      </w:r>
      <w:bookmarkEnd w:id="64"/>
      <w:r w:rsidRPr="00A732A2">
        <w:rPr>
          <w:rFonts w:cs="Calibri"/>
          <w:color w:val="000000" w:themeColor="text1"/>
          <w:szCs w:val="24"/>
        </w:rPr>
        <w:t>.</w:t>
      </w:r>
      <w:bookmarkStart w:id="65" w:name="_Hlk124933327"/>
    </w:p>
    <w:bookmarkEnd w:id="65"/>
    <w:p w14:paraId="778C501D" w14:textId="1271C471" w:rsidR="00267444"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p w14:paraId="6D5B5525" w14:textId="28304F22" w:rsidR="008C125B" w:rsidRPr="00A732A2" w:rsidRDefault="00BF19FF" w:rsidP="00F9016A">
      <w:pPr>
        <w:tabs>
          <w:tab w:val="num" w:pos="-2160"/>
        </w:tabs>
        <w:spacing w:before="120" w:after="120"/>
        <w:ind w:left="0" w:firstLine="0"/>
        <w:rPr>
          <w:rFonts w:cs="Calibri"/>
          <w:b/>
          <w:bCs/>
          <w:szCs w:val="24"/>
        </w:rPr>
      </w:pPr>
      <w:r w:rsidRPr="00A732A2">
        <w:rPr>
          <w:rFonts w:cs="Calibri"/>
          <w:b/>
          <w:bCs/>
          <w:szCs w:val="24"/>
        </w:rPr>
        <w:tab/>
      </w:r>
    </w:p>
    <w:sectPr w:rsidR="008C125B" w:rsidRPr="00A732A2"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8AF40" w14:textId="77777777" w:rsidR="00BE3BA2" w:rsidRDefault="00BE3BA2" w:rsidP="00892718">
      <w:pPr>
        <w:spacing w:after="0" w:line="240" w:lineRule="auto"/>
      </w:pPr>
      <w:r>
        <w:separator/>
      </w:r>
    </w:p>
    <w:p w14:paraId="1D07E838" w14:textId="77777777" w:rsidR="00BE3BA2" w:rsidRDefault="00BE3BA2"/>
  </w:endnote>
  <w:endnote w:type="continuationSeparator" w:id="0">
    <w:p w14:paraId="4DFBDE9B" w14:textId="77777777" w:rsidR="00BE3BA2" w:rsidRDefault="00BE3BA2" w:rsidP="00892718">
      <w:pPr>
        <w:spacing w:after="0" w:line="240" w:lineRule="auto"/>
      </w:pPr>
      <w:r>
        <w:continuationSeparator/>
      </w:r>
    </w:p>
    <w:p w14:paraId="5297BC9F" w14:textId="77777777" w:rsidR="00BE3BA2" w:rsidRDefault="00BE3BA2"/>
  </w:endnote>
  <w:endnote w:type="continuationNotice" w:id="1">
    <w:p w14:paraId="0AD1691B" w14:textId="77777777" w:rsidR="00BE3BA2" w:rsidRDefault="00BE3BA2">
      <w:pPr>
        <w:spacing w:before="0" w:after="0" w:line="240" w:lineRule="auto"/>
      </w:pPr>
    </w:p>
    <w:p w14:paraId="1EB9E509" w14:textId="77777777" w:rsidR="00BE3BA2" w:rsidRDefault="00BE3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3966E6">
          <w:rPr>
            <w:rFonts w:cs="Calibri"/>
            <w:noProof/>
            <w:sz w:val="18"/>
            <w:szCs w:val="24"/>
          </w:rPr>
          <w:t>9</w:t>
        </w:r>
        <w:r w:rsidRPr="007360BB">
          <w:rPr>
            <w:rFonts w:cs="Calibri"/>
            <w:sz w:val="18"/>
            <w:szCs w:val="24"/>
          </w:rPr>
          <w:fldChar w:fldCharType="end"/>
        </w:r>
      </w:p>
    </w:sdtContent>
  </w:sdt>
  <w:p w14:paraId="4F63A1F3" w14:textId="77777777" w:rsidR="00552C3D" w:rsidRPr="007360BB" w:rsidRDefault="00552C3D" w:rsidP="00143C43">
    <w:pPr>
      <w:pStyle w:val="Stopka"/>
      <w:jc w:val="center"/>
      <w:rPr>
        <w:rFonts w:cs="Calibri"/>
        <w:sz w:val="16"/>
      </w:rPr>
    </w:pPr>
    <w:r w:rsidRPr="007360BB">
      <w:rPr>
        <w:rFonts w:cs="Calibr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Pr>
            <w:rFonts w:cs="Calibri"/>
            <w:sz w:val="18"/>
          </w:rPr>
          <w:t>2</w:t>
        </w:r>
        <w:r w:rsidRPr="007360BB">
          <w:rPr>
            <w:rFonts w:cs="Calibri"/>
            <w:sz w:val="18"/>
            <w:szCs w:val="24"/>
          </w:rPr>
          <w:fldChar w:fldCharType="end"/>
        </w:r>
      </w:p>
    </w:sdtContent>
  </w:sdt>
  <w:p w14:paraId="355E91C2" w14:textId="77777777" w:rsidR="004852E5" w:rsidRPr="007360BB" w:rsidRDefault="004852E5" w:rsidP="004852E5">
    <w:pPr>
      <w:pStyle w:val="Stopka"/>
      <w:jc w:val="center"/>
      <w:rPr>
        <w:rFonts w:cs="Calibri"/>
        <w:sz w:val="16"/>
      </w:rPr>
    </w:pPr>
    <w:r w:rsidRPr="007360BB">
      <w:rPr>
        <w:rFonts w:cs="Calibri"/>
        <w:sz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DF3A" w14:textId="77777777" w:rsidR="00BE3BA2" w:rsidRDefault="00BE3BA2" w:rsidP="00EC0444">
      <w:pPr>
        <w:spacing w:after="0" w:line="240" w:lineRule="auto"/>
      </w:pPr>
      <w:r>
        <w:separator/>
      </w:r>
    </w:p>
  </w:footnote>
  <w:footnote w:type="continuationSeparator" w:id="0">
    <w:p w14:paraId="4A2C4A36" w14:textId="77777777" w:rsidR="00BE3BA2" w:rsidRDefault="00BE3BA2" w:rsidP="00892718">
      <w:pPr>
        <w:spacing w:after="0" w:line="240" w:lineRule="auto"/>
      </w:pPr>
      <w:r>
        <w:continuationSeparator/>
      </w:r>
    </w:p>
    <w:p w14:paraId="2027E78A" w14:textId="77777777" w:rsidR="00BE3BA2" w:rsidRDefault="00BE3BA2"/>
  </w:footnote>
  <w:footnote w:type="continuationNotice" w:id="1">
    <w:p w14:paraId="7B38CF6E" w14:textId="77777777" w:rsidR="00BE3BA2" w:rsidRDefault="00BE3BA2">
      <w:pPr>
        <w:spacing w:before="0" w:after="0" w:line="240" w:lineRule="auto"/>
      </w:pPr>
    </w:p>
    <w:p w14:paraId="4D7ABB3A" w14:textId="77777777" w:rsidR="00BE3BA2" w:rsidRDefault="00BE3BA2"/>
  </w:footnote>
  <w:footnote w:id="2">
    <w:p w14:paraId="15E90ED9" w14:textId="579B8BB0" w:rsidR="00552C3D" w:rsidRPr="0088466A" w:rsidRDefault="00552C3D" w:rsidP="00E620EC">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E620EC">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E620EC">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030BC09E" w:rsidR="00552C3D" w:rsidRPr="0088466A" w:rsidRDefault="00552C3D" w:rsidP="00E620EC">
      <w:pPr>
        <w:pStyle w:val="przypisdolny"/>
      </w:pPr>
      <w:r w:rsidRPr="0088466A">
        <w:rPr>
          <w:rStyle w:val="Odwoanieprzypisudolnego"/>
        </w:rPr>
        <w:footnoteRef/>
      </w:r>
      <w:r w:rsidRPr="0088466A">
        <w:t xml:space="preserve"> W lit. a </w:t>
      </w:r>
      <w:r w:rsidR="002E4F6F" w:rsidRPr="0088466A">
        <w:t>–</w:t>
      </w:r>
      <w:r w:rsidRPr="0088466A">
        <w:t xml:space="preserve"> c należy odpowiednio wskazać kwoty lub skreślić te zapisy, które nie dotyczą Projektu. W przypadku projektu partnerskiego objętego pomocą publiczną/de </w:t>
      </w:r>
      <w:proofErr w:type="spellStart"/>
      <w:r w:rsidRPr="0088466A">
        <w:t>minimis</w:t>
      </w:r>
      <w:proofErr w:type="spellEnd"/>
      <w:r w:rsidRPr="0088466A">
        <w:t xml:space="preserve"> należy wymienić każdego z Partnerów oraz przypadającą dla niego kwotę środków objętych pomocą publiczną/de</w:t>
      </w:r>
      <w:r w:rsidR="006E4752">
        <w:t> </w:t>
      </w:r>
      <w:proofErr w:type="spellStart"/>
      <w:r w:rsidRPr="0088466A">
        <w:t>minimis</w:t>
      </w:r>
      <w:proofErr w:type="spellEnd"/>
      <w:r w:rsidRPr="0088466A">
        <w:t>.</w:t>
      </w:r>
    </w:p>
  </w:footnote>
  <w:footnote w:id="5">
    <w:p w14:paraId="2E69503B" w14:textId="1DF7C0E8" w:rsidR="00552C3D" w:rsidRPr="0088466A" w:rsidRDefault="00552C3D" w:rsidP="00E620EC">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E620EC">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E620EC">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E620EC">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21" w:name="_Hlk106874785"/>
      <w:r w:rsidRPr="0088466A">
        <w:t>wynikającego ze zmiany łącznego kosztu projektu</w:t>
      </w:r>
      <w:bookmarkEnd w:id="21"/>
      <w:r w:rsidRPr="0088466A">
        <w:t>.</w:t>
      </w:r>
    </w:p>
  </w:footnote>
  <w:footnote w:id="9">
    <w:p w14:paraId="19D59295" w14:textId="31A33C78" w:rsidR="00552C3D" w:rsidRPr="0088466A" w:rsidRDefault="00552C3D" w:rsidP="00E620EC">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E620EC">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E620EC">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E620EC">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E620EC">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E620EC">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E620EC">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E620EC">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453938190">
    <w:abstractNumId w:val="46"/>
  </w:num>
  <w:num w:numId="2" w16cid:durableId="1136877996">
    <w:abstractNumId w:val="7"/>
  </w:num>
  <w:num w:numId="3" w16cid:durableId="487476838">
    <w:abstractNumId w:val="33"/>
  </w:num>
  <w:num w:numId="4" w16cid:durableId="507402780">
    <w:abstractNumId w:val="38"/>
  </w:num>
  <w:num w:numId="5" w16cid:durableId="1423988833">
    <w:abstractNumId w:val="31"/>
  </w:num>
  <w:num w:numId="6" w16cid:durableId="709962918">
    <w:abstractNumId w:val="29"/>
  </w:num>
  <w:num w:numId="7" w16cid:durableId="813837840">
    <w:abstractNumId w:val="16"/>
  </w:num>
  <w:num w:numId="8" w16cid:durableId="1512183518">
    <w:abstractNumId w:val="4"/>
  </w:num>
  <w:num w:numId="9" w16cid:durableId="1519848105">
    <w:abstractNumId w:val="53"/>
  </w:num>
  <w:num w:numId="10" w16cid:durableId="2041513242">
    <w:abstractNumId w:val="17"/>
  </w:num>
  <w:num w:numId="11" w16cid:durableId="1416704734">
    <w:abstractNumId w:val="12"/>
  </w:num>
  <w:num w:numId="12" w16cid:durableId="45686687">
    <w:abstractNumId w:val="42"/>
  </w:num>
  <w:num w:numId="13" w16cid:durableId="435905959">
    <w:abstractNumId w:val="20"/>
  </w:num>
  <w:num w:numId="14" w16cid:durableId="1877541450">
    <w:abstractNumId w:val="10"/>
  </w:num>
  <w:num w:numId="15" w16cid:durableId="39398719">
    <w:abstractNumId w:val="64"/>
  </w:num>
  <w:num w:numId="16" w16cid:durableId="1171291971">
    <w:abstractNumId w:val="15"/>
  </w:num>
  <w:num w:numId="17" w16cid:durableId="1182817975">
    <w:abstractNumId w:val="37"/>
  </w:num>
  <w:num w:numId="18" w16cid:durableId="1402947496">
    <w:abstractNumId w:val="8"/>
  </w:num>
  <w:num w:numId="19" w16cid:durableId="955714650">
    <w:abstractNumId w:val="51"/>
  </w:num>
  <w:num w:numId="20" w16cid:durableId="1194223024">
    <w:abstractNumId w:val="65"/>
  </w:num>
  <w:num w:numId="21" w16cid:durableId="94835620">
    <w:abstractNumId w:val="52"/>
  </w:num>
  <w:num w:numId="22" w16cid:durableId="804355571">
    <w:abstractNumId w:val="43"/>
  </w:num>
  <w:num w:numId="23" w16cid:durableId="38170688">
    <w:abstractNumId w:val="1"/>
  </w:num>
  <w:num w:numId="24" w16cid:durableId="1674987819">
    <w:abstractNumId w:val="40"/>
  </w:num>
  <w:num w:numId="25" w16cid:durableId="86385423">
    <w:abstractNumId w:val="36"/>
  </w:num>
  <w:num w:numId="26" w16cid:durableId="1985618417">
    <w:abstractNumId w:val="14"/>
  </w:num>
  <w:num w:numId="27" w16cid:durableId="576744584">
    <w:abstractNumId w:val="61"/>
  </w:num>
  <w:num w:numId="28" w16cid:durableId="63115500">
    <w:abstractNumId w:val="9"/>
  </w:num>
  <w:num w:numId="29" w16cid:durableId="1989898053">
    <w:abstractNumId w:val="47"/>
  </w:num>
  <w:num w:numId="30" w16cid:durableId="1011878964">
    <w:abstractNumId w:val="26"/>
  </w:num>
  <w:num w:numId="31" w16cid:durableId="1402827116">
    <w:abstractNumId w:val="19"/>
  </w:num>
  <w:num w:numId="32" w16cid:durableId="382146437">
    <w:abstractNumId w:val="50"/>
  </w:num>
  <w:num w:numId="33" w16cid:durableId="179054422">
    <w:abstractNumId w:val="28"/>
  </w:num>
  <w:num w:numId="34" w16cid:durableId="1315835422">
    <w:abstractNumId w:val="44"/>
  </w:num>
  <w:num w:numId="35" w16cid:durableId="334110692">
    <w:abstractNumId w:val="55"/>
  </w:num>
  <w:num w:numId="36" w16cid:durableId="534733585">
    <w:abstractNumId w:val="23"/>
  </w:num>
  <w:num w:numId="37" w16cid:durableId="1055081015">
    <w:abstractNumId w:val="11"/>
  </w:num>
  <w:num w:numId="38" w16cid:durableId="248856030">
    <w:abstractNumId w:val="63"/>
  </w:num>
  <w:num w:numId="39" w16cid:durableId="177279152">
    <w:abstractNumId w:val="34"/>
  </w:num>
  <w:num w:numId="40" w16cid:durableId="468674923">
    <w:abstractNumId w:val="54"/>
  </w:num>
  <w:num w:numId="41" w16cid:durableId="893811306">
    <w:abstractNumId w:val="6"/>
  </w:num>
  <w:num w:numId="42" w16cid:durableId="707753960">
    <w:abstractNumId w:val="25"/>
  </w:num>
  <w:num w:numId="43" w16cid:durableId="1619407428">
    <w:abstractNumId w:val="30"/>
  </w:num>
  <w:num w:numId="44" w16cid:durableId="1987778447">
    <w:abstractNumId w:val="45"/>
  </w:num>
  <w:num w:numId="45" w16cid:durableId="1315333444">
    <w:abstractNumId w:val="35"/>
  </w:num>
  <w:num w:numId="46" w16cid:durableId="1128161975">
    <w:abstractNumId w:val="57"/>
  </w:num>
  <w:num w:numId="47" w16cid:durableId="423569663">
    <w:abstractNumId w:val="60"/>
  </w:num>
  <w:num w:numId="48" w16cid:durableId="986590207">
    <w:abstractNumId w:val="0"/>
  </w:num>
  <w:num w:numId="49" w16cid:durableId="1470516363">
    <w:abstractNumId w:val="59"/>
  </w:num>
  <w:num w:numId="50" w16cid:durableId="1148521498">
    <w:abstractNumId w:val="5"/>
  </w:num>
  <w:num w:numId="51" w16cid:durableId="973212596">
    <w:abstractNumId w:val="13"/>
  </w:num>
  <w:num w:numId="52" w16cid:durableId="758479553">
    <w:abstractNumId w:val="32"/>
  </w:num>
  <w:num w:numId="53" w16cid:durableId="1932546061">
    <w:abstractNumId w:val="3"/>
  </w:num>
  <w:num w:numId="54" w16cid:durableId="98254892">
    <w:abstractNumId w:val="66"/>
  </w:num>
  <w:num w:numId="55" w16cid:durableId="1849758351">
    <w:abstractNumId w:val="62"/>
  </w:num>
  <w:num w:numId="56" w16cid:durableId="1398432217">
    <w:abstractNumId w:val="39"/>
  </w:num>
  <w:num w:numId="57" w16cid:durableId="20061212">
    <w:abstractNumId w:val="49"/>
  </w:num>
  <w:num w:numId="58" w16cid:durableId="2064519687">
    <w:abstractNumId w:val="27"/>
  </w:num>
  <w:num w:numId="59" w16cid:durableId="1965232613">
    <w:abstractNumId w:val="22"/>
  </w:num>
  <w:num w:numId="60" w16cid:durableId="2083791386">
    <w:abstractNumId w:val="48"/>
  </w:num>
  <w:num w:numId="61" w16cid:durableId="1693605128">
    <w:abstractNumId w:val="2"/>
  </w:num>
  <w:num w:numId="62" w16cid:durableId="985428400">
    <w:abstractNumId w:val="58"/>
  </w:num>
  <w:num w:numId="63" w16cid:durableId="859047065">
    <w:abstractNumId w:val="24"/>
  </w:num>
  <w:num w:numId="64" w16cid:durableId="337804857">
    <w:abstractNumId w:val="41"/>
  </w:num>
  <w:num w:numId="65" w16cid:durableId="1315254882">
    <w:abstractNumId w:val="21"/>
  </w:num>
  <w:num w:numId="66" w16cid:durableId="898711316">
    <w:abstractNumId w:val="18"/>
  </w:num>
  <w:num w:numId="67" w16cid:durableId="259410567">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123D"/>
    <w:rsid w:val="000016E3"/>
    <w:rsid w:val="00001B54"/>
    <w:rsid w:val="00001CF5"/>
    <w:rsid w:val="00002B79"/>
    <w:rsid w:val="00002EBD"/>
    <w:rsid w:val="00003591"/>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29AF"/>
    <w:rsid w:val="00072D04"/>
    <w:rsid w:val="00072DE8"/>
    <w:rsid w:val="00073107"/>
    <w:rsid w:val="0007349F"/>
    <w:rsid w:val="0007508C"/>
    <w:rsid w:val="00075547"/>
    <w:rsid w:val="00075716"/>
    <w:rsid w:val="00075984"/>
    <w:rsid w:val="0007633F"/>
    <w:rsid w:val="0007642F"/>
    <w:rsid w:val="00076C41"/>
    <w:rsid w:val="00077D01"/>
    <w:rsid w:val="00077F62"/>
    <w:rsid w:val="000803BF"/>
    <w:rsid w:val="000804F7"/>
    <w:rsid w:val="0008098A"/>
    <w:rsid w:val="00083516"/>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137"/>
    <w:rsid w:val="00103F0D"/>
    <w:rsid w:val="00103FC7"/>
    <w:rsid w:val="00104B94"/>
    <w:rsid w:val="00105651"/>
    <w:rsid w:val="00105AD1"/>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7CE"/>
    <w:rsid w:val="0018173F"/>
    <w:rsid w:val="001822FB"/>
    <w:rsid w:val="00182854"/>
    <w:rsid w:val="00182DED"/>
    <w:rsid w:val="00183ED1"/>
    <w:rsid w:val="00184B3F"/>
    <w:rsid w:val="0018514E"/>
    <w:rsid w:val="00186522"/>
    <w:rsid w:val="001866FD"/>
    <w:rsid w:val="00186B74"/>
    <w:rsid w:val="00187911"/>
    <w:rsid w:val="001879DD"/>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6255"/>
    <w:rsid w:val="001E707C"/>
    <w:rsid w:val="001E70B0"/>
    <w:rsid w:val="001E70F0"/>
    <w:rsid w:val="001E72E9"/>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3339"/>
    <w:rsid w:val="0020366A"/>
    <w:rsid w:val="002039C5"/>
    <w:rsid w:val="00204552"/>
    <w:rsid w:val="002047DC"/>
    <w:rsid w:val="00205A1D"/>
    <w:rsid w:val="00205A84"/>
    <w:rsid w:val="00206CCD"/>
    <w:rsid w:val="00206ED8"/>
    <w:rsid w:val="00207514"/>
    <w:rsid w:val="00207A9C"/>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6530"/>
    <w:rsid w:val="00247C3F"/>
    <w:rsid w:val="002501FF"/>
    <w:rsid w:val="00250AC6"/>
    <w:rsid w:val="00251BCA"/>
    <w:rsid w:val="00251F97"/>
    <w:rsid w:val="00252468"/>
    <w:rsid w:val="00252582"/>
    <w:rsid w:val="00252874"/>
    <w:rsid w:val="00253104"/>
    <w:rsid w:val="0025450F"/>
    <w:rsid w:val="00254AE1"/>
    <w:rsid w:val="0026048B"/>
    <w:rsid w:val="00263030"/>
    <w:rsid w:val="00263C18"/>
    <w:rsid w:val="002643A5"/>
    <w:rsid w:val="00264C2F"/>
    <w:rsid w:val="00264E4D"/>
    <w:rsid w:val="00264EF7"/>
    <w:rsid w:val="00264F33"/>
    <w:rsid w:val="002653FA"/>
    <w:rsid w:val="00265CBE"/>
    <w:rsid w:val="00265FD9"/>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935"/>
    <w:rsid w:val="00273370"/>
    <w:rsid w:val="0027404A"/>
    <w:rsid w:val="00274386"/>
    <w:rsid w:val="0027441B"/>
    <w:rsid w:val="002754E1"/>
    <w:rsid w:val="00275758"/>
    <w:rsid w:val="00275776"/>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4DA7"/>
    <w:rsid w:val="002B58F3"/>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25FB"/>
    <w:rsid w:val="004534AA"/>
    <w:rsid w:val="00453F8E"/>
    <w:rsid w:val="0045490B"/>
    <w:rsid w:val="004558D7"/>
    <w:rsid w:val="00456361"/>
    <w:rsid w:val="00456C6D"/>
    <w:rsid w:val="00457F06"/>
    <w:rsid w:val="004600FC"/>
    <w:rsid w:val="0046044C"/>
    <w:rsid w:val="004613D8"/>
    <w:rsid w:val="004619C6"/>
    <w:rsid w:val="00461E85"/>
    <w:rsid w:val="00463B9F"/>
    <w:rsid w:val="00463FE7"/>
    <w:rsid w:val="00464486"/>
    <w:rsid w:val="00464A84"/>
    <w:rsid w:val="00464FF0"/>
    <w:rsid w:val="00465273"/>
    <w:rsid w:val="00465B74"/>
    <w:rsid w:val="00465EA2"/>
    <w:rsid w:val="004662FD"/>
    <w:rsid w:val="00466E97"/>
    <w:rsid w:val="00470176"/>
    <w:rsid w:val="00470A2C"/>
    <w:rsid w:val="00470E1B"/>
    <w:rsid w:val="00471DD9"/>
    <w:rsid w:val="00472763"/>
    <w:rsid w:val="00472DF1"/>
    <w:rsid w:val="0047313F"/>
    <w:rsid w:val="00473FCC"/>
    <w:rsid w:val="004746CB"/>
    <w:rsid w:val="004749D8"/>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41C"/>
    <w:rsid w:val="00491510"/>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E10"/>
    <w:rsid w:val="004C236D"/>
    <w:rsid w:val="004C3D04"/>
    <w:rsid w:val="004C468D"/>
    <w:rsid w:val="004C56F4"/>
    <w:rsid w:val="004C59C0"/>
    <w:rsid w:val="004C62FB"/>
    <w:rsid w:val="004C67DC"/>
    <w:rsid w:val="004C68AC"/>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107"/>
    <w:rsid w:val="005366A3"/>
    <w:rsid w:val="00536A19"/>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989"/>
    <w:rsid w:val="00647FF6"/>
    <w:rsid w:val="006500E8"/>
    <w:rsid w:val="0065020A"/>
    <w:rsid w:val="0065078A"/>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20DE"/>
    <w:rsid w:val="006839D4"/>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4072"/>
    <w:rsid w:val="006A4280"/>
    <w:rsid w:val="006A4AA0"/>
    <w:rsid w:val="006A5AD3"/>
    <w:rsid w:val="006A5C4E"/>
    <w:rsid w:val="006A5E6B"/>
    <w:rsid w:val="006A6CA5"/>
    <w:rsid w:val="006A6FBB"/>
    <w:rsid w:val="006B09D5"/>
    <w:rsid w:val="006B0EC4"/>
    <w:rsid w:val="006B16CF"/>
    <w:rsid w:val="006B2F7D"/>
    <w:rsid w:val="006B3655"/>
    <w:rsid w:val="006B38B0"/>
    <w:rsid w:val="006B3F38"/>
    <w:rsid w:val="006B4357"/>
    <w:rsid w:val="006B4446"/>
    <w:rsid w:val="006B488A"/>
    <w:rsid w:val="006B4BCB"/>
    <w:rsid w:val="006B4FF7"/>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389F"/>
    <w:rsid w:val="00723933"/>
    <w:rsid w:val="00724599"/>
    <w:rsid w:val="00725D29"/>
    <w:rsid w:val="007261E8"/>
    <w:rsid w:val="0072634D"/>
    <w:rsid w:val="007267CD"/>
    <w:rsid w:val="00726951"/>
    <w:rsid w:val="00727826"/>
    <w:rsid w:val="00727B0D"/>
    <w:rsid w:val="0073168F"/>
    <w:rsid w:val="007318B7"/>
    <w:rsid w:val="0073193E"/>
    <w:rsid w:val="00731F62"/>
    <w:rsid w:val="0073331C"/>
    <w:rsid w:val="00735062"/>
    <w:rsid w:val="007358FF"/>
    <w:rsid w:val="00735A4A"/>
    <w:rsid w:val="00735C2C"/>
    <w:rsid w:val="00735DE5"/>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B0D"/>
    <w:rsid w:val="00841411"/>
    <w:rsid w:val="00841635"/>
    <w:rsid w:val="008417EC"/>
    <w:rsid w:val="00842875"/>
    <w:rsid w:val="0084312B"/>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2A6B"/>
    <w:rsid w:val="00882CF2"/>
    <w:rsid w:val="00883466"/>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96A"/>
    <w:rsid w:val="00893ABF"/>
    <w:rsid w:val="00893BFA"/>
    <w:rsid w:val="00893CB3"/>
    <w:rsid w:val="00894386"/>
    <w:rsid w:val="00895CC2"/>
    <w:rsid w:val="00895E2E"/>
    <w:rsid w:val="00897E19"/>
    <w:rsid w:val="008A014F"/>
    <w:rsid w:val="008A0742"/>
    <w:rsid w:val="008A1890"/>
    <w:rsid w:val="008A1EB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1AF4"/>
    <w:rsid w:val="008D1B31"/>
    <w:rsid w:val="008D2963"/>
    <w:rsid w:val="008D2E92"/>
    <w:rsid w:val="008D3371"/>
    <w:rsid w:val="008D3B88"/>
    <w:rsid w:val="008D3C96"/>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7A85"/>
    <w:rsid w:val="00950C1B"/>
    <w:rsid w:val="00951614"/>
    <w:rsid w:val="0095179D"/>
    <w:rsid w:val="00951BFD"/>
    <w:rsid w:val="00952698"/>
    <w:rsid w:val="00952811"/>
    <w:rsid w:val="00954077"/>
    <w:rsid w:val="00954CFC"/>
    <w:rsid w:val="00955401"/>
    <w:rsid w:val="00955458"/>
    <w:rsid w:val="00955918"/>
    <w:rsid w:val="00955DDB"/>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83A"/>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DB5"/>
    <w:rsid w:val="00B16E1E"/>
    <w:rsid w:val="00B1760D"/>
    <w:rsid w:val="00B178E6"/>
    <w:rsid w:val="00B20479"/>
    <w:rsid w:val="00B21ECE"/>
    <w:rsid w:val="00B220EE"/>
    <w:rsid w:val="00B22849"/>
    <w:rsid w:val="00B2289B"/>
    <w:rsid w:val="00B229F5"/>
    <w:rsid w:val="00B22CFC"/>
    <w:rsid w:val="00B23355"/>
    <w:rsid w:val="00B239F2"/>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38BA"/>
    <w:rsid w:val="00BC3FBF"/>
    <w:rsid w:val="00BC426F"/>
    <w:rsid w:val="00BC4AF0"/>
    <w:rsid w:val="00BC5318"/>
    <w:rsid w:val="00BC609E"/>
    <w:rsid w:val="00BC73CB"/>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6BC9"/>
    <w:rsid w:val="00C21ADB"/>
    <w:rsid w:val="00C21D85"/>
    <w:rsid w:val="00C2380F"/>
    <w:rsid w:val="00C23B59"/>
    <w:rsid w:val="00C23D82"/>
    <w:rsid w:val="00C26B42"/>
    <w:rsid w:val="00C26C3E"/>
    <w:rsid w:val="00C26F2B"/>
    <w:rsid w:val="00C26FA2"/>
    <w:rsid w:val="00C27A5E"/>
    <w:rsid w:val="00C27B7A"/>
    <w:rsid w:val="00C307D6"/>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664"/>
    <w:rsid w:val="00CA0EA9"/>
    <w:rsid w:val="00CA1C11"/>
    <w:rsid w:val="00CA2239"/>
    <w:rsid w:val="00CA26CE"/>
    <w:rsid w:val="00CA2DC2"/>
    <w:rsid w:val="00CA3334"/>
    <w:rsid w:val="00CA3BDD"/>
    <w:rsid w:val="00CA4184"/>
    <w:rsid w:val="00CA57DB"/>
    <w:rsid w:val="00CA5DC6"/>
    <w:rsid w:val="00CA61FA"/>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D3E"/>
    <w:rsid w:val="00D10F6B"/>
    <w:rsid w:val="00D14208"/>
    <w:rsid w:val="00D14AB1"/>
    <w:rsid w:val="00D151E4"/>
    <w:rsid w:val="00D17138"/>
    <w:rsid w:val="00D17D03"/>
    <w:rsid w:val="00D17DC7"/>
    <w:rsid w:val="00D20168"/>
    <w:rsid w:val="00D205A8"/>
    <w:rsid w:val="00D20D9C"/>
    <w:rsid w:val="00D217DE"/>
    <w:rsid w:val="00D2254B"/>
    <w:rsid w:val="00D227E6"/>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50D61"/>
    <w:rsid w:val="00D5106C"/>
    <w:rsid w:val="00D515C9"/>
    <w:rsid w:val="00D51644"/>
    <w:rsid w:val="00D517CD"/>
    <w:rsid w:val="00D518F1"/>
    <w:rsid w:val="00D5196D"/>
    <w:rsid w:val="00D52164"/>
    <w:rsid w:val="00D5271A"/>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D4F"/>
    <w:rsid w:val="00D83322"/>
    <w:rsid w:val="00D83330"/>
    <w:rsid w:val="00D83DCA"/>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76D"/>
    <w:rsid w:val="00DD0BFA"/>
    <w:rsid w:val="00DD0F22"/>
    <w:rsid w:val="00DD18C7"/>
    <w:rsid w:val="00DD31E9"/>
    <w:rsid w:val="00DD35B0"/>
    <w:rsid w:val="00DD36D9"/>
    <w:rsid w:val="00DD43F7"/>
    <w:rsid w:val="00DD44EA"/>
    <w:rsid w:val="00DD49D1"/>
    <w:rsid w:val="00DD4B49"/>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79B"/>
    <w:rsid w:val="00DF210B"/>
    <w:rsid w:val="00DF2676"/>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31D6"/>
    <w:rsid w:val="00E73555"/>
    <w:rsid w:val="00E73B8D"/>
    <w:rsid w:val="00E73C32"/>
    <w:rsid w:val="00E742BC"/>
    <w:rsid w:val="00E74338"/>
    <w:rsid w:val="00E74E52"/>
    <w:rsid w:val="00E7504F"/>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589"/>
    <w:rsid w:val="00EE5052"/>
    <w:rsid w:val="00EE57BF"/>
    <w:rsid w:val="00EE5F7B"/>
    <w:rsid w:val="00EE60EC"/>
    <w:rsid w:val="00EE6226"/>
    <w:rsid w:val="00EE68E3"/>
    <w:rsid w:val="00EF0634"/>
    <w:rsid w:val="00EF0E66"/>
    <w:rsid w:val="00EF144A"/>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E6"/>
    <w:rsid w:val="00F60007"/>
    <w:rsid w:val="00F603BD"/>
    <w:rsid w:val="00F61B04"/>
    <w:rsid w:val="00F61B1D"/>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FC1"/>
    <w:rsid w:val="00F93037"/>
    <w:rsid w:val="00F935E1"/>
    <w:rsid w:val="00F936A2"/>
    <w:rsid w:val="00F951D2"/>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2DB"/>
    <w:rsid w:val="00FC3C0D"/>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13F7B296-3340-41AF-9E64-B5CCC9F48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styleId="Nierozpoznanawzmianka">
    <w:name w:val="Unresolved Mention"/>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E620EC"/>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E620EC"/>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amiz.feds@dolnyslas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https://sso.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5" Type="http://schemas.openxmlformats.org/officeDocument/2006/relationships/webSettings" Target="webSettings.xml"/><Relationship Id="rId15" Type="http://schemas.openxmlformats.org/officeDocument/2006/relationships/hyperlink" Target="mailto:otwarcia.projektow@dolnyslask.pl?subject=Informacja%20o%20planowanym%20wydarzeniu%20w%20ramach%20Projektu" TargetMode="External"/><Relationship Id="rId10" Type="http://schemas.openxmlformats.org/officeDocument/2006/relationships/footer" Target="footer2.xm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26650-AC1F-4350-B85A-8585C2DB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3761</TotalTime>
  <Pages>34</Pages>
  <Words>13024</Words>
  <Characters>78149</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90992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Joanna Koczenasz</cp:lastModifiedBy>
  <cp:revision>722</cp:revision>
  <cp:lastPrinted>2023-04-05T11:48:00Z</cp:lastPrinted>
  <dcterms:created xsi:type="dcterms:W3CDTF">2022-09-06T07:49:00Z</dcterms:created>
  <dcterms:modified xsi:type="dcterms:W3CDTF">2023-04-26T12:30:00Z</dcterms:modified>
</cp:coreProperties>
</file>