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5C2CA121" w:rsidR="00063285" w:rsidRPr="00804D20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804D20">
        <w:rPr>
          <w:rFonts w:cs="Calibri"/>
          <w:b/>
          <w:bCs/>
          <w:sz w:val="24"/>
          <w:szCs w:val="24"/>
        </w:rPr>
        <w:t xml:space="preserve">Załącznik nr </w:t>
      </w:r>
      <w:r w:rsidR="00994A8E">
        <w:rPr>
          <w:rFonts w:cs="Calibri"/>
          <w:b/>
          <w:bCs/>
          <w:sz w:val="24"/>
          <w:szCs w:val="24"/>
        </w:rPr>
        <w:t>3</w:t>
      </w:r>
      <w:r w:rsidRPr="00804D20">
        <w:rPr>
          <w:rFonts w:cs="Calibri"/>
          <w:b/>
          <w:bCs/>
          <w:sz w:val="24"/>
          <w:szCs w:val="24"/>
        </w:rPr>
        <w:t xml:space="preserve"> </w:t>
      </w:r>
      <w:r w:rsidR="00804D20" w:rsidRPr="00804D20">
        <w:rPr>
          <w:bCs/>
          <w:sz w:val="24"/>
          <w:szCs w:val="24"/>
        </w:rPr>
        <w:t xml:space="preserve">DO </w:t>
      </w:r>
      <w:r w:rsidR="00FD34FB">
        <w:rPr>
          <w:bCs/>
          <w:sz w:val="24"/>
          <w:szCs w:val="24"/>
        </w:rPr>
        <w:t>POROZUMENIA O DOFINANSOWANIE</w:t>
      </w:r>
      <w:r w:rsidR="00FD34FB">
        <w:rPr>
          <w:bCs/>
        </w:rPr>
        <w:t xml:space="preserve"> </w:t>
      </w:r>
      <w:r w:rsidR="00804D20" w:rsidRPr="00804D20">
        <w:rPr>
          <w:bCs/>
          <w:sz w:val="24"/>
          <w:szCs w:val="24"/>
        </w:rPr>
        <w:t xml:space="preserve">PROJEKTU W RAMACH FUNDUSZY EUROPEJSKICH DLA DOLNEGO ŚLĄSKA 2021-2027 WSPÓŁFINANSOWANEGO ZE ŚRODKÓW EUROPEJSKIEGO </w:t>
      </w:r>
      <w:r w:rsidR="00804D20" w:rsidRPr="00804D20">
        <w:rPr>
          <w:rFonts w:cstheme="minorHAnsi"/>
          <w:bCs/>
          <w:sz w:val="24"/>
          <w:szCs w:val="24"/>
        </w:rPr>
        <w:t>FUNDUSZU SPOŁECZNEGO PLUS/FUNDUSZU NA RZECZ SPRAWIEDLIWEJ TRANSFORMACJI</w:t>
      </w:r>
      <w:r w:rsidR="00804D20" w:rsidRPr="00804D20">
        <w:rPr>
          <w:rStyle w:val="Odwoanieprzypisudolnego"/>
          <w:rFonts w:cstheme="minorHAnsi"/>
          <w:bCs/>
          <w:sz w:val="24"/>
          <w:szCs w:val="24"/>
        </w:rPr>
        <w:footnoteReference w:id="1"/>
      </w:r>
      <w:r w:rsidR="00804D20" w:rsidRPr="00804D20">
        <w:rPr>
          <w:rFonts w:cstheme="minorHAnsi"/>
          <w:bCs/>
          <w:sz w:val="24"/>
          <w:szCs w:val="24"/>
        </w:rPr>
        <w:t>: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1"/>
      <w:bookmarkEnd w:id="2"/>
      <w:bookmarkEnd w:id="3"/>
      <w:bookmarkEnd w:id="4"/>
      <w:bookmarkEnd w:id="5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9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2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pełnokolorowej: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4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pełnokolorowej.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istnieją ogólnodostępne możliwości techniczne umieszczania oznaczeń pełnokolorowych,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oryginały materiałów są wytwarzane w wersjach pełnokolorowych.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Pełnokolorowy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brandingowych i wystawowych tj. baner, stand, roll-up,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ma ogólnodostępnych, możliwości technicznych zastosowania oznaczeń pełnokolorowych ze względu np. na materiał, z którego wykonano przedmiot np. kamień lub jeżeli zastosowanie technik pełnokolorowych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4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5"/>
      <w:r w:rsidRPr="00076CA2">
        <w:rPr>
          <w:rFonts w:cs="Calibri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2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2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3" w:name="_Toc123805822"/>
      <w:bookmarkStart w:id="44" w:name="_Toc123806389"/>
      <w:bookmarkStart w:id="45" w:name="_Toc123806454"/>
      <w:bookmarkStart w:id="46" w:name="_Toc123806743"/>
      <w:bookmarkStart w:id="47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3"/>
      <w:bookmarkEnd w:id="44"/>
      <w:bookmarkEnd w:id="45"/>
      <w:bookmarkEnd w:id="4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7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8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8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9" w:name="_Toc123805823"/>
      <w:bookmarkStart w:id="50" w:name="_Toc123806390"/>
      <w:bookmarkStart w:id="51" w:name="_Toc123806455"/>
      <w:bookmarkStart w:id="52" w:name="_Toc123806744"/>
      <w:bookmarkStart w:id="53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9"/>
      <w:bookmarkEnd w:id="50"/>
      <w:bookmarkEnd w:id="51"/>
      <w:bookmarkEnd w:id="52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4" w:name="_Toc123805824"/>
      <w:bookmarkStart w:id="55" w:name="_Toc123806391"/>
      <w:bookmarkStart w:id="56" w:name="_Toc123806456"/>
      <w:bookmarkStart w:id="57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4"/>
      <w:bookmarkEnd w:id="55"/>
      <w:bookmarkEnd w:id="56"/>
      <w:bookmarkEnd w:id="57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3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8" w:name="_Toc406086914"/>
      <w:bookmarkStart w:id="59" w:name="_Toc406087006"/>
      <w:bookmarkEnd w:id="58"/>
      <w:bookmarkEnd w:id="59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E41E55">
        <w:rPr>
          <w:rFonts w:cs="Calibri"/>
        </w:rPr>
        <w:t>Jak oznaczyć sprzęt i wyposażenie zakupione/powstałe w projekcie</w:t>
      </w:r>
      <w:bookmarkEnd w:id="75"/>
      <w:bookmarkEnd w:id="76"/>
      <w:bookmarkEnd w:id="77"/>
      <w:bookmarkEnd w:id="78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3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3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4" w:name="_Toc415586295"/>
      <w:bookmarkStart w:id="85" w:name="_Toc405543194"/>
      <w:bookmarkStart w:id="86" w:name="_Toc405560047"/>
      <w:bookmarkStart w:id="87" w:name="_Toc405560117"/>
      <w:bookmarkStart w:id="88" w:name="_Toc405905519"/>
      <w:bookmarkStart w:id="89" w:name="_Toc406085432"/>
      <w:bookmarkStart w:id="90" w:name="_Toc406086720"/>
      <w:bookmarkStart w:id="91" w:name="_Toc406086911"/>
      <w:bookmarkStart w:id="92" w:name="_Toc406087003"/>
      <w:bookmarkStart w:id="93" w:name="_Toc405543209"/>
      <w:bookmarkStart w:id="94" w:name="_Toc405560065"/>
      <w:bookmarkStart w:id="95" w:name="_Toc405560135"/>
      <w:bookmarkStart w:id="96" w:name="_Toc405905537"/>
      <w:bookmarkStart w:id="97" w:name="_Toc406085451"/>
      <w:bookmarkStart w:id="98" w:name="_Toc406086739"/>
      <w:bookmarkStart w:id="99" w:name="_Toc406086930"/>
      <w:bookmarkStart w:id="100" w:name="_Toc406087022"/>
      <w:bookmarkStart w:id="101" w:name="_Toc405543211"/>
      <w:bookmarkStart w:id="102" w:name="_Toc405560067"/>
      <w:bookmarkStart w:id="103" w:name="_Toc405560137"/>
      <w:bookmarkStart w:id="104" w:name="_Toc405905539"/>
      <w:bookmarkStart w:id="105" w:name="_Toc406085453"/>
      <w:bookmarkStart w:id="106" w:name="_Toc406086741"/>
      <w:bookmarkStart w:id="107" w:name="_Toc406086932"/>
      <w:bookmarkStart w:id="108" w:name="_Toc406087024"/>
      <w:bookmarkStart w:id="109" w:name="_Toc488324575"/>
      <w:bookmarkStart w:id="110" w:name="_Toc123805829"/>
      <w:bookmarkStart w:id="111" w:name="_Toc123806396"/>
      <w:bookmarkStart w:id="112" w:name="_Toc123806461"/>
      <w:bookmarkStart w:id="113" w:name="_Toc123806750"/>
      <w:bookmarkStart w:id="114" w:name="_Hlk11693249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9"/>
      <w:bookmarkEnd w:id="110"/>
      <w:bookmarkEnd w:id="111"/>
      <w:bookmarkEnd w:id="112"/>
      <w:bookmarkEnd w:id="113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5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4"/>
    <w:bookmarkEnd w:id="115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>zawsze w wariancie pełnokolorowym</w:t>
      </w:r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6" w:name="_Toc405560069"/>
      <w:bookmarkStart w:id="117" w:name="_Toc405560139"/>
      <w:bookmarkStart w:id="118" w:name="_Toc405905541"/>
      <w:bookmarkStart w:id="119" w:name="_Toc406085455"/>
      <w:bookmarkStart w:id="120" w:name="_Toc406086743"/>
      <w:bookmarkStart w:id="121" w:name="_Toc406086934"/>
      <w:bookmarkStart w:id="122" w:name="_Toc406087026"/>
      <w:bookmarkStart w:id="123" w:name="_Toc405560070"/>
      <w:bookmarkStart w:id="124" w:name="_Toc405560140"/>
      <w:bookmarkStart w:id="125" w:name="_Toc405905542"/>
      <w:bookmarkStart w:id="126" w:name="_Toc406085456"/>
      <w:bookmarkStart w:id="127" w:name="_Toc406086744"/>
      <w:bookmarkStart w:id="128" w:name="_Toc406086935"/>
      <w:bookmarkStart w:id="129" w:name="_Toc406087027"/>
      <w:bookmarkStart w:id="130" w:name="_Toc406086938"/>
      <w:bookmarkStart w:id="131" w:name="_Toc406087030"/>
      <w:bookmarkStart w:id="132" w:name="_Toc406086940"/>
      <w:bookmarkStart w:id="133" w:name="_Toc406087032"/>
      <w:bookmarkStart w:id="134" w:name="_Toc406086945"/>
      <w:bookmarkStart w:id="135" w:name="_Toc406087037"/>
      <w:bookmarkStart w:id="136" w:name="_Toc406086947"/>
      <w:bookmarkStart w:id="137" w:name="_Toc406087039"/>
      <w:bookmarkStart w:id="138" w:name="_Toc406086954"/>
      <w:bookmarkStart w:id="139" w:name="_Toc406087046"/>
      <w:bookmarkStart w:id="140" w:name="_Toc406086957"/>
      <w:bookmarkStart w:id="141" w:name="_Toc406087049"/>
      <w:bookmarkStart w:id="142" w:name="_Toc415586344"/>
      <w:bookmarkStart w:id="143" w:name="_Toc415586346"/>
      <w:bookmarkStart w:id="144" w:name="_Toc415586347"/>
      <w:bookmarkStart w:id="145" w:name="_Toc405543179"/>
      <w:bookmarkStart w:id="146" w:name="_Toc405560032"/>
      <w:bookmarkStart w:id="147" w:name="_Toc405560102"/>
      <w:bookmarkStart w:id="148" w:name="_Toc405905504"/>
      <w:bookmarkStart w:id="149" w:name="_Toc406085416"/>
      <w:bookmarkStart w:id="150" w:name="_Toc406086704"/>
      <w:bookmarkStart w:id="151" w:name="_Toc406086895"/>
      <w:bookmarkStart w:id="152" w:name="_Toc406086987"/>
      <w:bookmarkStart w:id="153" w:name="_Toc405543183"/>
      <w:bookmarkStart w:id="154" w:name="_Toc405560036"/>
      <w:bookmarkStart w:id="155" w:name="_Toc405560106"/>
      <w:bookmarkStart w:id="156" w:name="_Toc405905508"/>
      <w:bookmarkStart w:id="157" w:name="_Toc406085420"/>
      <w:bookmarkStart w:id="158" w:name="_Toc406086708"/>
      <w:bookmarkStart w:id="159" w:name="_Toc406086899"/>
      <w:bookmarkStart w:id="160" w:name="_Toc406086991"/>
      <w:bookmarkStart w:id="161" w:name="_Toc488324595"/>
      <w:bookmarkStart w:id="162" w:name="_Toc407619989"/>
      <w:bookmarkStart w:id="163" w:name="_Toc407625463"/>
      <w:bookmarkStart w:id="164" w:name="_Toc405543188"/>
      <w:bookmarkStart w:id="165" w:name="_Toc405560041"/>
      <w:bookmarkStart w:id="166" w:name="_Toc405560111"/>
      <w:bookmarkStart w:id="167" w:name="_Toc405905513"/>
      <w:bookmarkStart w:id="168" w:name="_Toc406085425"/>
      <w:bookmarkStart w:id="169" w:name="_Toc406086713"/>
      <w:bookmarkStart w:id="170" w:name="_Toc406086904"/>
      <w:bookmarkStart w:id="171" w:name="_Toc406086996"/>
      <w:bookmarkStart w:id="172" w:name="_Toc405543192"/>
      <w:bookmarkStart w:id="173" w:name="_Toc405560045"/>
      <w:bookmarkStart w:id="174" w:name="_Toc405560115"/>
      <w:bookmarkStart w:id="175" w:name="_Toc405905517"/>
      <w:bookmarkStart w:id="176" w:name="_Toc406085429"/>
      <w:bookmarkStart w:id="177" w:name="_Toc406086717"/>
      <w:bookmarkStart w:id="178" w:name="_Toc406086908"/>
      <w:bookmarkStart w:id="179" w:name="_Toc406087000"/>
      <w:bookmarkStart w:id="180" w:name="_Hlk127343084"/>
      <w:bookmarkStart w:id="181" w:name="_Toc488324599"/>
      <w:bookmarkStart w:id="182" w:name="_Toc123805837"/>
      <w:bookmarkStart w:id="183" w:name="_Toc123806404"/>
      <w:bookmarkStart w:id="184" w:name="_Toc123806469"/>
      <w:bookmarkStart w:id="185" w:name="_Toc123806758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6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80"/>
    <w:bookmarkEnd w:id="186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1"/>
      <w:bookmarkEnd w:id="182"/>
      <w:bookmarkEnd w:id="183"/>
      <w:bookmarkEnd w:id="184"/>
      <w:bookmarkEnd w:id="185"/>
    </w:p>
    <w:p w14:paraId="2940E2C6" w14:textId="5BCC9953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2C2122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9D38" w14:textId="77777777" w:rsidR="0081088F" w:rsidRDefault="0081088F" w:rsidP="00464338">
      <w:pPr>
        <w:spacing w:after="0" w:line="240" w:lineRule="auto"/>
      </w:pPr>
      <w:r>
        <w:separator/>
      </w:r>
    </w:p>
  </w:endnote>
  <w:endnote w:type="continuationSeparator" w:id="0">
    <w:p w14:paraId="7A2170DA" w14:textId="77777777" w:rsidR="0081088F" w:rsidRDefault="0081088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6E906310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68D9972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7777777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6F1C4E7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92FE" w14:textId="77777777" w:rsidR="0081088F" w:rsidRDefault="0081088F" w:rsidP="00464338">
      <w:pPr>
        <w:spacing w:after="0" w:line="240" w:lineRule="auto"/>
      </w:pPr>
      <w:r>
        <w:separator/>
      </w:r>
    </w:p>
  </w:footnote>
  <w:footnote w:type="continuationSeparator" w:id="0">
    <w:p w14:paraId="0CE14EEF" w14:textId="77777777" w:rsidR="0081088F" w:rsidRDefault="0081088F" w:rsidP="00464338">
      <w:pPr>
        <w:spacing w:after="0" w:line="240" w:lineRule="auto"/>
      </w:pPr>
      <w:r>
        <w:continuationSeparator/>
      </w:r>
    </w:p>
  </w:footnote>
  <w:footnote w:id="1">
    <w:p w14:paraId="0D95F761" w14:textId="77777777" w:rsidR="00804D20" w:rsidRPr="00804D20" w:rsidRDefault="00804D20" w:rsidP="00804D20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804D20">
        <w:rPr>
          <w:rStyle w:val="Odwoanieprzypisudolnego"/>
          <w:sz w:val="18"/>
          <w:szCs w:val="18"/>
        </w:rPr>
        <w:footnoteRef/>
      </w:r>
      <w:r w:rsidRPr="00804D20">
        <w:rPr>
          <w:rStyle w:val="Odwoanieprzypisudolnego"/>
          <w:sz w:val="18"/>
          <w:szCs w:val="18"/>
        </w:rPr>
        <w:t xml:space="preserve"> </w:t>
      </w:r>
      <w:bookmarkStart w:id="0" w:name="_Hlk133366760"/>
      <w:r w:rsidRPr="00804D20">
        <w:rPr>
          <w:rStyle w:val="Odwoanieprzypisudolnego"/>
          <w:sz w:val="18"/>
          <w:szCs w:val="18"/>
          <w:vertAlign w:val="baseline"/>
        </w:rPr>
        <w:t>Wybrać właściwy fundusz. Niepotrzebne wykreślić.</w:t>
      </w:r>
      <w:bookmarkEnd w:id="0"/>
    </w:p>
  </w:footnote>
  <w:footnote w:id="2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1925719569">
    <w:abstractNumId w:val="9"/>
  </w:num>
  <w:num w:numId="24" w16cid:durableId="86774293">
    <w:abstractNumId w:val="9"/>
  </w:num>
  <w:num w:numId="25" w16cid:durableId="1093549106">
    <w:abstractNumId w:val="9"/>
  </w:num>
  <w:num w:numId="26" w16cid:durableId="1487476947">
    <w:abstractNumId w:val="9"/>
  </w:num>
  <w:num w:numId="27" w16cid:durableId="277493664">
    <w:abstractNumId w:val="9"/>
  </w:num>
  <w:num w:numId="28" w16cid:durableId="575750932">
    <w:abstractNumId w:val="9"/>
  </w:num>
  <w:num w:numId="29" w16cid:durableId="1449815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04D20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94A8E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4FB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1859</Words>
  <Characters>11156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Anna Wiącek-Sawicka</cp:lastModifiedBy>
  <cp:revision>7</cp:revision>
  <cp:lastPrinted>2023-01-17T10:42:00Z</cp:lastPrinted>
  <dcterms:created xsi:type="dcterms:W3CDTF">2023-04-20T09:54:00Z</dcterms:created>
  <dcterms:modified xsi:type="dcterms:W3CDTF">2023-08-17T12:58:00Z</dcterms:modified>
</cp:coreProperties>
</file>