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F1FC" w14:textId="00964CB7" w:rsidR="0045129B" w:rsidRPr="00412D9C" w:rsidRDefault="0067025A" w:rsidP="0067025A">
      <w:pPr>
        <w:tabs>
          <w:tab w:val="left" w:pos="6270"/>
        </w:tabs>
      </w:pPr>
      <w:r>
        <w:tab/>
      </w:r>
    </w:p>
    <w:p w14:paraId="6B9BF51C" w14:textId="77777777" w:rsidR="00FB0462" w:rsidRPr="00412D9C" w:rsidRDefault="00FB0462" w:rsidP="00FB0462">
      <w:pPr>
        <w:jc w:val="center"/>
        <w:rPr>
          <w:b/>
          <w:sz w:val="36"/>
          <w:szCs w:val="36"/>
        </w:rPr>
      </w:pPr>
    </w:p>
    <w:p w14:paraId="5DBB3352" w14:textId="75370DEB" w:rsidR="00FB0462" w:rsidRPr="00412D9C" w:rsidRDefault="00FB0462" w:rsidP="002036AB">
      <w:pPr>
        <w:rPr>
          <w:b/>
          <w:sz w:val="36"/>
          <w:szCs w:val="36"/>
        </w:rPr>
      </w:pPr>
    </w:p>
    <w:p w14:paraId="5C1DF944" w14:textId="77777777" w:rsidR="002036AB" w:rsidRPr="00412D9C" w:rsidRDefault="002036AB" w:rsidP="002036AB">
      <w:pPr>
        <w:rPr>
          <w:b/>
          <w:sz w:val="36"/>
          <w:szCs w:val="36"/>
        </w:rPr>
      </w:pPr>
    </w:p>
    <w:p w14:paraId="71ACB437" w14:textId="77777777" w:rsidR="00FB0462" w:rsidRPr="00412D9C" w:rsidRDefault="00FB0462" w:rsidP="00FB0462">
      <w:pPr>
        <w:jc w:val="center"/>
        <w:rPr>
          <w:b/>
          <w:sz w:val="36"/>
          <w:szCs w:val="36"/>
        </w:rPr>
      </w:pPr>
    </w:p>
    <w:p w14:paraId="098AA39C" w14:textId="1734565D" w:rsidR="00FB0462" w:rsidRPr="003A6407" w:rsidRDefault="00FB0462" w:rsidP="00FB0462">
      <w:pPr>
        <w:spacing w:after="0"/>
        <w:jc w:val="center"/>
        <w:rPr>
          <w:b/>
          <w:sz w:val="36"/>
          <w:szCs w:val="36"/>
        </w:rPr>
      </w:pPr>
      <w:r w:rsidRPr="003A6407">
        <w:rPr>
          <w:b/>
          <w:sz w:val="36"/>
          <w:szCs w:val="36"/>
        </w:rPr>
        <w:t>Metodologia szacowania wartości docelowych dla wskaźników wybranych do realizacji</w:t>
      </w:r>
      <w:r w:rsidR="00AF3316" w:rsidRPr="003A6407">
        <w:rPr>
          <w:b/>
          <w:sz w:val="36"/>
          <w:szCs w:val="36"/>
        </w:rPr>
        <w:t xml:space="preserve"> w programie</w:t>
      </w:r>
    </w:p>
    <w:p w14:paraId="26B35471" w14:textId="77777777" w:rsidR="00FB0462" w:rsidRPr="003A6407" w:rsidRDefault="00FB0462" w:rsidP="00FB0462">
      <w:pPr>
        <w:spacing w:after="0"/>
        <w:jc w:val="center"/>
        <w:rPr>
          <w:b/>
          <w:sz w:val="36"/>
          <w:szCs w:val="36"/>
        </w:rPr>
      </w:pPr>
      <w:r w:rsidRPr="003A6407">
        <w:rPr>
          <w:b/>
          <w:sz w:val="36"/>
          <w:szCs w:val="36"/>
        </w:rPr>
        <w:t xml:space="preserve">„Fundusze Europejskie dla Dolnego Śląska </w:t>
      </w:r>
    </w:p>
    <w:p w14:paraId="112293C9" w14:textId="77777777" w:rsidR="002227B9" w:rsidRDefault="00FB0462" w:rsidP="002227B9">
      <w:pPr>
        <w:spacing w:after="0"/>
        <w:jc w:val="center"/>
        <w:rPr>
          <w:b/>
          <w:sz w:val="36"/>
          <w:szCs w:val="36"/>
        </w:rPr>
      </w:pPr>
      <w:r w:rsidRPr="003A6407">
        <w:rPr>
          <w:b/>
          <w:sz w:val="36"/>
          <w:szCs w:val="36"/>
        </w:rPr>
        <w:t>2021-2027”</w:t>
      </w:r>
    </w:p>
    <w:p w14:paraId="4C0CF106" w14:textId="309883C9" w:rsidR="0067025A" w:rsidRDefault="0067025A" w:rsidP="0067025A">
      <w:pPr>
        <w:tabs>
          <w:tab w:val="left" w:pos="6180"/>
        </w:tabs>
        <w:rPr>
          <w:b/>
          <w:sz w:val="36"/>
          <w:szCs w:val="36"/>
        </w:rPr>
      </w:pPr>
    </w:p>
    <w:p w14:paraId="7F498D2D" w14:textId="1759DCCB" w:rsidR="0067025A" w:rsidRPr="0067025A" w:rsidRDefault="0067025A" w:rsidP="0067025A">
      <w:pPr>
        <w:tabs>
          <w:tab w:val="left" w:pos="6180"/>
        </w:tabs>
        <w:rPr>
          <w:sz w:val="36"/>
          <w:szCs w:val="36"/>
        </w:rPr>
        <w:sectPr w:rsidR="0067025A" w:rsidRPr="0067025A" w:rsidSect="000F58CA">
          <w:headerReference w:type="default" r:id="rId8"/>
          <w:footerReference w:type="default" r:id="rId9"/>
          <w:headerReference w:type="first" r:id="rId10"/>
          <w:pgSz w:w="11906" w:h="16838"/>
          <w:pgMar w:top="1417" w:right="1417" w:bottom="1417" w:left="1417" w:header="142" w:footer="708" w:gutter="0"/>
          <w:cols w:space="708"/>
          <w:titlePg/>
          <w:docGrid w:linePitch="360"/>
        </w:sectPr>
      </w:pPr>
      <w:r>
        <w:rPr>
          <w:sz w:val="36"/>
          <w:szCs w:val="36"/>
        </w:rPr>
        <w:tab/>
      </w:r>
    </w:p>
    <w:sdt>
      <w:sdtPr>
        <w:rPr>
          <w:rFonts w:ascii="Calibri" w:eastAsiaTheme="minorHAnsi" w:hAnsi="Calibri" w:cs="Arial"/>
          <w:b w:val="0"/>
          <w:bCs w:val="0"/>
          <w:color w:val="auto"/>
          <w:sz w:val="20"/>
          <w:szCs w:val="20"/>
          <w:lang w:eastAsia="en-US"/>
        </w:rPr>
        <w:id w:val="-1649972029"/>
        <w:docPartObj>
          <w:docPartGallery w:val="Table of Contents"/>
          <w:docPartUnique/>
        </w:docPartObj>
      </w:sdtPr>
      <w:sdtContent>
        <w:p w14:paraId="3B79B635" w14:textId="070B1291" w:rsidR="00D64C64" w:rsidRPr="003A6407" w:rsidRDefault="00D64C64">
          <w:pPr>
            <w:pStyle w:val="Nagwekspisutreci"/>
          </w:pPr>
          <w:r w:rsidRPr="003A6407">
            <w:t>Spis treści</w:t>
          </w:r>
        </w:p>
        <w:p w14:paraId="29699CB9" w14:textId="1BA5E2C1" w:rsidR="00BF2026" w:rsidRDefault="00D94F55">
          <w:pPr>
            <w:pStyle w:val="Spistreci1"/>
            <w:rPr>
              <w:rFonts w:eastAsiaTheme="minorEastAsia" w:cstheme="minorBidi"/>
              <w:b w:val="0"/>
              <w:bCs w:val="0"/>
              <w:caps w:val="0"/>
              <w:noProof/>
              <w:sz w:val="22"/>
              <w:szCs w:val="22"/>
              <w:lang w:eastAsia="pl-PL"/>
            </w:rPr>
          </w:pPr>
          <w:r w:rsidRPr="003A6407">
            <w:fldChar w:fldCharType="begin"/>
          </w:r>
          <w:r w:rsidRPr="003A6407">
            <w:instrText xml:space="preserve"> TOC \o "1-5" \h \z \u </w:instrText>
          </w:r>
          <w:r w:rsidRPr="003A6407">
            <w:fldChar w:fldCharType="separate"/>
          </w:r>
          <w:hyperlink w:anchor="_Toc120464344" w:history="1">
            <w:r w:rsidR="00BF2026" w:rsidRPr="001733C2">
              <w:rPr>
                <w:rStyle w:val="Hipercze"/>
                <w:noProof/>
              </w:rPr>
              <w:t>Wykaz skrótów</w:t>
            </w:r>
            <w:r w:rsidR="00BF2026">
              <w:rPr>
                <w:noProof/>
                <w:webHidden/>
              </w:rPr>
              <w:tab/>
            </w:r>
            <w:r w:rsidR="00BF2026">
              <w:rPr>
                <w:noProof/>
                <w:webHidden/>
              </w:rPr>
              <w:fldChar w:fldCharType="begin"/>
            </w:r>
            <w:r w:rsidR="00BF2026">
              <w:rPr>
                <w:noProof/>
                <w:webHidden/>
              </w:rPr>
              <w:instrText xml:space="preserve"> PAGEREF _Toc120464344 \h </w:instrText>
            </w:r>
            <w:r w:rsidR="00BF2026">
              <w:rPr>
                <w:noProof/>
                <w:webHidden/>
              </w:rPr>
            </w:r>
            <w:r w:rsidR="00BF2026">
              <w:rPr>
                <w:noProof/>
                <w:webHidden/>
              </w:rPr>
              <w:fldChar w:fldCharType="separate"/>
            </w:r>
            <w:r w:rsidR="008C795B">
              <w:rPr>
                <w:noProof/>
                <w:webHidden/>
              </w:rPr>
              <w:t>8</w:t>
            </w:r>
            <w:r w:rsidR="00BF2026">
              <w:rPr>
                <w:noProof/>
                <w:webHidden/>
              </w:rPr>
              <w:fldChar w:fldCharType="end"/>
            </w:r>
          </w:hyperlink>
        </w:p>
        <w:p w14:paraId="53AE281E" w14:textId="2ECAC213" w:rsidR="00BF2026" w:rsidRDefault="00000000">
          <w:pPr>
            <w:pStyle w:val="Spistreci1"/>
            <w:rPr>
              <w:rFonts w:eastAsiaTheme="minorEastAsia" w:cstheme="minorBidi"/>
              <w:b w:val="0"/>
              <w:bCs w:val="0"/>
              <w:caps w:val="0"/>
              <w:noProof/>
              <w:sz w:val="22"/>
              <w:szCs w:val="22"/>
              <w:lang w:eastAsia="pl-PL"/>
            </w:rPr>
          </w:pPr>
          <w:hyperlink w:anchor="_Toc120464345" w:history="1">
            <w:r w:rsidR="00BF2026" w:rsidRPr="001733C2">
              <w:rPr>
                <w:rStyle w:val="Hipercze"/>
                <w:noProof/>
              </w:rPr>
              <w:t>Wprowadzenie</w:t>
            </w:r>
            <w:r w:rsidR="00BF2026">
              <w:rPr>
                <w:noProof/>
                <w:webHidden/>
              </w:rPr>
              <w:tab/>
            </w:r>
            <w:r w:rsidR="00BF2026">
              <w:rPr>
                <w:noProof/>
                <w:webHidden/>
              </w:rPr>
              <w:fldChar w:fldCharType="begin"/>
            </w:r>
            <w:r w:rsidR="00BF2026">
              <w:rPr>
                <w:noProof/>
                <w:webHidden/>
              </w:rPr>
              <w:instrText xml:space="preserve"> PAGEREF _Toc120464345 \h </w:instrText>
            </w:r>
            <w:r w:rsidR="00BF2026">
              <w:rPr>
                <w:noProof/>
                <w:webHidden/>
              </w:rPr>
            </w:r>
            <w:r w:rsidR="00BF2026">
              <w:rPr>
                <w:noProof/>
                <w:webHidden/>
              </w:rPr>
              <w:fldChar w:fldCharType="separate"/>
            </w:r>
            <w:r w:rsidR="008C795B">
              <w:rPr>
                <w:noProof/>
                <w:webHidden/>
              </w:rPr>
              <w:t>9</w:t>
            </w:r>
            <w:r w:rsidR="00BF2026">
              <w:rPr>
                <w:noProof/>
                <w:webHidden/>
              </w:rPr>
              <w:fldChar w:fldCharType="end"/>
            </w:r>
          </w:hyperlink>
        </w:p>
        <w:p w14:paraId="5B45E89B" w14:textId="716A5E8C" w:rsidR="00BF2026" w:rsidRDefault="00000000">
          <w:pPr>
            <w:pStyle w:val="Spistreci2"/>
            <w:rPr>
              <w:rFonts w:eastAsiaTheme="minorEastAsia" w:cstheme="minorBidi"/>
              <w:smallCaps w:val="0"/>
              <w:noProof/>
              <w:sz w:val="22"/>
              <w:szCs w:val="22"/>
              <w:lang w:eastAsia="pl-PL"/>
            </w:rPr>
          </w:pPr>
          <w:hyperlink w:anchor="_Toc120464346" w:history="1">
            <w:r w:rsidR="00BF2026" w:rsidRPr="001733C2">
              <w:rPr>
                <w:rStyle w:val="Hipercze"/>
                <w:noProof/>
              </w:rPr>
              <w:t>Informacje na temat ustanowienia wartości wskaźników</w:t>
            </w:r>
            <w:r w:rsidR="00BF2026">
              <w:rPr>
                <w:noProof/>
                <w:webHidden/>
              </w:rPr>
              <w:tab/>
            </w:r>
            <w:r w:rsidR="00BF2026">
              <w:rPr>
                <w:noProof/>
                <w:webHidden/>
              </w:rPr>
              <w:fldChar w:fldCharType="begin"/>
            </w:r>
            <w:r w:rsidR="00BF2026">
              <w:rPr>
                <w:noProof/>
                <w:webHidden/>
              </w:rPr>
              <w:instrText xml:space="preserve"> PAGEREF _Toc120464346 \h </w:instrText>
            </w:r>
            <w:r w:rsidR="00BF2026">
              <w:rPr>
                <w:noProof/>
                <w:webHidden/>
              </w:rPr>
            </w:r>
            <w:r w:rsidR="00BF2026">
              <w:rPr>
                <w:noProof/>
                <w:webHidden/>
              </w:rPr>
              <w:fldChar w:fldCharType="separate"/>
            </w:r>
            <w:r w:rsidR="008C795B">
              <w:rPr>
                <w:noProof/>
                <w:webHidden/>
              </w:rPr>
              <w:t>9</w:t>
            </w:r>
            <w:r w:rsidR="00BF2026">
              <w:rPr>
                <w:noProof/>
                <w:webHidden/>
              </w:rPr>
              <w:fldChar w:fldCharType="end"/>
            </w:r>
          </w:hyperlink>
        </w:p>
        <w:p w14:paraId="23F956C1" w14:textId="33184816" w:rsidR="00BF2026" w:rsidRDefault="00000000">
          <w:pPr>
            <w:pStyle w:val="Spistreci2"/>
            <w:rPr>
              <w:rFonts w:eastAsiaTheme="minorEastAsia" w:cstheme="minorBidi"/>
              <w:smallCaps w:val="0"/>
              <w:noProof/>
              <w:sz w:val="22"/>
              <w:szCs w:val="22"/>
              <w:lang w:eastAsia="pl-PL"/>
            </w:rPr>
          </w:pPr>
          <w:hyperlink w:anchor="_Toc120464347" w:history="1">
            <w:r w:rsidR="00BF2026" w:rsidRPr="001733C2">
              <w:rPr>
                <w:rStyle w:val="Hipercze"/>
                <w:noProof/>
              </w:rPr>
              <w:t>Definicje i rodzaje wskaźników</w:t>
            </w:r>
            <w:r w:rsidR="00BF2026">
              <w:rPr>
                <w:noProof/>
                <w:webHidden/>
              </w:rPr>
              <w:tab/>
            </w:r>
            <w:r w:rsidR="00BF2026">
              <w:rPr>
                <w:noProof/>
                <w:webHidden/>
              </w:rPr>
              <w:fldChar w:fldCharType="begin"/>
            </w:r>
            <w:r w:rsidR="00BF2026">
              <w:rPr>
                <w:noProof/>
                <w:webHidden/>
              </w:rPr>
              <w:instrText xml:space="preserve"> PAGEREF _Toc120464347 \h </w:instrText>
            </w:r>
            <w:r w:rsidR="00BF2026">
              <w:rPr>
                <w:noProof/>
                <w:webHidden/>
              </w:rPr>
            </w:r>
            <w:r w:rsidR="00BF2026">
              <w:rPr>
                <w:noProof/>
                <w:webHidden/>
              </w:rPr>
              <w:fldChar w:fldCharType="separate"/>
            </w:r>
            <w:r w:rsidR="008C795B">
              <w:rPr>
                <w:noProof/>
                <w:webHidden/>
              </w:rPr>
              <w:t>11</w:t>
            </w:r>
            <w:r w:rsidR="00BF2026">
              <w:rPr>
                <w:noProof/>
                <w:webHidden/>
              </w:rPr>
              <w:fldChar w:fldCharType="end"/>
            </w:r>
          </w:hyperlink>
        </w:p>
        <w:p w14:paraId="2F81F8CA" w14:textId="17E36003" w:rsidR="00BF2026" w:rsidRDefault="00000000">
          <w:pPr>
            <w:pStyle w:val="Spistreci1"/>
            <w:rPr>
              <w:rFonts w:eastAsiaTheme="minorEastAsia" w:cstheme="minorBidi"/>
              <w:b w:val="0"/>
              <w:bCs w:val="0"/>
              <w:caps w:val="0"/>
              <w:noProof/>
              <w:sz w:val="22"/>
              <w:szCs w:val="22"/>
              <w:lang w:eastAsia="pl-PL"/>
            </w:rPr>
          </w:pPr>
          <w:hyperlink w:anchor="_Toc120464348" w:history="1">
            <w:r w:rsidR="00BF2026" w:rsidRPr="001733C2">
              <w:rPr>
                <w:rStyle w:val="Hipercze"/>
                <w:noProof/>
              </w:rPr>
              <w:t>Część ogólna dotycząca całego programu</w:t>
            </w:r>
            <w:r w:rsidR="00BF2026">
              <w:rPr>
                <w:noProof/>
                <w:webHidden/>
              </w:rPr>
              <w:tab/>
            </w:r>
            <w:r w:rsidR="00BF2026">
              <w:rPr>
                <w:noProof/>
                <w:webHidden/>
              </w:rPr>
              <w:fldChar w:fldCharType="begin"/>
            </w:r>
            <w:r w:rsidR="00BF2026">
              <w:rPr>
                <w:noProof/>
                <w:webHidden/>
              </w:rPr>
              <w:instrText xml:space="preserve"> PAGEREF _Toc120464348 \h </w:instrText>
            </w:r>
            <w:r w:rsidR="00BF2026">
              <w:rPr>
                <w:noProof/>
                <w:webHidden/>
              </w:rPr>
            </w:r>
            <w:r w:rsidR="00BF2026">
              <w:rPr>
                <w:noProof/>
                <w:webHidden/>
              </w:rPr>
              <w:fldChar w:fldCharType="separate"/>
            </w:r>
            <w:r w:rsidR="008C795B">
              <w:rPr>
                <w:noProof/>
                <w:webHidden/>
              </w:rPr>
              <w:t>12</w:t>
            </w:r>
            <w:r w:rsidR="00BF2026">
              <w:rPr>
                <w:noProof/>
                <w:webHidden/>
              </w:rPr>
              <w:fldChar w:fldCharType="end"/>
            </w:r>
          </w:hyperlink>
        </w:p>
        <w:p w14:paraId="28322C95" w14:textId="23720926" w:rsidR="00BF2026" w:rsidRDefault="00000000">
          <w:pPr>
            <w:pStyle w:val="Spistreci2"/>
            <w:rPr>
              <w:rFonts w:eastAsiaTheme="minorEastAsia" w:cstheme="minorBidi"/>
              <w:smallCaps w:val="0"/>
              <w:noProof/>
              <w:sz w:val="22"/>
              <w:szCs w:val="22"/>
              <w:lang w:eastAsia="pl-PL"/>
            </w:rPr>
          </w:pPr>
          <w:hyperlink w:anchor="_Toc120464349" w:history="1">
            <w:r w:rsidR="00BF2026" w:rsidRPr="001733C2">
              <w:rPr>
                <w:rStyle w:val="Hipercze"/>
                <w:noProof/>
              </w:rPr>
              <w:t>Analiza ryzyk</w:t>
            </w:r>
            <w:r w:rsidR="00BF2026">
              <w:rPr>
                <w:noProof/>
                <w:webHidden/>
              </w:rPr>
              <w:tab/>
            </w:r>
            <w:r w:rsidR="00BF2026">
              <w:rPr>
                <w:noProof/>
                <w:webHidden/>
              </w:rPr>
              <w:fldChar w:fldCharType="begin"/>
            </w:r>
            <w:r w:rsidR="00BF2026">
              <w:rPr>
                <w:noProof/>
                <w:webHidden/>
              </w:rPr>
              <w:instrText xml:space="preserve"> PAGEREF _Toc120464349 \h </w:instrText>
            </w:r>
            <w:r w:rsidR="00BF2026">
              <w:rPr>
                <w:noProof/>
                <w:webHidden/>
              </w:rPr>
            </w:r>
            <w:r w:rsidR="00BF2026">
              <w:rPr>
                <w:noProof/>
                <w:webHidden/>
              </w:rPr>
              <w:fldChar w:fldCharType="separate"/>
            </w:r>
            <w:r w:rsidR="008C795B">
              <w:rPr>
                <w:noProof/>
                <w:webHidden/>
              </w:rPr>
              <w:t>12</w:t>
            </w:r>
            <w:r w:rsidR="00BF2026">
              <w:rPr>
                <w:noProof/>
                <w:webHidden/>
              </w:rPr>
              <w:fldChar w:fldCharType="end"/>
            </w:r>
          </w:hyperlink>
        </w:p>
        <w:p w14:paraId="27E529BF" w14:textId="6BFA4F66" w:rsidR="00BF2026" w:rsidRDefault="00000000">
          <w:pPr>
            <w:pStyle w:val="Spistreci1"/>
            <w:rPr>
              <w:rFonts w:eastAsiaTheme="minorEastAsia" w:cstheme="minorBidi"/>
              <w:b w:val="0"/>
              <w:bCs w:val="0"/>
              <w:caps w:val="0"/>
              <w:noProof/>
              <w:sz w:val="22"/>
              <w:szCs w:val="22"/>
              <w:lang w:eastAsia="pl-PL"/>
            </w:rPr>
          </w:pPr>
          <w:hyperlink w:anchor="_Toc120464350" w:history="1">
            <w:r w:rsidR="00BF2026" w:rsidRPr="001733C2">
              <w:rPr>
                <w:rStyle w:val="Hipercze"/>
                <w:noProof/>
              </w:rPr>
              <w:t>Część szczegółowa</w:t>
            </w:r>
            <w:r w:rsidR="00BF2026">
              <w:rPr>
                <w:noProof/>
                <w:webHidden/>
              </w:rPr>
              <w:tab/>
            </w:r>
            <w:r w:rsidR="00BF2026">
              <w:rPr>
                <w:noProof/>
                <w:webHidden/>
              </w:rPr>
              <w:fldChar w:fldCharType="begin"/>
            </w:r>
            <w:r w:rsidR="00BF2026">
              <w:rPr>
                <w:noProof/>
                <w:webHidden/>
              </w:rPr>
              <w:instrText xml:space="preserve"> PAGEREF _Toc120464350 \h </w:instrText>
            </w:r>
            <w:r w:rsidR="00BF2026">
              <w:rPr>
                <w:noProof/>
                <w:webHidden/>
              </w:rPr>
            </w:r>
            <w:r w:rsidR="00BF2026">
              <w:rPr>
                <w:noProof/>
                <w:webHidden/>
              </w:rPr>
              <w:fldChar w:fldCharType="separate"/>
            </w:r>
            <w:r w:rsidR="008C795B">
              <w:rPr>
                <w:noProof/>
                <w:webHidden/>
              </w:rPr>
              <w:t>16</w:t>
            </w:r>
            <w:r w:rsidR="00BF2026">
              <w:rPr>
                <w:noProof/>
                <w:webHidden/>
              </w:rPr>
              <w:fldChar w:fldCharType="end"/>
            </w:r>
          </w:hyperlink>
        </w:p>
        <w:p w14:paraId="1D7F4128" w14:textId="28BE47CD" w:rsidR="00BF2026" w:rsidRDefault="00000000">
          <w:pPr>
            <w:pStyle w:val="Spistreci1"/>
            <w:rPr>
              <w:rFonts w:eastAsiaTheme="minorEastAsia" w:cstheme="minorBidi"/>
              <w:b w:val="0"/>
              <w:bCs w:val="0"/>
              <w:caps w:val="0"/>
              <w:noProof/>
              <w:sz w:val="22"/>
              <w:szCs w:val="22"/>
              <w:lang w:eastAsia="pl-PL"/>
            </w:rPr>
          </w:pPr>
          <w:hyperlink w:anchor="_Toc120464351" w:history="1">
            <w:r w:rsidR="00BF2026" w:rsidRPr="001733C2">
              <w:rPr>
                <w:rStyle w:val="Hipercze"/>
                <w:noProof/>
              </w:rPr>
              <w:t>PRIORYTET 1: FUNDUSZE EUROPEJSKIE NA RZECZ PRZEDSIĘBIORCZEGO DOLNEGO ŚLĄSKA  (CP1 EFRR)</w:t>
            </w:r>
            <w:r w:rsidR="00BF2026">
              <w:rPr>
                <w:noProof/>
                <w:webHidden/>
              </w:rPr>
              <w:tab/>
            </w:r>
            <w:r w:rsidR="00BF2026">
              <w:rPr>
                <w:noProof/>
                <w:webHidden/>
              </w:rPr>
              <w:fldChar w:fldCharType="begin"/>
            </w:r>
            <w:r w:rsidR="00BF2026">
              <w:rPr>
                <w:noProof/>
                <w:webHidden/>
              </w:rPr>
              <w:instrText xml:space="preserve"> PAGEREF _Toc120464351 \h </w:instrText>
            </w:r>
            <w:r w:rsidR="00BF2026">
              <w:rPr>
                <w:noProof/>
                <w:webHidden/>
              </w:rPr>
            </w:r>
            <w:r w:rsidR="00BF2026">
              <w:rPr>
                <w:noProof/>
                <w:webHidden/>
              </w:rPr>
              <w:fldChar w:fldCharType="separate"/>
            </w:r>
            <w:r w:rsidR="008C795B">
              <w:rPr>
                <w:noProof/>
                <w:webHidden/>
              </w:rPr>
              <w:t>16</w:t>
            </w:r>
            <w:r w:rsidR="00BF2026">
              <w:rPr>
                <w:noProof/>
                <w:webHidden/>
              </w:rPr>
              <w:fldChar w:fldCharType="end"/>
            </w:r>
          </w:hyperlink>
        </w:p>
        <w:p w14:paraId="35F35AEC" w14:textId="60922CF1" w:rsidR="00BF2026" w:rsidRDefault="00000000">
          <w:pPr>
            <w:pStyle w:val="Spistreci2"/>
            <w:rPr>
              <w:rFonts w:eastAsiaTheme="minorEastAsia" w:cstheme="minorBidi"/>
              <w:smallCaps w:val="0"/>
              <w:noProof/>
              <w:sz w:val="22"/>
              <w:szCs w:val="22"/>
              <w:lang w:eastAsia="pl-PL"/>
            </w:rPr>
          </w:pPr>
          <w:hyperlink w:anchor="_Toc120464352" w:history="1">
            <w:r w:rsidR="00BF2026" w:rsidRPr="001733C2">
              <w:rPr>
                <w:rStyle w:val="Hipercze"/>
                <w:rFonts w:eastAsia="Times New Roman"/>
                <w:noProof/>
              </w:rPr>
              <w:t xml:space="preserve">CEL </w:t>
            </w:r>
            <w:r w:rsidR="00BF2026" w:rsidRPr="001733C2">
              <w:rPr>
                <w:rStyle w:val="Hipercze"/>
                <w:noProof/>
              </w:rPr>
              <w:t>SZCZEGÓŁOWY</w:t>
            </w:r>
            <w:r w:rsidR="00BF2026" w:rsidRPr="001733C2">
              <w:rPr>
                <w:rStyle w:val="Hipercze"/>
                <w:rFonts w:eastAsia="Times New Roman"/>
                <w:noProof/>
              </w:rPr>
              <w:t xml:space="preserve">: </w:t>
            </w:r>
            <w:r w:rsidR="00BF2026" w:rsidRPr="001733C2">
              <w:rPr>
                <w:rStyle w:val="Hipercze"/>
                <w:noProof/>
              </w:rPr>
              <w:t>RSO 1.1. Rozwijanie i wzmacnianie zdolności badawczych i innowacyjnych oraz wykorzystywanie zaawansowanych technologii (EFRR)</w:t>
            </w:r>
            <w:r w:rsidR="00BF2026">
              <w:rPr>
                <w:noProof/>
                <w:webHidden/>
              </w:rPr>
              <w:tab/>
            </w:r>
            <w:r w:rsidR="00BF2026">
              <w:rPr>
                <w:noProof/>
                <w:webHidden/>
              </w:rPr>
              <w:fldChar w:fldCharType="begin"/>
            </w:r>
            <w:r w:rsidR="00BF2026">
              <w:rPr>
                <w:noProof/>
                <w:webHidden/>
              </w:rPr>
              <w:instrText xml:space="preserve"> PAGEREF _Toc120464352 \h </w:instrText>
            </w:r>
            <w:r w:rsidR="00BF2026">
              <w:rPr>
                <w:noProof/>
                <w:webHidden/>
              </w:rPr>
            </w:r>
            <w:r w:rsidR="00BF2026">
              <w:rPr>
                <w:noProof/>
                <w:webHidden/>
              </w:rPr>
              <w:fldChar w:fldCharType="separate"/>
            </w:r>
            <w:r w:rsidR="008C795B">
              <w:rPr>
                <w:noProof/>
                <w:webHidden/>
              </w:rPr>
              <w:t>16</w:t>
            </w:r>
            <w:r w:rsidR="00BF2026">
              <w:rPr>
                <w:noProof/>
                <w:webHidden/>
              </w:rPr>
              <w:fldChar w:fldCharType="end"/>
            </w:r>
          </w:hyperlink>
        </w:p>
        <w:p w14:paraId="53F3DCD6" w14:textId="554B2CE8" w:rsidR="00BF2026" w:rsidRDefault="00000000">
          <w:pPr>
            <w:pStyle w:val="Spistreci2"/>
            <w:rPr>
              <w:rFonts w:eastAsiaTheme="minorEastAsia" w:cstheme="minorBidi"/>
              <w:smallCaps w:val="0"/>
              <w:noProof/>
              <w:sz w:val="22"/>
              <w:szCs w:val="22"/>
              <w:lang w:eastAsia="pl-PL"/>
            </w:rPr>
          </w:pPr>
          <w:hyperlink w:anchor="_Toc120464353"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_Toc120464353 \h </w:instrText>
            </w:r>
            <w:r w:rsidR="00BF2026">
              <w:rPr>
                <w:noProof/>
                <w:webHidden/>
              </w:rPr>
            </w:r>
            <w:r w:rsidR="00BF2026">
              <w:rPr>
                <w:noProof/>
                <w:webHidden/>
              </w:rPr>
              <w:fldChar w:fldCharType="separate"/>
            </w:r>
            <w:r w:rsidR="008C795B">
              <w:rPr>
                <w:noProof/>
                <w:webHidden/>
              </w:rPr>
              <w:t>16</w:t>
            </w:r>
            <w:r w:rsidR="00BF2026">
              <w:rPr>
                <w:noProof/>
                <w:webHidden/>
              </w:rPr>
              <w:fldChar w:fldCharType="end"/>
            </w:r>
          </w:hyperlink>
        </w:p>
        <w:p w14:paraId="4D6BD40F" w14:textId="5C473B6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54" w:history="1">
            <w:r w:rsidR="00BF2026" w:rsidRPr="001733C2">
              <w:rPr>
                <w:rStyle w:val="Hipercze"/>
                <w:rFonts w:eastAsia="Times New Roman"/>
                <w:bCs/>
                <w:noProof/>
              </w:rPr>
              <w:t>Przedsiębiorstwa objęte wsparciem (w tym: mikro, małe, średnie, duże)</w:t>
            </w:r>
            <w:r w:rsidR="00BF2026">
              <w:rPr>
                <w:noProof/>
                <w:webHidden/>
              </w:rPr>
              <w:tab/>
            </w:r>
            <w:r w:rsidR="00BF2026">
              <w:rPr>
                <w:noProof/>
                <w:webHidden/>
              </w:rPr>
              <w:fldChar w:fldCharType="begin"/>
            </w:r>
            <w:r w:rsidR="00BF2026">
              <w:rPr>
                <w:noProof/>
                <w:webHidden/>
              </w:rPr>
              <w:instrText xml:space="preserve"> PAGEREF _Toc120464354 \h </w:instrText>
            </w:r>
            <w:r w:rsidR="00BF2026">
              <w:rPr>
                <w:noProof/>
                <w:webHidden/>
              </w:rPr>
            </w:r>
            <w:r w:rsidR="00BF2026">
              <w:rPr>
                <w:noProof/>
                <w:webHidden/>
              </w:rPr>
              <w:fldChar w:fldCharType="separate"/>
            </w:r>
            <w:r w:rsidR="008C795B">
              <w:rPr>
                <w:noProof/>
                <w:webHidden/>
              </w:rPr>
              <w:t>16</w:t>
            </w:r>
            <w:r w:rsidR="00BF2026">
              <w:rPr>
                <w:noProof/>
                <w:webHidden/>
              </w:rPr>
              <w:fldChar w:fldCharType="end"/>
            </w:r>
          </w:hyperlink>
        </w:p>
        <w:p w14:paraId="3CB326E1" w14:textId="4331BD94"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55" w:history="1">
            <w:r w:rsidR="00BF2026" w:rsidRPr="001733C2">
              <w:rPr>
                <w:rStyle w:val="Hipercze"/>
                <w:rFonts w:eastAsia="Times New Roman"/>
                <w:bCs/>
                <w:noProof/>
              </w:rPr>
              <w:t>Przedsiębiorstwa objęte wsparciem w formie dotacji</w:t>
            </w:r>
            <w:r w:rsidR="00BF2026">
              <w:rPr>
                <w:noProof/>
                <w:webHidden/>
              </w:rPr>
              <w:tab/>
            </w:r>
            <w:r w:rsidR="00BF2026">
              <w:rPr>
                <w:noProof/>
                <w:webHidden/>
              </w:rPr>
              <w:fldChar w:fldCharType="begin"/>
            </w:r>
            <w:r w:rsidR="00BF2026">
              <w:rPr>
                <w:noProof/>
                <w:webHidden/>
              </w:rPr>
              <w:instrText xml:space="preserve"> PAGEREF _Toc120464355 \h </w:instrText>
            </w:r>
            <w:r w:rsidR="00BF2026">
              <w:rPr>
                <w:noProof/>
                <w:webHidden/>
              </w:rPr>
            </w:r>
            <w:r w:rsidR="00BF2026">
              <w:rPr>
                <w:noProof/>
                <w:webHidden/>
              </w:rPr>
              <w:fldChar w:fldCharType="separate"/>
            </w:r>
            <w:r w:rsidR="008C795B">
              <w:rPr>
                <w:noProof/>
                <w:webHidden/>
              </w:rPr>
              <w:t>17</w:t>
            </w:r>
            <w:r w:rsidR="00BF2026">
              <w:rPr>
                <w:noProof/>
                <w:webHidden/>
              </w:rPr>
              <w:fldChar w:fldCharType="end"/>
            </w:r>
          </w:hyperlink>
        </w:p>
        <w:p w14:paraId="3FE76100" w14:textId="295566C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56" w:history="1">
            <w:r w:rsidR="00BF2026" w:rsidRPr="001733C2">
              <w:rPr>
                <w:rStyle w:val="Hipercze"/>
                <w:rFonts w:eastAsia="Times New Roman"/>
                <w:bCs/>
                <w:noProof/>
              </w:rPr>
              <w:t>Liczba realizowanych projektów B+R</w:t>
            </w:r>
            <w:r w:rsidR="00BF2026">
              <w:rPr>
                <w:noProof/>
                <w:webHidden/>
              </w:rPr>
              <w:tab/>
            </w:r>
            <w:r w:rsidR="00BF2026">
              <w:rPr>
                <w:noProof/>
                <w:webHidden/>
              </w:rPr>
              <w:fldChar w:fldCharType="begin"/>
            </w:r>
            <w:r w:rsidR="00BF2026">
              <w:rPr>
                <w:noProof/>
                <w:webHidden/>
              </w:rPr>
              <w:instrText xml:space="preserve"> PAGEREF _Toc120464356 \h </w:instrText>
            </w:r>
            <w:r w:rsidR="00BF2026">
              <w:rPr>
                <w:noProof/>
                <w:webHidden/>
              </w:rPr>
            </w:r>
            <w:r w:rsidR="00BF2026">
              <w:rPr>
                <w:noProof/>
                <w:webHidden/>
              </w:rPr>
              <w:fldChar w:fldCharType="separate"/>
            </w:r>
            <w:r w:rsidR="008C795B">
              <w:rPr>
                <w:noProof/>
                <w:webHidden/>
              </w:rPr>
              <w:t>20</w:t>
            </w:r>
            <w:r w:rsidR="00BF2026">
              <w:rPr>
                <w:noProof/>
                <w:webHidden/>
              </w:rPr>
              <w:fldChar w:fldCharType="end"/>
            </w:r>
          </w:hyperlink>
        </w:p>
        <w:p w14:paraId="2A811FFB" w14:textId="601827E1"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57" w:history="1">
            <w:r w:rsidR="00BF2026" w:rsidRPr="001733C2">
              <w:rPr>
                <w:rStyle w:val="Hipercze"/>
                <w:rFonts w:eastAsia="Times New Roman"/>
                <w:bCs/>
                <w:noProof/>
              </w:rPr>
              <w:t>Naukowcy pracujący we wspieranych obiektach badawczych</w:t>
            </w:r>
            <w:r w:rsidR="00BF2026">
              <w:rPr>
                <w:noProof/>
                <w:webHidden/>
              </w:rPr>
              <w:tab/>
            </w:r>
            <w:r w:rsidR="00BF2026">
              <w:rPr>
                <w:noProof/>
                <w:webHidden/>
              </w:rPr>
              <w:fldChar w:fldCharType="begin"/>
            </w:r>
            <w:r w:rsidR="00BF2026">
              <w:rPr>
                <w:noProof/>
                <w:webHidden/>
              </w:rPr>
              <w:instrText xml:space="preserve"> PAGEREF _Toc120464357 \h </w:instrText>
            </w:r>
            <w:r w:rsidR="00BF2026">
              <w:rPr>
                <w:noProof/>
                <w:webHidden/>
              </w:rPr>
            </w:r>
            <w:r w:rsidR="00BF2026">
              <w:rPr>
                <w:noProof/>
                <w:webHidden/>
              </w:rPr>
              <w:fldChar w:fldCharType="separate"/>
            </w:r>
            <w:r w:rsidR="008C795B">
              <w:rPr>
                <w:noProof/>
                <w:webHidden/>
              </w:rPr>
              <w:t>21</w:t>
            </w:r>
            <w:r w:rsidR="00BF2026">
              <w:rPr>
                <w:noProof/>
                <w:webHidden/>
              </w:rPr>
              <w:fldChar w:fldCharType="end"/>
            </w:r>
          </w:hyperlink>
        </w:p>
        <w:p w14:paraId="36B4B800" w14:textId="48A8252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58" w:history="1">
            <w:r w:rsidR="00BF2026" w:rsidRPr="001733C2">
              <w:rPr>
                <w:rStyle w:val="Hipercze"/>
                <w:rFonts w:eastAsia="Times New Roman"/>
                <w:bCs/>
                <w:noProof/>
              </w:rPr>
              <w:t>Przedsiębiorstwa współpracujące z organizacjami badawczymi</w:t>
            </w:r>
            <w:r w:rsidR="00BF2026">
              <w:rPr>
                <w:noProof/>
                <w:webHidden/>
              </w:rPr>
              <w:tab/>
            </w:r>
            <w:r w:rsidR="00BF2026">
              <w:rPr>
                <w:noProof/>
                <w:webHidden/>
              </w:rPr>
              <w:fldChar w:fldCharType="begin"/>
            </w:r>
            <w:r w:rsidR="00BF2026">
              <w:rPr>
                <w:noProof/>
                <w:webHidden/>
              </w:rPr>
              <w:instrText xml:space="preserve"> PAGEREF _Toc120464358 \h </w:instrText>
            </w:r>
            <w:r w:rsidR="00BF2026">
              <w:rPr>
                <w:noProof/>
                <w:webHidden/>
              </w:rPr>
            </w:r>
            <w:r w:rsidR="00BF2026">
              <w:rPr>
                <w:noProof/>
                <w:webHidden/>
              </w:rPr>
              <w:fldChar w:fldCharType="separate"/>
            </w:r>
            <w:r w:rsidR="008C795B">
              <w:rPr>
                <w:noProof/>
                <w:webHidden/>
              </w:rPr>
              <w:t>22</w:t>
            </w:r>
            <w:r w:rsidR="00BF2026">
              <w:rPr>
                <w:noProof/>
                <w:webHidden/>
              </w:rPr>
              <w:fldChar w:fldCharType="end"/>
            </w:r>
          </w:hyperlink>
        </w:p>
        <w:p w14:paraId="4E03AD58" w14:textId="0873468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59" w:history="1">
            <w:r w:rsidR="00BF2026" w:rsidRPr="001733C2">
              <w:rPr>
                <w:rStyle w:val="Hipercze"/>
                <w:rFonts w:eastAsia="Times New Roman"/>
                <w:bCs/>
                <w:noProof/>
              </w:rPr>
              <w:t>Udział podmiotów instytucjonalnych w procesie przedsiębiorczego odkrywania</w:t>
            </w:r>
            <w:r w:rsidR="00BF2026">
              <w:rPr>
                <w:noProof/>
                <w:webHidden/>
              </w:rPr>
              <w:tab/>
            </w:r>
            <w:r w:rsidR="00BF2026">
              <w:rPr>
                <w:noProof/>
                <w:webHidden/>
              </w:rPr>
              <w:fldChar w:fldCharType="begin"/>
            </w:r>
            <w:r w:rsidR="00BF2026">
              <w:rPr>
                <w:noProof/>
                <w:webHidden/>
              </w:rPr>
              <w:instrText xml:space="preserve"> PAGEREF _Toc120464359 \h </w:instrText>
            </w:r>
            <w:r w:rsidR="00BF2026">
              <w:rPr>
                <w:noProof/>
                <w:webHidden/>
              </w:rPr>
            </w:r>
            <w:r w:rsidR="00BF2026">
              <w:rPr>
                <w:noProof/>
                <w:webHidden/>
              </w:rPr>
              <w:fldChar w:fldCharType="separate"/>
            </w:r>
            <w:r w:rsidR="008C795B">
              <w:rPr>
                <w:noProof/>
                <w:webHidden/>
              </w:rPr>
              <w:t>23</w:t>
            </w:r>
            <w:r w:rsidR="00BF2026">
              <w:rPr>
                <w:noProof/>
                <w:webHidden/>
              </w:rPr>
              <w:fldChar w:fldCharType="end"/>
            </w:r>
          </w:hyperlink>
        </w:p>
        <w:p w14:paraId="7E1DDE89" w14:textId="3C429654"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0" w:history="1">
            <w:r w:rsidR="00BF2026" w:rsidRPr="001733C2">
              <w:rPr>
                <w:rStyle w:val="Hipercze"/>
                <w:rFonts w:eastAsia="Times New Roman"/>
                <w:bCs/>
                <w:noProof/>
              </w:rPr>
              <w:t>Liczba wspartych klastrów</w:t>
            </w:r>
            <w:r w:rsidR="00BF2026">
              <w:rPr>
                <w:noProof/>
                <w:webHidden/>
              </w:rPr>
              <w:tab/>
            </w:r>
            <w:r w:rsidR="00BF2026">
              <w:rPr>
                <w:noProof/>
                <w:webHidden/>
              </w:rPr>
              <w:fldChar w:fldCharType="begin"/>
            </w:r>
            <w:r w:rsidR="00BF2026">
              <w:rPr>
                <w:noProof/>
                <w:webHidden/>
              </w:rPr>
              <w:instrText xml:space="preserve"> PAGEREF _Toc120464360 \h </w:instrText>
            </w:r>
            <w:r w:rsidR="00BF2026">
              <w:rPr>
                <w:noProof/>
                <w:webHidden/>
              </w:rPr>
            </w:r>
            <w:r w:rsidR="00BF2026">
              <w:rPr>
                <w:noProof/>
                <w:webHidden/>
              </w:rPr>
              <w:fldChar w:fldCharType="separate"/>
            </w:r>
            <w:r w:rsidR="008C795B">
              <w:rPr>
                <w:noProof/>
                <w:webHidden/>
              </w:rPr>
              <w:t>24</w:t>
            </w:r>
            <w:r w:rsidR="00BF2026">
              <w:rPr>
                <w:noProof/>
                <w:webHidden/>
              </w:rPr>
              <w:fldChar w:fldCharType="end"/>
            </w:r>
          </w:hyperlink>
        </w:p>
        <w:p w14:paraId="5AEF183E" w14:textId="1AE742CA" w:rsidR="00BF2026" w:rsidRDefault="00000000">
          <w:pPr>
            <w:pStyle w:val="Spistreci2"/>
            <w:rPr>
              <w:rFonts w:eastAsiaTheme="minorEastAsia" w:cstheme="minorBidi"/>
              <w:smallCaps w:val="0"/>
              <w:noProof/>
              <w:sz w:val="22"/>
              <w:szCs w:val="22"/>
              <w:lang w:eastAsia="pl-PL"/>
            </w:rPr>
          </w:pPr>
          <w:hyperlink w:anchor="_Toc120464361"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_Toc120464361 \h </w:instrText>
            </w:r>
            <w:r w:rsidR="00BF2026">
              <w:rPr>
                <w:noProof/>
                <w:webHidden/>
              </w:rPr>
            </w:r>
            <w:r w:rsidR="00BF2026">
              <w:rPr>
                <w:noProof/>
                <w:webHidden/>
              </w:rPr>
              <w:fldChar w:fldCharType="separate"/>
            </w:r>
            <w:r w:rsidR="008C795B">
              <w:rPr>
                <w:noProof/>
                <w:webHidden/>
              </w:rPr>
              <w:t>25</w:t>
            </w:r>
            <w:r w:rsidR="00BF2026">
              <w:rPr>
                <w:noProof/>
                <w:webHidden/>
              </w:rPr>
              <w:fldChar w:fldCharType="end"/>
            </w:r>
          </w:hyperlink>
        </w:p>
        <w:p w14:paraId="2181E0B6" w14:textId="73B8B5A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2" w:history="1">
            <w:r w:rsidR="00BF2026" w:rsidRPr="001733C2">
              <w:rPr>
                <w:rStyle w:val="Hipercze"/>
                <w:rFonts w:eastAsia="Times New Roman"/>
                <w:bCs/>
                <w:noProof/>
              </w:rPr>
              <w:t>Wartość nakładów na działalność B+R we wspartych przedsiębiorstwach</w:t>
            </w:r>
            <w:r w:rsidR="00BF2026">
              <w:rPr>
                <w:noProof/>
                <w:webHidden/>
              </w:rPr>
              <w:tab/>
            </w:r>
            <w:r w:rsidR="00BF2026">
              <w:rPr>
                <w:noProof/>
                <w:webHidden/>
              </w:rPr>
              <w:fldChar w:fldCharType="begin"/>
            </w:r>
            <w:r w:rsidR="00BF2026">
              <w:rPr>
                <w:noProof/>
                <w:webHidden/>
              </w:rPr>
              <w:instrText xml:space="preserve"> PAGEREF _Toc120464362 \h </w:instrText>
            </w:r>
            <w:r w:rsidR="00BF2026">
              <w:rPr>
                <w:noProof/>
                <w:webHidden/>
              </w:rPr>
            </w:r>
            <w:r w:rsidR="00BF2026">
              <w:rPr>
                <w:noProof/>
                <w:webHidden/>
              </w:rPr>
              <w:fldChar w:fldCharType="separate"/>
            </w:r>
            <w:r w:rsidR="008C795B">
              <w:rPr>
                <w:noProof/>
                <w:webHidden/>
              </w:rPr>
              <w:t>26</w:t>
            </w:r>
            <w:r w:rsidR="00BF2026">
              <w:rPr>
                <w:noProof/>
                <w:webHidden/>
              </w:rPr>
              <w:fldChar w:fldCharType="end"/>
            </w:r>
          </w:hyperlink>
        </w:p>
        <w:p w14:paraId="0E9665F6" w14:textId="6B59D6B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3" w:history="1">
            <w:r w:rsidR="00BF2026" w:rsidRPr="001733C2">
              <w:rPr>
                <w:rStyle w:val="Hipercze"/>
                <w:rFonts w:eastAsia="Times New Roman"/>
                <w:bCs/>
                <w:noProof/>
              </w:rPr>
              <w:t>Pracownicy MŚP kończący szkolenia w zakresie rozwoju umiejętności w zakresie inteligentnej specjalizacji, transformacji przemysłowej i przedsiębiorczości (według rodzaju umiejętności: techniczne, zarzadzanie, przedsiębiorczość́, ekologiczne, inne)</w:t>
            </w:r>
            <w:r w:rsidR="00BF2026">
              <w:rPr>
                <w:noProof/>
                <w:webHidden/>
              </w:rPr>
              <w:tab/>
            </w:r>
            <w:r w:rsidR="00BF2026">
              <w:rPr>
                <w:noProof/>
                <w:webHidden/>
              </w:rPr>
              <w:fldChar w:fldCharType="begin"/>
            </w:r>
            <w:r w:rsidR="00BF2026">
              <w:rPr>
                <w:noProof/>
                <w:webHidden/>
              </w:rPr>
              <w:instrText xml:space="preserve"> PAGEREF _Toc120464363 \h </w:instrText>
            </w:r>
            <w:r w:rsidR="00BF2026">
              <w:rPr>
                <w:noProof/>
                <w:webHidden/>
              </w:rPr>
            </w:r>
            <w:r w:rsidR="00BF2026">
              <w:rPr>
                <w:noProof/>
                <w:webHidden/>
              </w:rPr>
              <w:fldChar w:fldCharType="separate"/>
            </w:r>
            <w:r w:rsidR="008C795B">
              <w:rPr>
                <w:noProof/>
                <w:webHidden/>
              </w:rPr>
              <w:t>27</w:t>
            </w:r>
            <w:r w:rsidR="00BF2026">
              <w:rPr>
                <w:noProof/>
                <w:webHidden/>
              </w:rPr>
              <w:fldChar w:fldCharType="end"/>
            </w:r>
          </w:hyperlink>
        </w:p>
        <w:p w14:paraId="3AD2388D" w14:textId="4C85961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4" w:history="1">
            <w:r w:rsidR="00BF2026" w:rsidRPr="001733C2">
              <w:rPr>
                <w:rStyle w:val="Hipercze"/>
                <w:rFonts w:eastAsia="Times New Roman"/>
                <w:bCs/>
                <w:noProof/>
              </w:rPr>
              <w:t>Inwestycje prywatne uzupełniające wsparcie publiczne (w tym: dotacje, instrumenty finansowe)</w:t>
            </w:r>
            <w:r w:rsidR="00BF2026">
              <w:rPr>
                <w:noProof/>
                <w:webHidden/>
              </w:rPr>
              <w:tab/>
            </w:r>
            <w:r w:rsidR="00BF2026">
              <w:rPr>
                <w:noProof/>
                <w:webHidden/>
              </w:rPr>
              <w:fldChar w:fldCharType="begin"/>
            </w:r>
            <w:r w:rsidR="00BF2026">
              <w:rPr>
                <w:noProof/>
                <w:webHidden/>
              </w:rPr>
              <w:instrText xml:space="preserve"> PAGEREF _Toc120464364 \h </w:instrText>
            </w:r>
            <w:r w:rsidR="00BF2026">
              <w:rPr>
                <w:noProof/>
                <w:webHidden/>
              </w:rPr>
            </w:r>
            <w:r w:rsidR="00BF2026">
              <w:rPr>
                <w:noProof/>
                <w:webHidden/>
              </w:rPr>
              <w:fldChar w:fldCharType="separate"/>
            </w:r>
            <w:r w:rsidR="008C795B">
              <w:rPr>
                <w:noProof/>
                <w:webHidden/>
              </w:rPr>
              <w:t>28</w:t>
            </w:r>
            <w:r w:rsidR="00BF2026">
              <w:rPr>
                <w:noProof/>
                <w:webHidden/>
              </w:rPr>
              <w:fldChar w:fldCharType="end"/>
            </w:r>
          </w:hyperlink>
        </w:p>
        <w:p w14:paraId="2DD05D2E" w14:textId="540BE5EC" w:rsidR="00BF2026" w:rsidRDefault="00000000">
          <w:pPr>
            <w:pStyle w:val="Spistreci2"/>
            <w:rPr>
              <w:rFonts w:eastAsiaTheme="minorEastAsia" w:cstheme="minorBidi"/>
              <w:smallCaps w:val="0"/>
              <w:noProof/>
              <w:sz w:val="22"/>
              <w:szCs w:val="22"/>
              <w:lang w:eastAsia="pl-PL"/>
            </w:rPr>
          </w:pPr>
          <w:hyperlink w:anchor="_Toc120464365" w:history="1">
            <w:r w:rsidR="00BF2026" w:rsidRPr="001733C2">
              <w:rPr>
                <w:rStyle w:val="Hipercze"/>
                <w:noProof/>
              </w:rPr>
              <w:t>CEL SZCZEGÓŁOWY: RSO1.2. Czerpanie korzyści z cyfryzacji dla obywateli, przedsiębiorstw, organizacji badawczych i instytucji publicznych (EFRR)</w:t>
            </w:r>
            <w:r w:rsidR="00BF2026">
              <w:rPr>
                <w:noProof/>
                <w:webHidden/>
              </w:rPr>
              <w:tab/>
            </w:r>
            <w:r w:rsidR="00BF2026">
              <w:rPr>
                <w:noProof/>
                <w:webHidden/>
              </w:rPr>
              <w:fldChar w:fldCharType="begin"/>
            </w:r>
            <w:r w:rsidR="00BF2026">
              <w:rPr>
                <w:noProof/>
                <w:webHidden/>
              </w:rPr>
              <w:instrText xml:space="preserve"> PAGEREF _Toc120464365 \h </w:instrText>
            </w:r>
            <w:r w:rsidR="00BF2026">
              <w:rPr>
                <w:noProof/>
                <w:webHidden/>
              </w:rPr>
            </w:r>
            <w:r w:rsidR="00BF2026">
              <w:rPr>
                <w:noProof/>
                <w:webHidden/>
              </w:rPr>
              <w:fldChar w:fldCharType="separate"/>
            </w:r>
            <w:r w:rsidR="008C795B">
              <w:rPr>
                <w:noProof/>
                <w:webHidden/>
              </w:rPr>
              <w:t>30</w:t>
            </w:r>
            <w:r w:rsidR="00BF2026">
              <w:rPr>
                <w:noProof/>
                <w:webHidden/>
              </w:rPr>
              <w:fldChar w:fldCharType="end"/>
            </w:r>
          </w:hyperlink>
        </w:p>
        <w:p w14:paraId="2D936D07" w14:textId="4574D2D9" w:rsidR="00BF2026" w:rsidRDefault="00000000">
          <w:pPr>
            <w:pStyle w:val="Spistreci2"/>
            <w:rPr>
              <w:rFonts w:eastAsiaTheme="minorEastAsia" w:cstheme="minorBidi"/>
              <w:smallCaps w:val="0"/>
              <w:noProof/>
              <w:sz w:val="22"/>
              <w:szCs w:val="22"/>
              <w:lang w:eastAsia="pl-PL"/>
            </w:rPr>
          </w:pPr>
          <w:hyperlink w:anchor="_Toc120464366"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_Toc120464366 \h </w:instrText>
            </w:r>
            <w:r w:rsidR="00BF2026">
              <w:rPr>
                <w:noProof/>
                <w:webHidden/>
              </w:rPr>
            </w:r>
            <w:r w:rsidR="00BF2026">
              <w:rPr>
                <w:noProof/>
                <w:webHidden/>
              </w:rPr>
              <w:fldChar w:fldCharType="separate"/>
            </w:r>
            <w:r w:rsidR="008C795B">
              <w:rPr>
                <w:noProof/>
                <w:webHidden/>
              </w:rPr>
              <w:t>30</w:t>
            </w:r>
            <w:r w:rsidR="00BF2026">
              <w:rPr>
                <w:noProof/>
                <w:webHidden/>
              </w:rPr>
              <w:fldChar w:fldCharType="end"/>
            </w:r>
          </w:hyperlink>
        </w:p>
        <w:p w14:paraId="0BCA6BAE" w14:textId="2D5594C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7" w:history="1">
            <w:r w:rsidR="00BF2026" w:rsidRPr="001733C2">
              <w:rPr>
                <w:rStyle w:val="Hipercze"/>
                <w:rFonts w:eastAsia="Times New Roman"/>
                <w:bCs/>
                <w:noProof/>
              </w:rPr>
              <w:t>Instytucje publiczne otrzymujące wsparcie na opracowywanie usług, produktów i procesów cyfrowych</w:t>
            </w:r>
            <w:r w:rsidR="00BF2026">
              <w:rPr>
                <w:noProof/>
                <w:webHidden/>
              </w:rPr>
              <w:tab/>
            </w:r>
            <w:r w:rsidR="00BF2026">
              <w:rPr>
                <w:noProof/>
                <w:webHidden/>
              </w:rPr>
              <w:fldChar w:fldCharType="begin"/>
            </w:r>
            <w:r w:rsidR="00BF2026">
              <w:rPr>
                <w:noProof/>
                <w:webHidden/>
              </w:rPr>
              <w:instrText xml:space="preserve"> PAGEREF _Toc120464367 \h </w:instrText>
            </w:r>
            <w:r w:rsidR="00BF2026">
              <w:rPr>
                <w:noProof/>
                <w:webHidden/>
              </w:rPr>
            </w:r>
            <w:r w:rsidR="00BF2026">
              <w:rPr>
                <w:noProof/>
                <w:webHidden/>
              </w:rPr>
              <w:fldChar w:fldCharType="separate"/>
            </w:r>
            <w:r w:rsidR="008C795B">
              <w:rPr>
                <w:noProof/>
                <w:webHidden/>
              </w:rPr>
              <w:t>30</w:t>
            </w:r>
            <w:r w:rsidR="00BF2026">
              <w:rPr>
                <w:noProof/>
                <w:webHidden/>
              </w:rPr>
              <w:fldChar w:fldCharType="end"/>
            </w:r>
          </w:hyperlink>
        </w:p>
        <w:p w14:paraId="6F91A649" w14:textId="7EE378C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8" w:history="1">
            <w:r w:rsidR="00BF2026" w:rsidRPr="001733C2">
              <w:rPr>
                <w:rStyle w:val="Hipercze"/>
                <w:rFonts w:eastAsia="Times New Roman"/>
                <w:bCs/>
                <w:noProof/>
              </w:rPr>
              <w:t>Liczba usług publicznych udostępnionych on-line o stopniu dojrzałości co najmniej 4 - transakcja</w:t>
            </w:r>
            <w:r w:rsidR="00BF2026">
              <w:rPr>
                <w:noProof/>
                <w:webHidden/>
              </w:rPr>
              <w:tab/>
            </w:r>
            <w:r w:rsidR="00BF2026">
              <w:rPr>
                <w:noProof/>
                <w:webHidden/>
              </w:rPr>
              <w:fldChar w:fldCharType="begin"/>
            </w:r>
            <w:r w:rsidR="00BF2026">
              <w:rPr>
                <w:noProof/>
                <w:webHidden/>
              </w:rPr>
              <w:instrText xml:space="preserve"> PAGEREF _Toc120464368 \h </w:instrText>
            </w:r>
            <w:r w:rsidR="00BF2026">
              <w:rPr>
                <w:noProof/>
                <w:webHidden/>
              </w:rPr>
            </w:r>
            <w:r w:rsidR="00BF2026">
              <w:rPr>
                <w:noProof/>
                <w:webHidden/>
              </w:rPr>
              <w:fldChar w:fldCharType="separate"/>
            </w:r>
            <w:r w:rsidR="008C795B">
              <w:rPr>
                <w:noProof/>
                <w:webHidden/>
              </w:rPr>
              <w:t>31</w:t>
            </w:r>
            <w:r w:rsidR="00BF2026">
              <w:rPr>
                <w:noProof/>
                <w:webHidden/>
              </w:rPr>
              <w:fldChar w:fldCharType="end"/>
            </w:r>
          </w:hyperlink>
        </w:p>
        <w:p w14:paraId="41A52193" w14:textId="0CFA6C1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69" w:history="1">
            <w:r w:rsidR="00BF2026" w:rsidRPr="001733C2">
              <w:rPr>
                <w:rStyle w:val="Hipercze"/>
                <w:rFonts w:eastAsia="Times New Roman"/>
                <w:bCs/>
                <w:noProof/>
              </w:rPr>
              <w:t>Liczba podmiotów, które udostępniły informacje sektora publicznego/dane prywatne on-line</w:t>
            </w:r>
            <w:r w:rsidR="00BF2026">
              <w:rPr>
                <w:noProof/>
                <w:webHidden/>
              </w:rPr>
              <w:tab/>
            </w:r>
            <w:r w:rsidR="00BF2026">
              <w:rPr>
                <w:noProof/>
                <w:webHidden/>
              </w:rPr>
              <w:fldChar w:fldCharType="begin"/>
            </w:r>
            <w:r w:rsidR="00BF2026">
              <w:rPr>
                <w:noProof/>
                <w:webHidden/>
              </w:rPr>
              <w:instrText xml:space="preserve"> PAGEREF _Toc120464369 \h </w:instrText>
            </w:r>
            <w:r w:rsidR="00BF2026">
              <w:rPr>
                <w:noProof/>
                <w:webHidden/>
              </w:rPr>
            </w:r>
            <w:r w:rsidR="00BF2026">
              <w:rPr>
                <w:noProof/>
                <w:webHidden/>
              </w:rPr>
              <w:fldChar w:fldCharType="separate"/>
            </w:r>
            <w:r w:rsidR="008C795B">
              <w:rPr>
                <w:noProof/>
                <w:webHidden/>
              </w:rPr>
              <w:t>32</w:t>
            </w:r>
            <w:r w:rsidR="00BF2026">
              <w:rPr>
                <w:noProof/>
                <w:webHidden/>
              </w:rPr>
              <w:fldChar w:fldCharType="end"/>
            </w:r>
          </w:hyperlink>
        </w:p>
        <w:p w14:paraId="7705E355" w14:textId="7434D282" w:rsidR="00BF2026" w:rsidRDefault="00000000">
          <w:pPr>
            <w:pStyle w:val="Spistreci2"/>
            <w:rPr>
              <w:rFonts w:eastAsiaTheme="minorEastAsia" w:cstheme="minorBidi"/>
              <w:smallCaps w:val="0"/>
              <w:noProof/>
              <w:sz w:val="22"/>
              <w:szCs w:val="22"/>
              <w:lang w:eastAsia="pl-PL"/>
            </w:rPr>
          </w:pPr>
          <w:hyperlink w:anchor="_Toc120464370"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_Toc120464370 \h </w:instrText>
            </w:r>
            <w:r w:rsidR="00BF2026">
              <w:rPr>
                <w:noProof/>
                <w:webHidden/>
              </w:rPr>
            </w:r>
            <w:r w:rsidR="00BF2026">
              <w:rPr>
                <w:noProof/>
                <w:webHidden/>
              </w:rPr>
              <w:fldChar w:fldCharType="separate"/>
            </w:r>
            <w:r w:rsidR="008C795B">
              <w:rPr>
                <w:noProof/>
                <w:webHidden/>
              </w:rPr>
              <w:t>33</w:t>
            </w:r>
            <w:r w:rsidR="00BF2026">
              <w:rPr>
                <w:noProof/>
                <w:webHidden/>
              </w:rPr>
              <w:fldChar w:fldCharType="end"/>
            </w:r>
          </w:hyperlink>
        </w:p>
        <w:p w14:paraId="37EF3967" w14:textId="2FA101E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71" w:history="1">
            <w:r w:rsidR="00BF2026" w:rsidRPr="001733C2">
              <w:rPr>
                <w:rStyle w:val="Hipercze"/>
                <w:rFonts w:eastAsia="Times New Roman"/>
                <w:bCs/>
                <w:noProof/>
              </w:rPr>
              <w:t>Użytkownicy nowych i zmodernizowanych publicznych usług, produktów i procesów cyfrowych</w:t>
            </w:r>
            <w:r w:rsidR="00BF2026">
              <w:rPr>
                <w:noProof/>
                <w:webHidden/>
              </w:rPr>
              <w:tab/>
            </w:r>
            <w:r w:rsidR="00BF2026">
              <w:rPr>
                <w:noProof/>
                <w:webHidden/>
              </w:rPr>
              <w:fldChar w:fldCharType="begin"/>
            </w:r>
            <w:r w:rsidR="00BF2026">
              <w:rPr>
                <w:noProof/>
                <w:webHidden/>
              </w:rPr>
              <w:instrText xml:space="preserve"> PAGEREF _Toc120464371 \h </w:instrText>
            </w:r>
            <w:r w:rsidR="00BF2026">
              <w:rPr>
                <w:noProof/>
                <w:webHidden/>
              </w:rPr>
            </w:r>
            <w:r w:rsidR="00BF2026">
              <w:rPr>
                <w:noProof/>
                <w:webHidden/>
              </w:rPr>
              <w:fldChar w:fldCharType="separate"/>
            </w:r>
            <w:r w:rsidR="008C795B">
              <w:rPr>
                <w:noProof/>
                <w:webHidden/>
              </w:rPr>
              <w:t>33</w:t>
            </w:r>
            <w:r w:rsidR="00BF2026">
              <w:rPr>
                <w:noProof/>
                <w:webHidden/>
              </w:rPr>
              <w:fldChar w:fldCharType="end"/>
            </w:r>
          </w:hyperlink>
        </w:p>
        <w:p w14:paraId="6F79F244" w14:textId="6EB6397C" w:rsidR="00BF2026" w:rsidRDefault="00000000">
          <w:pPr>
            <w:pStyle w:val="Spistreci2"/>
            <w:rPr>
              <w:rFonts w:eastAsiaTheme="minorEastAsia" w:cstheme="minorBidi"/>
              <w:smallCaps w:val="0"/>
              <w:noProof/>
              <w:sz w:val="22"/>
              <w:szCs w:val="22"/>
              <w:lang w:eastAsia="pl-PL"/>
            </w:rPr>
          </w:pPr>
          <w:hyperlink w:anchor="_Toc120464372" w:history="1">
            <w:r w:rsidR="00BF2026" w:rsidRPr="001733C2">
              <w:rPr>
                <w:rStyle w:val="Hipercze"/>
                <w:rFonts w:eastAsia="Calibri"/>
                <w:noProof/>
              </w:rPr>
              <w:t xml:space="preserve">CEL SZCZEGÓŁOWY: </w:t>
            </w:r>
            <w:r w:rsidR="00BF2026" w:rsidRPr="001733C2">
              <w:rPr>
                <w:rStyle w:val="Hipercze"/>
                <w:rFonts w:eastAsia="Times New Roman"/>
                <w:noProof/>
              </w:rPr>
              <w:t>RSO1.3. Wzmacnianie trwałego wzrostu i konkurencyjności MŚP oraz tworzenie miejsc pracy w MŚP, w tym poprzez inwestycje produkcyjne (EFRR)</w:t>
            </w:r>
            <w:r w:rsidR="00BF2026">
              <w:rPr>
                <w:noProof/>
                <w:webHidden/>
              </w:rPr>
              <w:tab/>
            </w:r>
            <w:r w:rsidR="00BF2026">
              <w:rPr>
                <w:noProof/>
                <w:webHidden/>
              </w:rPr>
              <w:fldChar w:fldCharType="begin"/>
            </w:r>
            <w:r w:rsidR="00BF2026">
              <w:rPr>
                <w:noProof/>
                <w:webHidden/>
              </w:rPr>
              <w:instrText xml:space="preserve"> PAGEREF _Toc120464372 \h </w:instrText>
            </w:r>
            <w:r w:rsidR="00BF2026">
              <w:rPr>
                <w:noProof/>
                <w:webHidden/>
              </w:rPr>
            </w:r>
            <w:r w:rsidR="00BF2026">
              <w:rPr>
                <w:noProof/>
                <w:webHidden/>
              </w:rPr>
              <w:fldChar w:fldCharType="separate"/>
            </w:r>
            <w:r w:rsidR="008C795B">
              <w:rPr>
                <w:noProof/>
                <w:webHidden/>
              </w:rPr>
              <w:t>35</w:t>
            </w:r>
            <w:r w:rsidR="00BF2026">
              <w:rPr>
                <w:noProof/>
                <w:webHidden/>
              </w:rPr>
              <w:fldChar w:fldCharType="end"/>
            </w:r>
          </w:hyperlink>
        </w:p>
        <w:p w14:paraId="34501057" w14:textId="1F9944A9" w:rsidR="00BF2026" w:rsidRDefault="00000000">
          <w:pPr>
            <w:pStyle w:val="Spistreci2"/>
            <w:rPr>
              <w:rFonts w:eastAsiaTheme="minorEastAsia" w:cstheme="minorBidi"/>
              <w:smallCaps w:val="0"/>
              <w:noProof/>
              <w:sz w:val="22"/>
              <w:szCs w:val="22"/>
              <w:lang w:eastAsia="pl-PL"/>
            </w:rPr>
          </w:pPr>
          <w:hyperlink w:anchor="_Toc120464373"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_Toc120464373 \h </w:instrText>
            </w:r>
            <w:r w:rsidR="00BF2026">
              <w:rPr>
                <w:noProof/>
                <w:webHidden/>
              </w:rPr>
            </w:r>
            <w:r w:rsidR="00BF2026">
              <w:rPr>
                <w:noProof/>
                <w:webHidden/>
              </w:rPr>
              <w:fldChar w:fldCharType="separate"/>
            </w:r>
            <w:r w:rsidR="008C795B">
              <w:rPr>
                <w:noProof/>
                <w:webHidden/>
              </w:rPr>
              <w:t>35</w:t>
            </w:r>
            <w:r w:rsidR="00BF2026">
              <w:rPr>
                <w:noProof/>
                <w:webHidden/>
              </w:rPr>
              <w:fldChar w:fldCharType="end"/>
            </w:r>
          </w:hyperlink>
        </w:p>
        <w:p w14:paraId="7E8FBA56" w14:textId="5186568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74" w:history="1">
            <w:r w:rsidR="00BF2026" w:rsidRPr="001733C2">
              <w:rPr>
                <w:rStyle w:val="Hipercze"/>
                <w:rFonts w:eastAsia="Times New Roman"/>
                <w:bCs/>
                <w:noProof/>
              </w:rPr>
              <w:t>Przedsiębiorstwa objęte wsparciem (w tym: mikro, małe, średnie, duże)</w:t>
            </w:r>
            <w:r w:rsidR="00BF2026">
              <w:rPr>
                <w:noProof/>
                <w:webHidden/>
              </w:rPr>
              <w:tab/>
            </w:r>
            <w:r w:rsidR="00BF2026">
              <w:rPr>
                <w:noProof/>
                <w:webHidden/>
              </w:rPr>
              <w:fldChar w:fldCharType="begin"/>
            </w:r>
            <w:r w:rsidR="00BF2026">
              <w:rPr>
                <w:noProof/>
                <w:webHidden/>
              </w:rPr>
              <w:instrText xml:space="preserve"> PAGEREF _Toc120464374 \h </w:instrText>
            </w:r>
            <w:r w:rsidR="00BF2026">
              <w:rPr>
                <w:noProof/>
                <w:webHidden/>
              </w:rPr>
            </w:r>
            <w:r w:rsidR="00BF2026">
              <w:rPr>
                <w:noProof/>
                <w:webHidden/>
              </w:rPr>
              <w:fldChar w:fldCharType="separate"/>
            </w:r>
            <w:r w:rsidR="008C795B">
              <w:rPr>
                <w:noProof/>
                <w:webHidden/>
              </w:rPr>
              <w:t>35</w:t>
            </w:r>
            <w:r w:rsidR="00BF2026">
              <w:rPr>
                <w:noProof/>
                <w:webHidden/>
              </w:rPr>
              <w:fldChar w:fldCharType="end"/>
            </w:r>
          </w:hyperlink>
        </w:p>
        <w:p w14:paraId="6AEC6230" w14:textId="1051AFE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75" w:history="1">
            <w:r w:rsidR="00BF2026" w:rsidRPr="001733C2">
              <w:rPr>
                <w:rStyle w:val="Hipercze"/>
                <w:rFonts w:eastAsia="Times New Roman"/>
                <w:bCs/>
                <w:noProof/>
              </w:rPr>
              <w:t>Przedsiębiorstwa objęte wsparciem z instrumentów finansowych</w:t>
            </w:r>
            <w:r w:rsidR="00BF2026">
              <w:rPr>
                <w:noProof/>
                <w:webHidden/>
              </w:rPr>
              <w:tab/>
            </w:r>
            <w:r w:rsidR="00BF2026">
              <w:rPr>
                <w:noProof/>
                <w:webHidden/>
              </w:rPr>
              <w:fldChar w:fldCharType="begin"/>
            </w:r>
            <w:r w:rsidR="00BF2026">
              <w:rPr>
                <w:noProof/>
                <w:webHidden/>
              </w:rPr>
              <w:instrText xml:space="preserve"> PAGEREF _Toc120464375 \h </w:instrText>
            </w:r>
            <w:r w:rsidR="00BF2026">
              <w:rPr>
                <w:noProof/>
                <w:webHidden/>
              </w:rPr>
            </w:r>
            <w:r w:rsidR="00BF2026">
              <w:rPr>
                <w:noProof/>
                <w:webHidden/>
              </w:rPr>
              <w:fldChar w:fldCharType="separate"/>
            </w:r>
            <w:r w:rsidR="008C795B">
              <w:rPr>
                <w:noProof/>
                <w:webHidden/>
              </w:rPr>
              <w:t>37</w:t>
            </w:r>
            <w:r w:rsidR="00BF2026">
              <w:rPr>
                <w:noProof/>
                <w:webHidden/>
              </w:rPr>
              <w:fldChar w:fldCharType="end"/>
            </w:r>
          </w:hyperlink>
        </w:p>
        <w:p w14:paraId="097FA97A" w14:textId="0B1898F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76" w:history="1">
            <w:r w:rsidR="00BF2026" w:rsidRPr="001733C2">
              <w:rPr>
                <w:rStyle w:val="Hipercze"/>
                <w:rFonts w:eastAsia="Times New Roman"/>
                <w:bCs/>
                <w:noProof/>
              </w:rPr>
              <w:t>Wytworzona zdolnośćć inkubacji przedsiębiorstw</w:t>
            </w:r>
            <w:r w:rsidR="00BF2026">
              <w:rPr>
                <w:noProof/>
                <w:webHidden/>
              </w:rPr>
              <w:tab/>
            </w:r>
            <w:r w:rsidR="00BF2026">
              <w:rPr>
                <w:noProof/>
                <w:webHidden/>
              </w:rPr>
              <w:fldChar w:fldCharType="begin"/>
            </w:r>
            <w:r w:rsidR="00BF2026">
              <w:rPr>
                <w:noProof/>
                <w:webHidden/>
              </w:rPr>
              <w:instrText xml:space="preserve"> PAGEREF _Toc120464376 \h </w:instrText>
            </w:r>
            <w:r w:rsidR="00BF2026">
              <w:rPr>
                <w:noProof/>
                <w:webHidden/>
              </w:rPr>
            </w:r>
            <w:r w:rsidR="00BF2026">
              <w:rPr>
                <w:noProof/>
                <w:webHidden/>
              </w:rPr>
              <w:fldChar w:fldCharType="separate"/>
            </w:r>
            <w:r w:rsidR="008C795B">
              <w:rPr>
                <w:noProof/>
                <w:webHidden/>
              </w:rPr>
              <w:t>38</w:t>
            </w:r>
            <w:r w:rsidR="00BF2026">
              <w:rPr>
                <w:noProof/>
                <w:webHidden/>
              </w:rPr>
              <w:fldChar w:fldCharType="end"/>
            </w:r>
          </w:hyperlink>
        </w:p>
        <w:p w14:paraId="01955F4D" w14:textId="1FE4A352" w:rsidR="00BF2026" w:rsidRDefault="00000000">
          <w:pPr>
            <w:pStyle w:val="Spistreci2"/>
            <w:rPr>
              <w:rFonts w:eastAsiaTheme="minorEastAsia" w:cstheme="minorBidi"/>
              <w:smallCaps w:val="0"/>
              <w:noProof/>
              <w:sz w:val="22"/>
              <w:szCs w:val="22"/>
              <w:lang w:eastAsia="pl-PL"/>
            </w:rPr>
          </w:pPr>
          <w:hyperlink w:anchor="_Toc120464377"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_Toc120464377 \h </w:instrText>
            </w:r>
            <w:r w:rsidR="00BF2026">
              <w:rPr>
                <w:noProof/>
                <w:webHidden/>
              </w:rPr>
            </w:r>
            <w:r w:rsidR="00BF2026">
              <w:rPr>
                <w:noProof/>
                <w:webHidden/>
              </w:rPr>
              <w:fldChar w:fldCharType="separate"/>
            </w:r>
            <w:r w:rsidR="008C795B">
              <w:rPr>
                <w:noProof/>
                <w:webHidden/>
              </w:rPr>
              <w:t>39</w:t>
            </w:r>
            <w:r w:rsidR="00BF2026">
              <w:rPr>
                <w:noProof/>
                <w:webHidden/>
              </w:rPr>
              <w:fldChar w:fldCharType="end"/>
            </w:r>
          </w:hyperlink>
        </w:p>
        <w:p w14:paraId="5A75C65E" w14:textId="2090587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78" w:history="1">
            <w:r w:rsidR="00BF2026" w:rsidRPr="001733C2">
              <w:rPr>
                <w:rStyle w:val="Hipercze"/>
                <w:rFonts w:eastAsia="Times New Roman"/>
                <w:bCs/>
                <w:noProof/>
              </w:rPr>
              <w:t>Miejsca pracy utworzone we wspieranych podmiotach</w:t>
            </w:r>
            <w:r w:rsidR="00BF2026">
              <w:rPr>
                <w:noProof/>
                <w:webHidden/>
              </w:rPr>
              <w:tab/>
            </w:r>
            <w:r w:rsidR="00BF2026">
              <w:rPr>
                <w:noProof/>
                <w:webHidden/>
              </w:rPr>
              <w:fldChar w:fldCharType="begin"/>
            </w:r>
            <w:r w:rsidR="00BF2026">
              <w:rPr>
                <w:noProof/>
                <w:webHidden/>
              </w:rPr>
              <w:instrText xml:space="preserve"> PAGEREF _Toc120464378 \h </w:instrText>
            </w:r>
            <w:r w:rsidR="00BF2026">
              <w:rPr>
                <w:noProof/>
                <w:webHidden/>
              </w:rPr>
            </w:r>
            <w:r w:rsidR="00BF2026">
              <w:rPr>
                <w:noProof/>
                <w:webHidden/>
              </w:rPr>
              <w:fldChar w:fldCharType="separate"/>
            </w:r>
            <w:r w:rsidR="008C795B">
              <w:rPr>
                <w:noProof/>
                <w:webHidden/>
              </w:rPr>
              <w:t>39</w:t>
            </w:r>
            <w:r w:rsidR="00BF2026">
              <w:rPr>
                <w:noProof/>
                <w:webHidden/>
              </w:rPr>
              <w:fldChar w:fldCharType="end"/>
            </w:r>
          </w:hyperlink>
        </w:p>
        <w:p w14:paraId="7347E33B" w14:textId="4CA498E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79" w:history="1">
            <w:r w:rsidR="00BF2026" w:rsidRPr="001733C2">
              <w:rPr>
                <w:rStyle w:val="Hipercze"/>
                <w:rFonts w:eastAsia="Times New Roman"/>
                <w:bCs/>
                <w:noProof/>
              </w:rPr>
              <w:t>Małe i średnie przedsiębiorstwa (MŚP) wprowadzające innowacje produktowe lub procesowe</w:t>
            </w:r>
            <w:r w:rsidR="00BF2026">
              <w:rPr>
                <w:noProof/>
                <w:webHidden/>
              </w:rPr>
              <w:tab/>
            </w:r>
            <w:r w:rsidR="00BF2026">
              <w:rPr>
                <w:noProof/>
                <w:webHidden/>
              </w:rPr>
              <w:fldChar w:fldCharType="begin"/>
            </w:r>
            <w:r w:rsidR="00BF2026">
              <w:rPr>
                <w:noProof/>
                <w:webHidden/>
              </w:rPr>
              <w:instrText xml:space="preserve"> PAGEREF _Toc120464379 \h </w:instrText>
            </w:r>
            <w:r w:rsidR="00BF2026">
              <w:rPr>
                <w:noProof/>
                <w:webHidden/>
              </w:rPr>
            </w:r>
            <w:r w:rsidR="00BF2026">
              <w:rPr>
                <w:noProof/>
                <w:webHidden/>
              </w:rPr>
              <w:fldChar w:fldCharType="separate"/>
            </w:r>
            <w:r w:rsidR="008C795B">
              <w:rPr>
                <w:noProof/>
                <w:webHidden/>
              </w:rPr>
              <w:t>40</w:t>
            </w:r>
            <w:r w:rsidR="00BF2026">
              <w:rPr>
                <w:noProof/>
                <w:webHidden/>
              </w:rPr>
              <w:fldChar w:fldCharType="end"/>
            </w:r>
          </w:hyperlink>
        </w:p>
        <w:p w14:paraId="27E546FF" w14:textId="2C470FBF" w:rsidR="00BF2026" w:rsidRDefault="00000000">
          <w:pPr>
            <w:pStyle w:val="Spistreci1"/>
            <w:rPr>
              <w:rFonts w:eastAsiaTheme="minorEastAsia" w:cstheme="minorBidi"/>
              <w:b w:val="0"/>
              <w:bCs w:val="0"/>
              <w:caps w:val="0"/>
              <w:noProof/>
              <w:sz w:val="22"/>
              <w:szCs w:val="22"/>
              <w:lang w:eastAsia="pl-PL"/>
            </w:rPr>
          </w:pPr>
          <w:hyperlink w:anchor="_Toc120464380" w:history="1">
            <w:r w:rsidR="00BF2026" w:rsidRPr="001733C2">
              <w:rPr>
                <w:rStyle w:val="Hipercze"/>
                <w:rFonts w:eastAsia="Calibri"/>
                <w:noProof/>
              </w:rPr>
              <w:t>PRIORYTET 2: FUNDUSZE EUROPEJSKIE NA RZECZ ŚRODOWISKA NA DOLNYM ŚLĄSKU (CP2 EFRR)</w:t>
            </w:r>
            <w:r w:rsidR="00BF2026">
              <w:rPr>
                <w:noProof/>
                <w:webHidden/>
              </w:rPr>
              <w:tab/>
            </w:r>
            <w:r w:rsidR="00BF2026">
              <w:rPr>
                <w:noProof/>
                <w:webHidden/>
              </w:rPr>
              <w:fldChar w:fldCharType="begin"/>
            </w:r>
            <w:r w:rsidR="00BF2026">
              <w:rPr>
                <w:noProof/>
                <w:webHidden/>
              </w:rPr>
              <w:instrText xml:space="preserve"> PAGEREF _Toc120464380 \h </w:instrText>
            </w:r>
            <w:r w:rsidR="00BF2026">
              <w:rPr>
                <w:noProof/>
                <w:webHidden/>
              </w:rPr>
            </w:r>
            <w:r w:rsidR="00BF2026">
              <w:rPr>
                <w:noProof/>
                <w:webHidden/>
              </w:rPr>
              <w:fldChar w:fldCharType="separate"/>
            </w:r>
            <w:r w:rsidR="008C795B">
              <w:rPr>
                <w:noProof/>
                <w:webHidden/>
              </w:rPr>
              <w:t>42</w:t>
            </w:r>
            <w:r w:rsidR="00BF2026">
              <w:rPr>
                <w:noProof/>
                <w:webHidden/>
              </w:rPr>
              <w:fldChar w:fldCharType="end"/>
            </w:r>
          </w:hyperlink>
        </w:p>
        <w:p w14:paraId="21E16228" w14:textId="09343EB0" w:rsidR="00BF2026" w:rsidRDefault="00000000">
          <w:pPr>
            <w:pStyle w:val="Spistreci2"/>
            <w:rPr>
              <w:rFonts w:eastAsiaTheme="minorEastAsia" w:cstheme="minorBidi"/>
              <w:smallCaps w:val="0"/>
              <w:noProof/>
              <w:sz w:val="22"/>
              <w:szCs w:val="22"/>
              <w:lang w:eastAsia="pl-PL"/>
            </w:rPr>
          </w:pPr>
          <w:hyperlink w:anchor="_Toc120464381" w:history="1">
            <w:r w:rsidR="00BF2026" w:rsidRPr="001733C2">
              <w:rPr>
                <w:rStyle w:val="Hipercze"/>
                <w:noProof/>
              </w:rPr>
              <w:t>CEL SZCZEGÓŁOWY: RSO2.1. Wspieranie efektywności energetycznej i redukcji emisji gazów cieplarnianych (EFRR)</w:t>
            </w:r>
            <w:r w:rsidR="00BF2026">
              <w:rPr>
                <w:noProof/>
                <w:webHidden/>
              </w:rPr>
              <w:tab/>
            </w:r>
            <w:r w:rsidR="00BF2026">
              <w:rPr>
                <w:noProof/>
                <w:webHidden/>
              </w:rPr>
              <w:fldChar w:fldCharType="begin"/>
            </w:r>
            <w:r w:rsidR="00BF2026">
              <w:rPr>
                <w:noProof/>
                <w:webHidden/>
              </w:rPr>
              <w:instrText xml:space="preserve"> PAGEREF _Toc120464381 \h </w:instrText>
            </w:r>
            <w:r w:rsidR="00BF2026">
              <w:rPr>
                <w:noProof/>
                <w:webHidden/>
              </w:rPr>
            </w:r>
            <w:r w:rsidR="00BF2026">
              <w:rPr>
                <w:noProof/>
                <w:webHidden/>
              </w:rPr>
              <w:fldChar w:fldCharType="separate"/>
            </w:r>
            <w:r w:rsidR="008C795B">
              <w:rPr>
                <w:noProof/>
                <w:webHidden/>
              </w:rPr>
              <w:t>42</w:t>
            </w:r>
            <w:r w:rsidR="00BF2026">
              <w:rPr>
                <w:noProof/>
                <w:webHidden/>
              </w:rPr>
              <w:fldChar w:fldCharType="end"/>
            </w:r>
          </w:hyperlink>
        </w:p>
        <w:p w14:paraId="5E7F50E0" w14:textId="55EAC6A6" w:rsidR="00BF2026" w:rsidRDefault="00000000">
          <w:pPr>
            <w:pStyle w:val="Spistreci2"/>
            <w:rPr>
              <w:rFonts w:eastAsiaTheme="minorEastAsia" w:cstheme="minorBidi"/>
              <w:smallCaps w:val="0"/>
              <w:noProof/>
              <w:sz w:val="22"/>
              <w:szCs w:val="22"/>
              <w:lang w:eastAsia="pl-PL"/>
            </w:rPr>
          </w:pPr>
          <w:hyperlink w:anchor="_Toc120464382"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_Toc120464382 \h </w:instrText>
            </w:r>
            <w:r w:rsidR="00BF2026">
              <w:rPr>
                <w:noProof/>
                <w:webHidden/>
              </w:rPr>
            </w:r>
            <w:r w:rsidR="00BF2026">
              <w:rPr>
                <w:noProof/>
                <w:webHidden/>
              </w:rPr>
              <w:fldChar w:fldCharType="separate"/>
            </w:r>
            <w:r w:rsidR="008C795B">
              <w:rPr>
                <w:noProof/>
                <w:webHidden/>
              </w:rPr>
              <w:t>42</w:t>
            </w:r>
            <w:r w:rsidR="00BF2026">
              <w:rPr>
                <w:noProof/>
                <w:webHidden/>
              </w:rPr>
              <w:fldChar w:fldCharType="end"/>
            </w:r>
          </w:hyperlink>
        </w:p>
        <w:p w14:paraId="554E91FE" w14:textId="16A9B0D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83"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_Toc120464383 \h </w:instrText>
            </w:r>
            <w:r w:rsidR="00BF2026">
              <w:rPr>
                <w:noProof/>
                <w:webHidden/>
              </w:rPr>
            </w:r>
            <w:r w:rsidR="00BF2026">
              <w:rPr>
                <w:noProof/>
                <w:webHidden/>
              </w:rPr>
              <w:fldChar w:fldCharType="separate"/>
            </w:r>
            <w:r w:rsidR="008C795B">
              <w:rPr>
                <w:noProof/>
                <w:webHidden/>
              </w:rPr>
              <w:t>43</w:t>
            </w:r>
            <w:r w:rsidR="00BF2026">
              <w:rPr>
                <w:noProof/>
                <w:webHidden/>
              </w:rPr>
              <w:fldChar w:fldCharType="end"/>
            </w:r>
          </w:hyperlink>
        </w:p>
        <w:p w14:paraId="42439756" w14:textId="5FF89C2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84" w:history="1">
            <w:r w:rsidR="00BF2026" w:rsidRPr="001733C2">
              <w:rPr>
                <w:rStyle w:val="Hipercze"/>
                <w:rFonts w:eastAsia="Times New Roman"/>
                <w:bCs/>
                <w:noProof/>
              </w:rPr>
              <w:t>Budynki publiczne o lepszejcharakterystyce energetycznej</w:t>
            </w:r>
            <w:r w:rsidR="00BF2026">
              <w:rPr>
                <w:noProof/>
                <w:webHidden/>
              </w:rPr>
              <w:tab/>
            </w:r>
            <w:r w:rsidR="00BF2026">
              <w:rPr>
                <w:noProof/>
                <w:webHidden/>
              </w:rPr>
              <w:fldChar w:fldCharType="begin"/>
            </w:r>
            <w:r w:rsidR="00BF2026">
              <w:rPr>
                <w:noProof/>
                <w:webHidden/>
              </w:rPr>
              <w:instrText xml:space="preserve"> PAGEREF _Toc120464384 \h </w:instrText>
            </w:r>
            <w:r w:rsidR="00BF2026">
              <w:rPr>
                <w:noProof/>
                <w:webHidden/>
              </w:rPr>
            </w:r>
            <w:r w:rsidR="00BF2026">
              <w:rPr>
                <w:noProof/>
                <w:webHidden/>
              </w:rPr>
              <w:fldChar w:fldCharType="separate"/>
            </w:r>
            <w:r w:rsidR="008C795B">
              <w:rPr>
                <w:noProof/>
                <w:webHidden/>
              </w:rPr>
              <w:t>44</w:t>
            </w:r>
            <w:r w:rsidR="00BF2026">
              <w:rPr>
                <w:noProof/>
                <w:webHidden/>
              </w:rPr>
              <w:fldChar w:fldCharType="end"/>
            </w:r>
          </w:hyperlink>
        </w:p>
        <w:p w14:paraId="3611A4D2" w14:textId="07A6D39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85" w:history="1">
            <w:r w:rsidR="00BF2026" w:rsidRPr="001733C2">
              <w:rPr>
                <w:rStyle w:val="Hipercze"/>
                <w:rFonts w:eastAsia="Times New Roman"/>
                <w:bCs/>
                <w:noProof/>
              </w:rPr>
              <w:t>Lokale mieszkalne o lepszej udoskonalonej charakterystyce energetycznej</w:t>
            </w:r>
            <w:r w:rsidR="00BF2026">
              <w:rPr>
                <w:noProof/>
                <w:webHidden/>
              </w:rPr>
              <w:tab/>
            </w:r>
            <w:r w:rsidR="00BF2026">
              <w:rPr>
                <w:noProof/>
                <w:webHidden/>
              </w:rPr>
              <w:fldChar w:fldCharType="begin"/>
            </w:r>
            <w:r w:rsidR="00BF2026">
              <w:rPr>
                <w:noProof/>
                <w:webHidden/>
              </w:rPr>
              <w:instrText xml:space="preserve"> PAGEREF _Toc120464385 \h </w:instrText>
            </w:r>
            <w:r w:rsidR="00BF2026">
              <w:rPr>
                <w:noProof/>
                <w:webHidden/>
              </w:rPr>
            </w:r>
            <w:r w:rsidR="00BF2026">
              <w:rPr>
                <w:noProof/>
                <w:webHidden/>
              </w:rPr>
              <w:fldChar w:fldCharType="separate"/>
            </w:r>
            <w:r w:rsidR="008C795B">
              <w:rPr>
                <w:noProof/>
                <w:webHidden/>
              </w:rPr>
              <w:t>45</w:t>
            </w:r>
            <w:r w:rsidR="00BF2026">
              <w:rPr>
                <w:noProof/>
                <w:webHidden/>
              </w:rPr>
              <w:fldChar w:fldCharType="end"/>
            </w:r>
          </w:hyperlink>
        </w:p>
        <w:p w14:paraId="5DECD950" w14:textId="364D705E" w:rsidR="00BF2026" w:rsidRDefault="00000000">
          <w:pPr>
            <w:pStyle w:val="Spistreci2"/>
            <w:rPr>
              <w:rFonts w:eastAsiaTheme="minorEastAsia" w:cstheme="minorBidi"/>
              <w:smallCaps w:val="0"/>
              <w:noProof/>
              <w:sz w:val="22"/>
              <w:szCs w:val="22"/>
              <w:lang w:eastAsia="pl-PL"/>
            </w:rPr>
          </w:pPr>
          <w:hyperlink w:anchor="_Toc120464386"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_Toc120464386 \h </w:instrText>
            </w:r>
            <w:r w:rsidR="00BF2026">
              <w:rPr>
                <w:noProof/>
                <w:webHidden/>
              </w:rPr>
            </w:r>
            <w:r w:rsidR="00BF2026">
              <w:rPr>
                <w:noProof/>
                <w:webHidden/>
              </w:rPr>
              <w:fldChar w:fldCharType="separate"/>
            </w:r>
            <w:r w:rsidR="008C795B">
              <w:rPr>
                <w:noProof/>
                <w:webHidden/>
              </w:rPr>
              <w:t>46</w:t>
            </w:r>
            <w:r w:rsidR="00BF2026">
              <w:rPr>
                <w:noProof/>
                <w:webHidden/>
              </w:rPr>
              <w:fldChar w:fldCharType="end"/>
            </w:r>
          </w:hyperlink>
        </w:p>
        <w:p w14:paraId="6259C7C6" w14:textId="5370CD61"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87" w:history="1">
            <w:r w:rsidR="00BF2026" w:rsidRPr="001733C2">
              <w:rPr>
                <w:rStyle w:val="Hipercze"/>
                <w:rFonts w:eastAsia="Times New Roman"/>
                <w:bCs/>
                <w:noProof/>
              </w:rPr>
              <w:t>Roczne zużycie energii pierwotnej (w tym: w lokalach mieszkalnych, budynkach publicznych, przedsiębiorstwach, innych)</w:t>
            </w:r>
            <w:r w:rsidR="00BF2026">
              <w:rPr>
                <w:noProof/>
                <w:webHidden/>
              </w:rPr>
              <w:tab/>
            </w:r>
            <w:r w:rsidR="00BF2026">
              <w:rPr>
                <w:noProof/>
                <w:webHidden/>
              </w:rPr>
              <w:fldChar w:fldCharType="begin"/>
            </w:r>
            <w:r w:rsidR="00BF2026">
              <w:rPr>
                <w:noProof/>
                <w:webHidden/>
              </w:rPr>
              <w:instrText xml:space="preserve"> PAGEREF _Toc120464387 \h </w:instrText>
            </w:r>
            <w:r w:rsidR="00BF2026">
              <w:rPr>
                <w:noProof/>
                <w:webHidden/>
              </w:rPr>
            </w:r>
            <w:r w:rsidR="00BF2026">
              <w:rPr>
                <w:noProof/>
                <w:webHidden/>
              </w:rPr>
              <w:fldChar w:fldCharType="separate"/>
            </w:r>
            <w:r w:rsidR="008C795B">
              <w:rPr>
                <w:noProof/>
                <w:webHidden/>
              </w:rPr>
              <w:t>47</w:t>
            </w:r>
            <w:r w:rsidR="00BF2026">
              <w:rPr>
                <w:noProof/>
                <w:webHidden/>
              </w:rPr>
              <w:fldChar w:fldCharType="end"/>
            </w:r>
          </w:hyperlink>
        </w:p>
        <w:p w14:paraId="2951DE7B" w14:textId="46A6AE8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88" w:history="1">
            <w:r w:rsidR="00BF2026" w:rsidRPr="001733C2">
              <w:rPr>
                <w:rStyle w:val="Hipercze"/>
                <w:rFonts w:eastAsia="Times New Roman"/>
                <w:bCs/>
                <w:noProof/>
              </w:rPr>
              <w:t>Szacowana emisja gazów cieplarnianych</w:t>
            </w:r>
            <w:r w:rsidR="00BF2026">
              <w:rPr>
                <w:noProof/>
                <w:webHidden/>
              </w:rPr>
              <w:tab/>
            </w:r>
            <w:r w:rsidR="00BF2026">
              <w:rPr>
                <w:noProof/>
                <w:webHidden/>
              </w:rPr>
              <w:fldChar w:fldCharType="begin"/>
            </w:r>
            <w:r w:rsidR="00BF2026">
              <w:rPr>
                <w:noProof/>
                <w:webHidden/>
              </w:rPr>
              <w:instrText xml:space="preserve"> PAGEREF _Toc120464388 \h </w:instrText>
            </w:r>
            <w:r w:rsidR="00BF2026">
              <w:rPr>
                <w:noProof/>
                <w:webHidden/>
              </w:rPr>
            </w:r>
            <w:r w:rsidR="00BF2026">
              <w:rPr>
                <w:noProof/>
                <w:webHidden/>
              </w:rPr>
              <w:fldChar w:fldCharType="separate"/>
            </w:r>
            <w:r w:rsidR="008C795B">
              <w:rPr>
                <w:noProof/>
                <w:webHidden/>
              </w:rPr>
              <w:t>47</w:t>
            </w:r>
            <w:r w:rsidR="00BF2026">
              <w:rPr>
                <w:noProof/>
                <w:webHidden/>
              </w:rPr>
              <w:fldChar w:fldCharType="end"/>
            </w:r>
          </w:hyperlink>
        </w:p>
        <w:p w14:paraId="44D0EF92" w14:textId="1E30A0C9" w:rsidR="00BF2026" w:rsidRDefault="00000000">
          <w:pPr>
            <w:pStyle w:val="Spistreci2"/>
            <w:rPr>
              <w:rFonts w:eastAsiaTheme="minorEastAsia" w:cstheme="minorBidi"/>
              <w:smallCaps w:val="0"/>
              <w:noProof/>
              <w:sz w:val="22"/>
              <w:szCs w:val="22"/>
              <w:lang w:eastAsia="pl-PL"/>
            </w:rPr>
          </w:pPr>
          <w:hyperlink w:anchor="_Toc120464389" w:history="1">
            <w:r w:rsidR="00BF2026" w:rsidRPr="001733C2">
              <w:rPr>
                <w:rStyle w:val="Hipercze"/>
                <w:noProof/>
              </w:rPr>
              <w:t>CEL SZCZEGÓŁOWY: RSO2.2. Wspieranie energii odnawialnej zgodnie z dyrektywą (UE) 2018/2001 w sprawie energii odnawialnej, w tym określonymi w niej kryteriami zrównoważonego rozwoju (EFRR)</w:t>
            </w:r>
            <w:r w:rsidR="00BF2026">
              <w:rPr>
                <w:noProof/>
                <w:webHidden/>
              </w:rPr>
              <w:tab/>
            </w:r>
            <w:r w:rsidR="00BF2026">
              <w:rPr>
                <w:noProof/>
                <w:webHidden/>
              </w:rPr>
              <w:fldChar w:fldCharType="begin"/>
            </w:r>
            <w:r w:rsidR="00BF2026">
              <w:rPr>
                <w:noProof/>
                <w:webHidden/>
              </w:rPr>
              <w:instrText xml:space="preserve"> PAGEREF _Toc120464389 \h </w:instrText>
            </w:r>
            <w:r w:rsidR="00BF2026">
              <w:rPr>
                <w:noProof/>
                <w:webHidden/>
              </w:rPr>
            </w:r>
            <w:r w:rsidR="00BF2026">
              <w:rPr>
                <w:noProof/>
                <w:webHidden/>
              </w:rPr>
              <w:fldChar w:fldCharType="separate"/>
            </w:r>
            <w:r w:rsidR="008C795B">
              <w:rPr>
                <w:noProof/>
                <w:webHidden/>
              </w:rPr>
              <w:t>48</w:t>
            </w:r>
            <w:r w:rsidR="00BF2026">
              <w:rPr>
                <w:noProof/>
                <w:webHidden/>
              </w:rPr>
              <w:fldChar w:fldCharType="end"/>
            </w:r>
          </w:hyperlink>
        </w:p>
        <w:p w14:paraId="1E839A8B" w14:textId="530D36EF" w:rsidR="00BF2026" w:rsidRDefault="00000000">
          <w:pPr>
            <w:pStyle w:val="Spistreci2"/>
            <w:rPr>
              <w:rFonts w:eastAsiaTheme="minorEastAsia" w:cstheme="minorBidi"/>
              <w:smallCaps w:val="0"/>
              <w:noProof/>
              <w:sz w:val="22"/>
              <w:szCs w:val="22"/>
              <w:lang w:eastAsia="pl-PL"/>
            </w:rPr>
          </w:pPr>
          <w:hyperlink w:anchor="_Toc120464390"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_Toc120464390 \h </w:instrText>
            </w:r>
            <w:r w:rsidR="00BF2026">
              <w:rPr>
                <w:noProof/>
                <w:webHidden/>
              </w:rPr>
            </w:r>
            <w:r w:rsidR="00BF2026">
              <w:rPr>
                <w:noProof/>
                <w:webHidden/>
              </w:rPr>
              <w:fldChar w:fldCharType="separate"/>
            </w:r>
            <w:r w:rsidR="008C795B">
              <w:rPr>
                <w:noProof/>
                <w:webHidden/>
              </w:rPr>
              <w:t>48</w:t>
            </w:r>
            <w:r w:rsidR="00BF2026">
              <w:rPr>
                <w:noProof/>
                <w:webHidden/>
              </w:rPr>
              <w:fldChar w:fldCharType="end"/>
            </w:r>
          </w:hyperlink>
        </w:p>
        <w:p w14:paraId="39CC8C8E" w14:textId="73A6E67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91" w:history="1">
            <w:r w:rsidR="00BF2026" w:rsidRPr="001733C2">
              <w:rPr>
                <w:rStyle w:val="Hipercze"/>
                <w:rFonts w:eastAsia="Times New Roman"/>
                <w:bCs/>
                <w:noProof/>
              </w:rPr>
              <w:t>Dodatkowa zdolność wytwarzania energii odnawialnej (w tym: energii elektrycznej, energii cieplnej)</w:t>
            </w:r>
            <w:r w:rsidR="00BF2026">
              <w:rPr>
                <w:noProof/>
                <w:webHidden/>
              </w:rPr>
              <w:tab/>
            </w:r>
            <w:r w:rsidR="00BF2026">
              <w:rPr>
                <w:noProof/>
                <w:webHidden/>
              </w:rPr>
              <w:fldChar w:fldCharType="begin"/>
            </w:r>
            <w:r w:rsidR="00BF2026">
              <w:rPr>
                <w:noProof/>
                <w:webHidden/>
              </w:rPr>
              <w:instrText xml:space="preserve"> PAGEREF _Toc120464391 \h </w:instrText>
            </w:r>
            <w:r w:rsidR="00BF2026">
              <w:rPr>
                <w:noProof/>
                <w:webHidden/>
              </w:rPr>
            </w:r>
            <w:r w:rsidR="00BF2026">
              <w:rPr>
                <w:noProof/>
                <w:webHidden/>
              </w:rPr>
              <w:fldChar w:fldCharType="separate"/>
            </w:r>
            <w:r w:rsidR="008C795B">
              <w:rPr>
                <w:noProof/>
                <w:webHidden/>
              </w:rPr>
              <w:t>49</w:t>
            </w:r>
            <w:r w:rsidR="00BF2026">
              <w:rPr>
                <w:noProof/>
                <w:webHidden/>
              </w:rPr>
              <w:fldChar w:fldCharType="end"/>
            </w:r>
          </w:hyperlink>
        </w:p>
        <w:p w14:paraId="7738F70E" w14:textId="7F446943" w:rsidR="00BF2026" w:rsidRDefault="00000000">
          <w:pPr>
            <w:pStyle w:val="Spistreci2"/>
            <w:rPr>
              <w:rFonts w:eastAsiaTheme="minorEastAsia" w:cstheme="minorBidi"/>
              <w:smallCaps w:val="0"/>
              <w:noProof/>
              <w:sz w:val="22"/>
              <w:szCs w:val="22"/>
              <w:lang w:eastAsia="pl-PL"/>
            </w:rPr>
          </w:pPr>
          <w:hyperlink w:anchor="_Toc120464392"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_Toc120464392 \h </w:instrText>
            </w:r>
            <w:r w:rsidR="00BF2026">
              <w:rPr>
                <w:noProof/>
                <w:webHidden/>
              </w:rPr>
            </w:r>
            <w:r w:rsidR="00BF2026">
              <w:rPr>
                <w:noProof/>
                <w:webHidden/>
              </w:rPr>
              <w:fldChar w:fldCharType="separate"/>
            </w:r>
            <w:r w:rsidR="008C795B">
              <w:rPr>
                <w:noProof/>
                <w:webHidden/>
              </w:rPr>
              <w:t>50</w:t>
            </w:r>
            <w:r w:rsidR="00BF2026">
              <w:rPr>
                <w:noProof/>
                <w:webHidden/>
              </w:rPr>
              <w:fldChar w:fldCharType="end"/>
            </w:r>
          </w:hyperlink>
        </w:p>
        <w:p w14:paraId="5F6ABB43" w14:textId="20497B1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93" w:history="1">
            <w:r w:rsidR="00BF2026" w:rsidRPr="001733C2">
              <w:rPr>
                <w:rStyle w:val="Hipercze"/>
                <w:rFonts w:eastAsia="Times New Roman"/>
                <w:bCs/>
                <w:noProof/>
              </w:rPr>
              <w:t>Dodatkowa moc zainstalowana odnawialnych źródeł energii</w:t>
            </w:r>
            <w:r w:rsidR="00BF2026">
              <w:rPr>
                <w:noProof/>
                <w:webHidden/>
              </w:rPr>
              <w:tab/>
            </w:r>
            <w:r w:rsidR="00BF2026">
              <w:rPr>
                <w:noProof/>
                <w:webHidden/>
              </w:rPr>
              <w:fldChar w:fldCharType="begin"/>
            </w:r>
            <w:r w:rsidR="00BF2026">
              <w:rPr>
                <w:noProof/>
                <w:webHidden/>
              </w:rPr>
              <w:instrText xml:space="preserve"> PAGEREF _Toc120464393 \h </w:instrText>
            </w:r>
            <w:r w:rsidR="00BF2026">
              <w:rPr>
                <w:noProof/>
                <w:webHidden/>
              </w:rPr>
            </w:r>
            <w:r w:rsidR="00BF2026">
              <w:rPr>
                <w:noProof/>
                <w:webHidden/>
              </w:rPr>
              <w:fldChar w:fldCharType="separate"/>
            </w:r>
            <w:r w:rsidR="008C795B">
              <w:rPr>
                <w:noProof/>
                <w:webHidden/>
              </w:rPr>
              <w:t>50</w:t>
            </w:r>
            <w:r w:rsidR="00BF2026">
              <w:rPr>
                <w:noProof/>
                <w:webHidden/>
              </w:rPr>
              <w:fldChar w:fldCharType="end"/>
            </w:r>
          </w:hyperlink>
        </w:p>
        <w:p w14:paraId="1C9ED7D4" w14:textId="1F48B00C" w:rsidR="00BF2026" w:rsidRDefault="00000000">
          <w:pPr>
            <w:pStyle w:val="Spistreci2"/>
            <w:rPr>
              <w:rFonts w:eastAsiaTheme="minorEastAsia" w:cstheme="minorBidi"/>
              <w:smallCaps w:val="0"/>
              <w:noProof/>
              <w:sz w:val="22"/>
              <w:szCs w:val="22"/>
              <w:lang w:eastAsia="pl-PL"/>
            </w:rPr>
          </w:pPr>
          <w:hyperlink w:anchor="_Toc120464394" w:history="1">
            <w:r w:rsidR="00BF2026" w:rsidRPr="001733C2">
              <w:rPr>
                <w:rStyle w:val="Hipercze"/>
                <w:noProof/>
              </w:rPr>
              <w:t>CEL SZCZEGÓŁOWY: RSO2.5. Wspieranie dostępu do wody oraz zrównoważonej gospodarki wodnej (EFRR)</w:t>
            </w:r>
            <w:r w:rsidR="00BF2026">
              <w:rPr>
                <w:noProof/>
                <w:webHidden/>
              </w:rPr>
              <w:tab/>
            </w:r>
            <w:r w:rsidR="00BF2026">
              <w:rPr>
                <w:noProof/>
                <w:webHidden/>
              </w:rPr>
              <w:fldChar w:fldCharType="begin"/>
            </w:r>
            <w:r w:rsidR="00BF2026">
              <w:rPr>
                <w:noProof/>
                <w:webHidden/>
              </w:rPr>
              <w:instrText xml:space="preserve"> PAGEREF _Toc120464394 \h </w:instrText>
            </w:r>
            <w:r w:rsidR="00BF2026">
              <w:rPr>
                <w:noProof/>
                <w:webHidden/>
              </w:rPr>
            </w:r>
            <w:r w:rsidR="00BF2026">
              <w:rPr>
                <w:noProof/>
                <w:webHidden/>
              </w:rPr>
              <w:fldChar w:fldCharType="separate"/>
            </w:r>
            <w:r w:rsidR="008C795B">
              <w:rPr>
                <w:noProof/>
                <w:webHidden/>
              </w:rPr>
              <w:t>51</w:t>
            </w:r>
            <w:r w:rsidR="00BF2026">
              <w:rPr>
                <w:noProof/>
                <w:webHidden/>
              </w:rPr>
              <w:fldChar w:fldCharType="end"/>
            </w:r>
          </w:hyperlink>
        </w:p>
        <w:p w14:paraId="14CA955E" w14:textId="2332D50D" w:rsidR="00BF2026" w:rsidRDefault="00000000">
          <w:pPr>
            <w:pStyle w:val="Spistreci2"/>
            <w:rPr>
              <w:rFonts w:eastAsiaTheme="minorEastAsia" w:cstheme="minorBidi"/>
              <w:smallCaps w:val="0"/>
              <w:noProof/>
              <w:sz w:val="22"/>
              <w:szCs w:val="22"/>
              <w:lang w:eastAsia="pl-PL"/>
            </w:rPr>
          </w:pPr>
          <w:hyperlink w:anchor="_Toc120464395"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_Toc120464395 \h </w:instrText>
            </w:r>
            <w:r w:rsidR="00BF2026">
              <w:rPr>
                <w:noProof/>
                <w:webHidden/>
              </w:rPr>
            </w:r>
            <w:r w:rsidR="00BF2026">
              <w:rPr>
                <w:noProof/>
                <w:webHidden/>
              </w:rPr>
              <w:fldChar w:fldCharType="separate"/>
            </w:r>
            <w:r w:rsidR="008C795B">
              <w:rPr>
                <w:noProof/>
                <w:webHidden/>
              </w:rPr>
              <w:t>51</w:t>
            </w:r>
            <w:r w:rsidR="00BF2026">
              <w:rPr>
                <w:noProof/>
                <w:webHidden/>
              </w:rPr>
              <w:fldChar w:fldCharType="end"/>
            </w:r>
          </w:hyperlink>
        </w:p>
        <w:p w14:paraId="3AD0F736" w14:textId="32C76F1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96"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_Toc120464396 \h </w:instrText>
            </w:r>
            <w:r w:rsidR="00BF2026">
              <w:rPr>
                <w:noProof/>
                <w:webHidden/>
              </w:rPr>
            </w:r>
            <w:r w:rsidR="00BF2026">
              <w:rPr>
                <w:noProof/>
                <w:webHidden/>
              </w:rPr>
              <w:fldChar w:fldCharType="separate"/>
            </w:r>
            <w:r w:rsidR="008C795B">
              <w:rPr>
                <w:noProof/>
                <w:webHidden/>
              </w:rPr>
              <w:t>53</w:t>
            </w:r>
            <w:r w:rsidR="00BF2026">
              <w:rPr>
                <w:noProof/>
                <w:webHidden/>
              </w:rPr>
              <w:fldChar w:fldCharType="end"/>
            </w:r>
          </w:hyperlink>
        </w:p>
        <w:p w14:paraId="7DA8B811" w14:textId="4D4BD3B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97" w:history="1">
            <w:r w:rsidR="00BF2026" w:rsidRPr="001733C2">
              <w:rPr>
                <w:rStyle w:val="Hipercze"/>
                <w:rFonts w:eastAsia="Times New Roman"/>
                <w:bCs/>
                <w:noProof/>
              </w:rPr>
              <w:t>Długość nowych lub zmodernizowanych sieci kanalizacyjnych w ramach zbiorowych systemów odprowadzania ścieków</w:t>
            </w:r>
            <w:r w:rsidR="00BF2026">
              <w:rPr>
                <w:noProof/>
                <w:webHidden/>
              </w:rPr>
              <w:tab/>
            </w:r>
            <w:r w:rsidR="00BF2026">
              <w:rPr>
                <w:noProof/>
                <w:webHidden/>
              </w:rPr>
              <w:fldChar w:fldCharType="begin"/>
            </w:r>
            <w:r w:rsidR="00BF2026">
              <w:rPr>
                <w:noProof/>
                <w:webHidden/>
              </w:rPr>
              <w:instrText xml:space="preserve"> PAGEREF _Toc120464397 \h </w:instrText>
            </w:r>
            <w:r w:rsidR="00BF2026">
              <w:rPr>
                <w:noProof/>
                <w:webHidden/>
              </w:rPr>
            </w:r>
            <w:r w:rsidR="00BF2026">
              <w:rPr>
                <w:noProof/>
                <w:webHidden/>
              </w:rPr>
              <w:fldChar w:fldCharType="separate"/>
            </w:r>
            <w:r w:rsidR="008C795B">
              <w:rPr>
                <w:noProof/>
                <w:webHidden/>
              </w:rPr>
              <w:t>53</w:t>
            </w:r>
            <w:r w:rsidR="00BF2026">
              <w:rPr>
                <w:noProof/>
                <w:webHidden/>
              </w:rPr>
              <w:fldChar w:fldCharType="end"/>
            </w:r>
          </w:hyperlink>
        </w:p>
        <w:p w14:paraId="4CAA6221" w14:textId="1A2F4A8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398" w:history="1">
            <w:r w:rsidR="00BF2026" w:rsidRPr="001733C2">
              <w:rPr>
                <w:rStyle w:val="Hipercze"/>
                <w:rFonts w:eastAsia="Times New Roman"/>
                <w:bCs/>
                <w:noProof/>
              </w:rPr>
              <w:t>Wydajność nowo wybudowanych lub zmoderniozowanych instalacji oczyszczania ścieków</w:t>
            </w:r>
            <w:r w:rsidR="00BF2026">
              <w:rPr>
                <w:noProof/>
                <w:webHidden/>
              </w:rPr>
              <w:tab/>
            </w:r>
            <w:r w:rsidR="00BF2026">
              <w:rPr>
                <w:noProof/>
                <w:webHidden/>
              </w:rPr>
              <w:fldChar w:fldCharType="begin"/>
            </w:r>
            <w:r w:rsidR="00BF2026">
              <w:rPr>
                <w:noProof/>
                <w:webHidden/>
              </w:rPr>
              <w:instrText xml:space="preserve"> PAGEREF _Toc120464398 \h </w:instrText>
            </w:r>
            <w:r w:rsidR="00BF2026">
              <w:rPr>
                <w:noProof/>
                <w:webHidden/>
              </w:rPr>
            </w:r>
            <w:r w:rsidR="00BF2026">
              <w:rPr>
                <w:noProof/>
                <w:webHidden/>
              </w:rPr>
              <w:fldChar w:fldCharType="separate"/>
            </w:r>
            <w:r w:rsidR="008C795B">
              <w:rPr>
                <w:noProof/>
                <w:webHidden/>
              </w:rPr>
              <w:t>55</w:t>
            </w:r>
            <w:r w:rsidR="00BF2026">
              <w:rPr>
                <w:noProof/>
                <w:webHidden/>
              </w:rPr>
              <w:fldChar w:fldCharType="end"/>
            </w:r>
          </w:hyperlink>
        </w:p>
        <w:p w14:paraId="3F8372DD" w14:textId="0CFC98A4" w:rsidR="00BF2026" w:rsidRDefault="00000000">
          <w:pPr>
            <w:pStyle w:val="Spistreci2"/>
            <w:rPr>
              <w:rFonts w:eastAsiaTheme="minorEastAsia" w:cstheme="minorBidi"/>
              <w:smallCaps w:val="0"/>
              <w:noProof/>
              <w:sz w:val="22"/>
              <w:szCs w:val="22"/>
              <w:lang w:eastAsia="pl-PL"/>
            </w:rPr>
          </w:pPr>
          <w:hyperlink w:anchor="_Toc120464399"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_Toc120464399 \h </w:instrText>
            </w:r>
            <w:r w:rsidR="00BF2026">
              <w:rPr>
                <w:noProof/>
                <w:webHidden/>
              </w:rPr>
            </w:r>
            <w:r w:rsidR="00BF2026">
              <w:rPr>
                <w:noProof/>
                <w:webHidden/>
              </w:rPr>
              <w:fldChar w:fldCharType="separate"/>
            </w:r>
            <w:r w:rsidR="008C795B">
              <w:rPr>
                <w:noProof/>
                <w:webHidden/>
              </w:rPr>
              <w:t>56</w:t>
            </w:r>
            <w:r w:rsidR="00BF2026">
              <w:rPr>
                <w:noProof/>
                <w:webHidden/>
              </w:rPr>
              <w:fldChar w:fldCharType="end"/>
            </w:r>
          </w:hyperlink>
        </w:p>
        <w:p w14:paraId="30DA7130" w14:textId="16C04CFC"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00" w:history="1">
            <w:r w:rsidR="00BF2026" w:rsidRPr="001733C2">
              <w:rPr>
                <w:rStyle w:val="Hipercze"/>
                <w:rFonts w:eastAsia="Times New Roman"/>
                <w:bCs/>
                <w:noProof/>
              </w:rPr>
              <w:t>Ludność przyłączona do zbiorowych systemów oczyszczania ścieków co najmniej II stopnia</w:t>
            </w:r>
            <w:r w:rsidR="00BF2026">
              <w:rPr>
                <w:noProof/>
                <w:webHidden/>
              </w:rPr>
              <w:tab/>
            </w:r>
            <w:r w:rsidR="00BF2026">
              <w:rPr>
                <w:noProof/>
                <w:webHidden/>
              </w:rPr>
              <w:fldChar w:fldCharType="begin"/>
            </w:r>
            <w:r w:rsidR="00BF2026">
              <w:rPr>
                <w:noProof/>
                <w:webHidden/>
              </w:rPr>
              <w:instrText xml:space="preserve"> PAGEREF _Toc120464400 \h </w:instrText>
            </w:r>
            <w:r w:rsidR="00BF2026">
              <w:rPr>
                <w:noProof/>
                <w:webHidden/>
              </w:rPr>
            </w:r>
            <w:r w:rsidR="00BF2026">
              <w:rPr>
                <w:noProof/>
                <w:webHidden/>
              </w:rPr>
              <w:fldChar w:fldCharType="separate"/>
            </w:r>
            <w:r w:rsidR="008C795B">
              <w:rPr>
                <w:noProof/>
                <w:webHidden/>
              </w:rPr>
              <w:t>56</w:t>
            </w:r>
            <w:r w:rsidR="00BF2026">
              <w:rPr>
                <w:noProof/>
                <w:webHidden/>
              </w:rPr>
              <w:fldChar w:fldCharType="end"/>
            </w:r>
          </w:hyperlink>
        </w:p>
        <w:p w14:paraId="4734FD4D" w14:textId="051E8818" w:rsidR="00BF2026" w:rsidRDefault="00000000">
          <w:pPr>
            <w:pStyle w:val="Spistreci2"/>
            <w:rPr>
              <w:rFonts w:eastAsiaTheme="minorEastAsia" w:cstheme="minorBidi"/>
              <w:smallCaps w:val="0"/>
              <w:noProof/>
              <w:sz w:val="22"/>
              <w:szCs w:val="22"/>
              <w:lang w:eastAsia="pl-PL"/>
            </w:rPr>
          </w:pPr>
          <w:hyperlink w:anchor="_Toc120464401" w:history="1">
            <w:r w:rsidR="00BF2026" w:rsidRPr="001733C2">
              <w:rPr>
                <w:rStyle w:val="Hipercze"/>
                <w:noProof/>
              </w:rPr>
              <w:t>CEL SZCZEGÓŁOWY: RSO2.7. Wzmacnianie ochrony i zachowania przyrody, różnorodności biologicznej oraz zielonej infrastruktury, w tym na obszarach miejskich, oraz ograniczanie wszelkich rodzajów zanieczyszczenia (EFRR)</w:t>
            </w:r>
            <w:r w:rsidR="00BF2026">
              <w:rPr>
                <w:noProof/>
                <w:webHidden/>
              </w:rPr>
              <w:tab/>
            </w:r>
            <w:r w:rsidR="00BF2026">
              <w:rPr>
                <w:noProof/>
                <w:webHidden/>
              </w:rPr>
              <w:fldChar w:fldCharType="begin"/>
            </w:r>
            <w:r w:rsidR="00BF2026">
              <w:rPr>
                <w:noProof/>
                <w:webHidden/>
              </w:rPr>
              <w:instrText xml:space="preserve"> PAGEREF _Toc120464401 \h </w:instrText>
            </w:r>
            <w:r w:rsidR="00BF2026">
              <w:rPr>
                <w:noProof/>
                <w:webHidden/>
              </w:rPr>
            </w:r>
            <w:r w:rsidR="00BF2026">
              <w:rPr>
                <w:noProof/>
                <w:webHidden/>
              </w:rPr>
              <w:fldChar w:fldCharType="separate"/>
            </w:r>
            <w:r w:rsidR="008C795B">
              <w:rPr>
                <w:noProof/>
                <w:webHidden/>
              </w:rPr>
              <w:t>57</w:t>
            </w:r>
            <w:r w:rsidR="00BF2026">
              <w:rPr>
                <w:noProof/>
                <w:webHidden/>
              </w:rPr>
              <w:fldChar w:fldCharType="end"/>
            </w:r>
          </w:hyperlink>
        </w:p>
        <w:p w14:paraId="56E65C05" w14:textId="63216E67" w:rsidR="00BF2026" w:rsidRDefault="00000000">
          <w:pPr>
            <w:pStyle w:val="Spistreci2"/>
            <w:rPr>
              <w:rFonts w:eastAsiaTheme="minorEastAsia" w:cstheme="minorBidi"/>
              <w:smallCaps w:val="0"/>
              <w:noProof/>
              <w:sz w:val="22"/>
              <w:szCs w:val="22"/>
              <w:lang w:eastAsia="pl-PL"/>
            </w:rPr>
          </w:pPr>
          <w:hyperlink w:anchor="_Toc120464402"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_Toc120464402 \h </w:instrText>
            </w:r>
            <w:r w:rsidR="00BF2026">
              <w:rPr>
                <w:noProof/>
                <w:webHidden/>
              </w:rPr>
            </w:r>
            <w:r w:rsidR="00BF2026">
              <w:rPr>
                <w:noProof/>
                <w:webHidden/>
              </w:rPr>
              <w:fldChar w:fldCharType="separate"/>
            </w:r>
            <w:r w:rsidR="008C795B">
              <w:rPr>
                <w:noProof/>
                <w:webHidden/>
              </w:rPr>
              <w:t>57</w:t>
            </w:r>
            <w:r w:rsidR="00BF2026">
              <w:rPr>
                <w:noProof/>
                <w:webHidden/>
              </w:rPr>
              <w:fldChar w:fldCharType="end"/>
            </w:r>
          </w:hyperlink>
        </w:p>
        <w:p w14:paraId="5E651EFB" w14:textId="3F65F91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03"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_Toc120464403 \h </w:instrText>
            </w:r>
            <w:r w:rsidR="00BF2026">
              <w:rPr>
                <w:noProof/>
                <w:webHidden/>
              </w:rPr>
            </w:r>
            <w:r w:rsidR="00BF2026">
              <w:rPr>
                <w:noProof/>
                <w:webHidden/>
              </w:rPr>
              <w:fldChar w:fldCharType="separate"/>
            </w:r>
            <w:r w:rsidR="008C795B">
              <w:rPr>
                <w:noProof/>
                <w:webHidden/>
              </w:rPr>
              <w:t>58</w:t>
            </w:r>
            <w:r w:rsidR="00BF2026">
              <w:rPr>
                <w:noProof/>
                <w:webHidden/>
              </w:rPr>
              <w:fldChar w:fldCharType="end"/>
            </w:r>
          </w:hyperlink>
        </w:p>
        <w:p w14:paraId="686263FD" w14:textId="36A5795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04" w:history="1">
            <w:r w:rsidR="00BF2026" w:rsidRPr="001733C2">
              <w:rPr>
                <w:rStyle w:val="Hipercze"/>
                <w:rFonts w:eastAsia="Times New Roman"/>
                <w:bCs/>
                <w:noProof/>
              </w:rPr>
              <w:t>Liczba wspartych form ochrony przyrody</w:t>
            </w:r>
            <w:r w:rsidR="00BF2026">
              <w:rPr>
                <w:noProof/>
                <w:webHidden/>
              </w:rPr>
              <w:tab/>
            </w:r>
            <w:r w:rsidR="00BF2026">
              <w:rPr>
                <w:noProof/>
                <w:webHidden/>
              </w:rPr>
              <w:fldChar w:fldCharType="begin"/>
            </w:r>
            <w:r w:rsidR="00BF2026">
              <w:rPr>
                <w:noProof/>
                <w:webHidden/>
              </w:rPr>
              <w:instrText xml:space="preserve"> PAGEREF _Toc120464404 \h </w:instrText>
            </w:r>
            <w:r w:rsidR="00BF2026">
              <w:rPr>
                <w:noProof/>
                <w:webHidden/>
              </w:rPr>
            </w:r>
            <w:r w:rsidR="00BF2026">
              <w:rPr>
                <w:noProof/>
                <w:webHidden/>
              </w:rPr>
              <w:fldChar w:fldCharType="separate"/>
            </w:r>
            <w:r w:rsidR="008C795B">
              <w:rPr>
                <w:noProof/>
                <w:webHidden/>
              </w:rPr>
              <w:t>59</w:t>
            </w:r>
            <w:r w:rsidR="00BF2026">
              <w:rPr>
                <w:noProof/>
                <w:webHidden/>
              </w:rPr>
              <w:fldChar w:fldCharType="end"/>
            </w:r>
          </w:hyperlink>
        </w:p>
        <w:p w14:paraId="21A2D4D4" w14:textId="484FC24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05" w:history="1">
            <w:r w:rsidR="00BF2026" w:rsidRPr="001733C2">
              <w:rPr>
                <w:rStyle w:val="Hipercze"/>
                <w:rFonts w:eastAsia="Times New Roman"/>
                <w:bCs/>
                <w:noProof/>
              </w:rPr>
              <w:t>Zielona infrastruktura wybudowana lub zmodernizowana w celu przystosowania się̨ do zmian klimatu</w:t>
            </w:r>
            <w:r w:rsidR="00BF2026">
              <w:rPr>
                <w:noProof/>
                <w:webHidden/>
              </w:rPr>
              <w:tab/>
            </w:r>
            <w:r w:rsidR="00BF2026">
              <w:rPr>
                <w:noProof/>
                <w:webHidden/>
              </w:rPr>
              <w:fldChar w:fldCharType="begin"/>
            </w:r>
            <w:r w:rsidR="00BF2026">
              <w:rPr>
                <w:noProof/>
                <w:webHidden/>
              </w:rPr>
              <w:instrText xml:space="preserve"> PAGEREF _Toc120464405 \h </w:instrText>
            </w:r>
            <w:r w:rsidR="00BF2026">
              <w:rPr>
                <w:noProof/>
                <w:webHidden/>
              </w:rPr>
            </w:r>
            <w:r w:rsidR="00BF2026">
              <w:rPr>
                <w:noProof/>
                <w:webHidden/>
              </w:rPr>
              <w:fldChar w:fldCharType="separate"/>
            </w:r>
            <w:r w:rsidR="008C795B">
              <w:rPr>
                <w:noProof/>
                <w:webHidden/>
              </w:rPr>
              <w:t>60</w:t>
            </w:r>
            <w:r w:rsidR="00BF2026">
              <w:rPr>
                <w:noProof/>
                <w:webHidden/>
              </w:rPr>
              <w:fldChar w:fldCharType="end"/>
            </w:r>
          </w:hyperlink>
        </w:p>
        <w:p w14:paraId="7ECB7C6A" w14:textId="56A48D0E" w:rsidR="00BF2026" w:rsidRDefault="00000000">
          <w:pPr>
            <w:pStyle w:val="Spistreci2"/>
            <w:rPr>
              <w:rFonts w:eastAsiaTheme="minorEastAsia" w:cstheme="minorBidi"/>
              <w:smallCaps w:val="0"/>
              <w:noProof/>
              <w:sz w:val="22"/>
              <w:szCs w:val="22"/>
              <w:lang w:eastAsia="pl-PL"/>
            </w:rPr>
          </w:pPr>
          <w:hyperlink w:anchor="_Toc120464406"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_Toc120464406 \h </w:instrText>
            </w:r>
            <w:r w:rsidR="00BF2026">
              <w:rPr>
                <w:noProof/>
                <w:webHidden/>
              </w:rPr>
            </w:r>
            <w:r w:rsidR="00BF2026">
              <w:rPr>
                <w:noProof/>
                <w:webHidden/>
              </w:rPr>
              <w:fldChar w:fldCharType="separate"/>
            </w:r>
            <w:r w:rsidR="008C795B">
              <w:rPr>
                <w:noProof/>
                <w:webHidden/>
              </w:rPr>
              <w:t>61</w:t>
            </w:r>
            <w:r w:rsidR="00BF2026">
              <w:rPr>
                <w:noProof/>
                <w:webHidden/>
              </w:rPr>
              <w:fldChar w:fldCharType="end"/>
            </w:r>
          </w:hyperlink>
        </w:p>
        <w:p w14:paraId="5F70DF93" w14:textId="61624BE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07" w:history="1">
            <w:r w:rsidR="00BF2026" w:rsidRPr="001733C2">
              <w:rPr>
                <w:rStyle w:val="Hipercze"/>
                <w:rFonts w:eastAsia="Times New Roman" w:cs="Times New Roman"/>
                <w:noProof/>
              </w:rPr>
              <w:t>Ludność mająca dostęp do nowej lub udoskonalonej zielonej infrastruktury</w:t>
            </w:r>
            <w:r w:rsidR="00BF2026">
              <w:rPr>
                <w:noProof/>
                <w:webHidden/>
              </w:rPr>
              <w:tab/>
            </w:r>
            <w:r w:rsidR="00BF2026">
              <w:rPr>
                <w:noProof/>
                <w:webHidden/>
              </w:rPr>
              <w:fldChar w:fldCharType="begin"/>
            </w:r>
            <w:r w:rsidR="00BF2026">
              <w:rPr>
                <w:noProof/>
                <w:webHidden/>
              </w:rPr>
              <w:instrText xml:space="preserve"> PAGEREF _Toc120464407 \h </w:instrText>
            </w:r>
            <w:r w:rsidR="00BF2026">
              <w:rPr>
                <w:noProof/>
                <w:webHidden/>
              </w:rPr>
            </w:r>
            <w:r w:rsidR="00BF2026">
              <w:rPr>
                <w:noProof/>
                <w:webHidden/>
              </w:rPr>
              <w:fldChar w:fldCharType="separate"/>
            </w:r>
            <w:r w:rsidR="008C795B">
              <w:rPr>
                <w:noProof/>
                <w:webHidden/>
              </w:rPr>
              <w:t>61</w:t>
            </w:r>
            <w:r w:rsidR="00BF2026">
              <w:rPr>
                <w:noProof/>
                <w:webHidden/>
              </w:rPr>
              <w:fldChar w:fldCharType="end"/>
            </w:r>
          </w:hyperlink>
        </w:p>
        <w:p w14:paraId="083DE7FE" w14:textId="03DD564F"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08" w:history="1">
            <w:r w:rsidR="00BF2026" w:rsidRPr="001733C2">
              <w:rPr>
                <w:rStyle w:val="Hipercze"/>
                <w:rFonts w:eastAsia="Times New Roman"/>
                <w:bCs/>
                <w:noProof/>
              </w:rPr>
              <w:t>Powierzchnia wspartych obszarów chronionych</w:t>
            </w:r>
            <w:r w:rsidR="00BF2026">
              <w:rPr>
                <w:noProof/>
                <w:webHidden/>
              </w:rPr>
              <w:tab/>
            </w:r>
            <w:r w:rsidR="00BF2026">
              <w:rPr>
                <w:noProof/>
                <w:webHidden/>
              </w:rPr>
              <w:fldChar w:fldCharType="begin"/>
            </w:r>
            <w:r w:rsidR="00BF2026">
              <w:rPr>
                <w:noProof/>
                <w:webHidden/>
              </w:rPr>
              <w:instrText xml:space="preserve"> PAGEREF _Toc120464408 \h </w:instrText>
            </w:r>
            <w:r w:rsidR="00BF2026">
              <w:rPr>
                <w:noProof/>
                <w:webHidden/>
              </w:rPr>
            </w:r>
            <w:r w:rsidR="00BF2026">
              <w:rPr>
                <w:noProof/>
                <w:webHidden/>
              </w:rPr>
              <w:fldChar w:fldCharType="separate"/>
            </w:r>
            <w:r w:rsidR="008C795B">
              <w:rPr>
                <w:noProof/>
                <w:webHidden/>
              </w:rPr>
              <w:t>62</w:t>
            </w:r>
            <w:r w:rsidR="00BF2026">
              <w:rPr>
                <w:noProof/>
                <w:webHidden/>
              </w:rPr>
              <w:fldChar w:fldCharType="end"/>
            </w:r>
          </w:hyperlink>
        </w:p>
        <w:p w14:paraId="49F9A9BB" w14:textId="34FC3E49" w:rsidR="00BF2026" w:rsidRDefault="00000000">
          <w:pPr>
            <w:pStyle w:val="Spistreci1"/>
            <w:rPr>
              <w:rFonts w:eastAsiaTheme="minorEastAsia" w:cstheme="minorBidi"/>
              <w:b w:val="0"/>
              <w:bCs w:val="0"/>
              <w:caps w:val="0"/>
              <w:noProof/>
              <w:sz w:val="22"/>
              <w:szCs w:val="22"/>
              <w:lang w:eastAsia="pl-PL"/>
            </w:rPr>
          </w:pPr>
          <w:hyperlink w:anchor="_Toc120464409" w:history="1">
            <w:r w:rsidR="00BF2026" w:rsidRPr="001733C2">
              <w:rPr>
                <w:rStyle w:val="Hipercze"/>
                <w:noProof/>
              </w:rPr>
              <w:t>PRIORYTET 3: FUNDUSZE EUROPEJSKIE NA RZECZ MOBILNOŚCI MIEJSKIEJ DOLNEGO ŚLĄSKA (CP2 EFRR)</w:t>
            </w:r>
            <w:r w:rsidR="00BF2026">
              <w:rPr>
                <w:noProof/>
                <w:webHidden/>
              </w:rPr>
              <w:tab/>
            </w:r>
            <w:r w:rsidR="00BF2026">
              <w:rPr>
                <w:noProof/>
                <w:webHidden/>
              </w:rPr>
              <w:fldChar w:fldCharType="begin"/>
            </w:r>
            <w:r w:rsidR="00BF2026">
              <w:rPr>
                <w:noProof/>
                <w:webHidden/>
              </w:rPr>
              <w:instrText xml:space="preserve"> PAGEREF _Toc120464409 \h </w:instrText>
            </w:r>
            <w:r w:rsidR="00BF2026">
              <w:rPr>
                <w:noProof/>
                <w:webHidden/>
              </w:rPr>
            </w:r>
            <w:r w:rsidR="00BF2026">
              <w:rPr>
                <w:noProof/>
                <w:webHidden/>
              </w:rPr>
              <w:fldChar w:fldCharType="separate"/>
            </w:r>
            <w:r w:rsidR="008C795B">
              <w:rPr>
                <w:noProof/>
                <w:webHidden/>
              </w:rPr>
              <w:t>64</w:t>
            </w:r>
            <w:r w:rsidR="00BF2026">
              <w:rPr>
                <w:noProof/>
                <w:webHidden/>
              </w:rPr>
              <w:fldChar w:fldCharType="end"/>
            </w:r>
          </w:hyperlink>
        </w:p>
        <w:p w14:paraId="09F13617" w14:textId="0E51A4D5" w:rsidR="00BF2026" w:rsidRDefault="00000000">
          <w:pPr>
            <w:pStyle w:val="Spistreci2"/>
            <w:rPr>
              <w:rFonts w:eastAsiaTheme="minorEastAsia" w:cstheme="minorBidi"/>
              <w:smallCaps w:val="0"/>
              <w:noProof/>
              <w:sz w:val="22"/>
              <w:szCs w:val="22"/>
              <w:lang w:eastAsia="pl-PL"/>
            </w:rPr>
          </w:pPr>
          <w:hyperlink w:anchor="_Toc120464410" w:history="1">
            <w:r w:rsidR="00BF2026" w:rsidRPr="001733C2">
              <w:rPr>
                <w:rStyle w:val="Hipercze"/>
                <w:noProof/>
              </w:rPr>
              <w:t>CEL SZCZEGÓŁOWY: RSO2.8. Wspieranie zrównoważonej multimodalnej mobilności miejskiej jako elementu transformacji w kierunku gospodarki zeroemisyjnej (EFRR)</w:t>
            </w:r>
            <w:r w:rsidR="00BF2026">
              <w:rPr>
                <w:noProof/>
                <w:webHidden/>
              </w:rPr>
              <w:tab/>
            </w:r>
            <w:r w:rsidR="00BF2026">
              <w:rPr>
                <w:noProof/>
                <w:webHidden/>
              </w:rPr>
              <w:fldChar w:fldCharType="begin"/>
            </w:r>
            <w:r w:rsidR="00BF2026">
              <w:rPr>
                <w:noProof/>
                <w:webHidden/>
              </w:rPr>
              <w:instrText xml:space="preserve"> PAGEREF _Toc120464410 \h </w:instrText>
            </w:r>
            <w:r w:rsidR="00BF2026">
              <w:rPr>
                <w:noProof/>
                <w:webHidden/>
              </w:rPr>
            </w:r>
            <w:r w:rsidR="00BF2026">
              <w:rPr>
                <w:noProof/>
                <w:webHidden/>
              </w:rPr>
              <w:fldChar w:fldCharType="separate"/>
            </w:r>
            <w:r w:rsidR="008C795B">
              <w:rPr>
                <w:noProof/>
                <w:webHidden/>
              </w:rPr>
              <w:t>64</w:t>
            </w:r>
            <w:r w:rsidR="00BF2026">
              <w:rPr>
                <w:noProof/>
                <w:webHidden/>
              </w:rPr>
              <w:fldChar w:fldCharType="end"/>
            </w:r>
          </w:hyperlink>
        </w:p>
        <w:p w14:paraId="05B4CAF4" w14:textId="7C1E550B" w:rsidR="00BF2026" w:rsidRDefault="00000000">
          <w:pPr>
            <w:pStyle w:val="Spistreci2"/>
            <w:rPr>
              <w:rFonts w:eastAsiaTheme="minorEastAsia" w:cstheme="minorBidi"/>
              <w:smallCaps w:val="0"/>
              <w:noProof/>
              <w:sz w:val="22"/>
              <w:szCs w:val="22"/>
              <w:lang w:eastAsia="pl-PL"/>
            </w:rPr>
          </w:pPr>
          <w:hyperlink w:anchor="_Toc120464411"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_Toc120464411 \h </w:instrText>
            </w:r>
            <w:r w:rsidR="00BF2026">
              <w:rPr>
                <w:noProof/>
                <w:webHidden/>
              </w:rPr>
            </w:r>
            <w:r w:rsidR="00BF2026">
              <w:rPr>
                <w:noProof/>
                <w:webHidden/>
              </w:rPr>
              <w:fldChar w:fldCharType="separate"/>
            </w:r>
            <w:r w:rsidR="008C795B">
              <w:rPr>
                <w:noProof/>
                <w:webHidden/>
              </w:rPr>
              <w:t>64</w:t>
            </w:r>
            <w:r w:rsidR="00BF2026">
              <w:rPr>
                <w:noProof/>
                <w:webHidden/>
              </w:rPr>
              <w:fldChar w:fldCharType="end"/>
            </w:r>
          </w:hyperlink>
        </w:p>
        <w:p w14:paraId="03DAA7C5" w14:textId="5F0CC7B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12"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_Toc120464412 \h </w:instrText>
            </w:r>
            <w:r w:rsidR="00BF2026">
              <w:rPr>
                <w:noProof/>
                <w:webHidden/>
              </w:rPr>
            </w:r>
            <w:r w:rsidR="00BF2026">
              <w:rPr>
                <w:noProof/>
                <w:webHidden/>
              </w:rPr>
              <w:fldChar w:fldCharType="separate"/>
            </w:r>
            <w:r w:rsidR="008C795B">
              <w:rPr>
                <w:noProof/>
                <w:webHidden/>
              </w:rPr>
              <w:t>65</w:t>
            </w:r>
            <w:r w:rsidR="00BF2026">
              <w:rPr>
                <w:noProof/>
                <w:webHidden/>
              </w:rPr>
              <w:fldChar w:fldCharType="end"/>
            </w:r>
          </w:hyperlink>
        </w:p>
        <w:p w14:paraId="7662DBB9" w14:textId="21AC775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13" w:history="1">
            <w:r w:rsidR="00BF2026" w:rsidRPr="001733C2">
              <w:rPr>
                <w:rStyle w:val="Hipercze"/>
                <w:rFonts w:eastAsia="Times New Roman"/>
                <w:bCs/>
                <w:noProof/>
              </w:rPr>
              <w:t>Wspierana infrastruktura rowerowa</w:t>
            </w:r>
            <w:r w:rsidR="00BF2026">
              <w:rPr>
                <w:noProof/>
                <w:webHidden/>
              </w:rPr>
              <w:tab/>
            </w:r>
            <w:r w:rsidR="00BF2026">
              <w:rPr>
                <w:noProof/>
                <w:webHidden/>
              </w:rPr>
              <w:fldChar w:fldCharType="begin"/>
            </w:r>
            <w:r w:rsidR="00BF2026">
              <w:rPr>
                <w:noProof/>
                <w:webHidden/>
              </w:rPr>
              <w:instrText xml:space="preserve"> PAGEREF _Toc120464413 \h </w:instrText>
            </w:r>
            <w:r w:rsidR="00BF2026">
              <w:rPr>
                <w:noProof/>
                <w:webHidden/>
              </w:rPr>
            </w:r>
            <w:r w:rsidR="00BF2026">
              <w:rPr>
                <w:noProof/>
                <w:webHidden/>
              </w:rPr>
              <w:fldChar w:fldCharType="separate"/>
            </w:r>
            <w:r w:rsidR="008C795B">
              <w:rPr>
                <w:noProof/>
                <w:webHidden/>
              </w:rPr>
              <w:t>65</w:t>
            </w:r>
            <w:r w:rsidR="00BF2026">
              <w:rPr>
                <w:noProof/>
                <w:webHidden/>
              </w:rPr>
              <w:fldChar w:fldCharType="end"/>
            </w:r>
          </w:hyperlink>
        </w:p>
        <w:p w14:paraId="49943A06" w14:textId="65515944"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14" w:history="1">
            <w:r w:rsidR="00BF2026" w:rsidRPr="001733C2">
              <w:rPr>
                <w:rStyle w:val="Hipercze"/>
                <w:rFonts w:eastAsia="Times New Roman"/>
                <w:bCs/>
                <w:noProof/>
              </w:rPr>
              <w:t>Pojemność ekologicznego taboru do zbiorowego transportu publicznego</w:t>
            </w:r>
            <w:r w:rsidR="00BF2026">
              <w:rPr>
                <w:noProof/>
                <w:webHidden/>
              </w:rPr>
              <w:tab/>
            </w:r>
            <w:r w:rsidR="00BF2026">
              <w:rPr>
                <w:noProof/>
                <w:webHidden/>
              </w:rPr>
              <w:fldChar w:fldCharType="begin"/>
            </w:r>
            <w:r w:rsidR="00BF2026">
              <w:rPr>
                <w:noProof/>
                <w:webHidden/>
              </w:rPr>
              <w:instrText xml:space="preserve"> PAGEREF _Toc120464414 \h </w:instrText>
            </w:r>
            <w:r w:rsidR="00BF2026">
              <w:rPr>
                <w:noProof/>
                <w:webHidden/>
              </w:rPr>
            </w:r>
            <w:r w:rsidR="00BF2026">
              <w:rPr>
                <w:noProof/>
                <w:webHidden/>
              </w:rPr>
              <w:fldChar w:fldCharType="separate"/>
            </w:r>
            <w:r w:rsidR="008C795B">
              <w:rPr>
                <w:noProof/>
                <w:webHidden/>
              </w:rPr>
              <w:t>66</w:t>
            </w:r>
            <w:r w:rsidR="00BF2026">
              <w:rPr>
                <w:noProof/>
                <w:webHidden/>
              </w:rPr>
              <w:fldChar w:fldCharType="end"/>
            </w:r>
          </w:hyperlink>
        </w:p>
        <w:p w14:paraId="5682CEB9" w14:textId="61C0DB75" w:rsidR="00BF2026" w:rsidRDefault="00000000">
          <w:pPr>
            <w:pStyle w:val="Spistreci2"/>
            <w:rPr>
              <w:rFonts w:eastAsiaTheme="minorEastAsia" w:cstheme="minorBidi"/>
              <w:smallCaps w:val="0"/>
              <w:noProof/>
              <w:sz w:val="22"/>
              <w:szCs w:val="22"/>
              <w:lang w:eastAsia="pl-PL"/>
            </w:rPr>
          </w:pPr>
          <w:hyperlink w:anchor="_Toc120464415"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_Toc120464415 \h </w:instrText>
            </w:r>
            <w:r w:rsidR="00BF2026">
              <w:rPr>
                <w:noProof/>
                <w:webHidden/>
              </w:rPr>
            </w:r>
            <w:r w:rsidR="00BF2026">
              <w:rPr>
                <w:noProof/>
                <w:webHidden/>
              </w:rPr>
              <w:fldChar w:fldCharType="separate"/>
            </w:r>
            <w:r w:rsidR="008C795B">
              <w:rPr>
                <w:noProof/>
                <w:webHidden/>
              </w:rPr>
              <w:t>68</w:t>
            </w:r>
            <w:r w:rsidR="00BF2026">
              <w:rPr>
                <w:noProof/>
                <w:webHidden/>
              </w:rPr>
              <w:fldChar w:fldCharType="end"/>
            </w:r>
          </w:hyperlink>
        </w:p>
        <w:p w14:paraId="7341612D" w14:textId="023FE6D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16" w:history="1">
            <w:r w:rsidR="00BF2026" w:rsidRPr="001733C2">
              <w:rPr>
                <w:rStyle w:val="Hipercze"/>
                <w:rFonts w:eastAsia="Times New Roman"/>
                <w:bCs/>
                <w:noProof/>
              </w:rPr>
              <w:t>Roczna liczba użytkowników nowego lub zmodernizowanego transportu publicznego</w:t>
            </w:r>
            <w:r w:rsidR="00BF2026">
              <w:rPr>
                <w:noProof/>
                <w:webHidden/>
              </w:rPr>
              <w:tab/>
            </w:r>
            <w:r w:rsidR="00BF2026">
              <w:rPr>
                <w:noProof/>
                <w:webHidden/>
              </w:rPr>
              <w:fldChar w:fldCharType="begin"/>
            </w:r>
            <w:r w:rsidR="00BF2026">
              <w:rPr>
                <w:noProof/>
                <w:webHidden/>
              </w:rPr>
              <w:instrText xml:space="preserve"> PAGEREF _Toc120464416 \h </w:instrText>
            </w:r>
            <w:r w:rsidR="00BF2026">
              <w:rPr>
                <w:noProof/>
                <w:webHidden/>
              </w:rPr>
            </w:r>
            <w:r w:rsidR="00BF2026">
              <w:rPr>
                <w:noProof/>
                <w:webHidden/>
              </w:rPr>
              <w:fldChar w:fldCharType="separate"/>
            </w:r>
            <w:r w:rsidR="008C795B">
              <w:rPr>
                <w:noProof/>
                <w:webHidden/>
              </w:rPr>
              <w:t>68</w:t>
            </w:r>
            <w:r w:rsidR="00BF2026">
              <w:rPr>
                <w:noProof/>
                <w:webHidden/>
              </w:rPr>
              <w:fldChar w:fldCharType="end"/>
            </w:r>
          </w:hyperlink>
        </w:p>
        <w:p w14:paraId="2E39F09D" w14:textId="078230C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17" w:history="1">
            <w:r w:rsidR="00BF2026" w:rsidRPr="001733C2">
              <w:rPr>
                <w:rStyle w:val="Hipercze"/>
                <w:rFonts w:eastAsia="Times New Roman"/>
                <w:bCs/>
                <w:noProof/>
              </w:rPr>
              <w:t>Roczna liczba uzytkowników infrastruktury rowerowej</w:t>
            </w:r>
            <w:r w:rsidR="00BF2026">
              <w:rPr>
                <w:noProof/>
                <w:webHidden/>
              </w:rPr>
              <w:tab/>
            </w:r>
            <w:r w:rsidR="00BF2026">
              <w:rPr>
                <w:noProof/>
                <w:webHidden/>
              </w:rPr>
              <w:fldChar w:fldCharType="begin"/>
            </w:r>
            <w:r w:rsidR="00BF2026">
              <w:rPr>
                <w:noProof/>
                <w:webHidden/>
              </w:rPr>
              <w:instrText xml:space="preserve"> PAGEREF _Toc120464417 \h </w:instrText>
            </w:r>
            <w:r w:rsidR="00BF2026">
              <w:rPr>
                <w:noProof/>
                <w:webHidden/>
              </w:rPr>
            </w:r>
            <w:r w:rsidR="00BF2026">
              <w:rPr>
                <w:noProof/>
                <w:webHidden/>
              </w:rPr>
              <w:fldChar w:fldCharType="separate"/>
            </w:r>
            <w:r w:rsidR="008C795B">
              <w:rPr>
                <w:noProof/>
                <w:webHidden/>
              </w:rPr>
              <w:t>69</w:t>
            </w:r>
            <w:r w:rsidR="00BF2026">
              <w:rPr>
                <w:noProof/>
                <w:webHidden/>
              </w:rPr>
              <w:fldChar w:fldCharType="end"/>
            </w:r>
          </w:hyperlink>
        </w:p>
        <w:p w14:paraId="7FD074D9" w14:textId="1BC5FAF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18" w:history="1">
            <w:r w:rsidR="00BF2026" w:rsidRPr="001733C2">
              <w:rPr>
                <w:rStyle w:val="Hipercze"/>
                <w:rFonts w:eastAsia="Times New Roman"/>
                <w:bCs/>
                <w:noProof/>
              </w:rPr>
              <w:t>Szacowana emisja gazów cieplarnianych</w:t>
            </w:r>
            <w:r w:rsidR="00BF2026">
              <w:rPr>
                <w:noProof/>
                <w:webHidden/>
              </w:rPr>
              <w:tab/>
            </w:r>
            <w:r w:rsidR="00BF2026">
              <w:rPr>
                <w:noProof/>
                <w:webHidden/>
              </w:rPr>
              <w:fldChar w:fldCharType="begin"/>
            </w:r>
            <w:r w:rsidR="00BF2026">
              <w:rPr>
                <w:noProof/>
                <w:webHidden/>
              </w:rPr>
              <w:instrText xml:space="preserve"> PAGEREF _Toc120464418 \h </w:instrText>
            </w:r>
            <w:r w:rsidR="00BF2026">
              <w:rPr>
                <w:noProof/>
                <w:webHidden/>
              </w:rPr>
            </w:r>
            <w:r w:rsidR="00BF2026">
              <w:rPr>
                <w:noProof/>
                <w:webHidden/>
              </w:rPr>
              <w:fldChar w:fldCharType="separate"/>
            </w:r>
            <w:r w:rsidR="008C795B">
              <w:rPr>
                <w:noProof/>
                <w:webHidden/>
              </w:rPr>
              <w:t>71</w:t>
            </w:r>
            <w:r w:rsidR="00BF2026">
              <w:rPr>
                <w:noProof/>
                <w:webHidden/>
              </w:rPr>
              <w:fldChar w:fldCharType="end"/>
            </w:r>
          </w:hyperlink>
        </w:p>
        <w:p w14:paraId="7B1FA369" w14:textId="51395C30" w:rsidR="00BF2026" w:rsidRDefault="00000000">
          <w:pPr>
            <w:pStyle w:val="Spistreci1"/>
            <w:rPr>
              <w:rFonts w:eastAsiaTheme="minorEastAsia" w:cstheme="minorBidi"/>
              <w:b w:val="0"/>
              <w:bCs w:val="0"/>
              <w:caps w:val="0"/>
              <w:noProof/>
              <w:sz w:val="22"/>
              <w:szCs w:val="22"/>
              <w:lang w:eastAsia="pl-PL"/>
            </w:rPr>
          </w:pPr>
          <w:hyperlink w:anchor="_Toc120464419" w:history="1">
            <w:r w:rsidR="00BF2026" w:rsidRPr="001733C2">
              <w:rPr>
                <w:rStyle w:val="Hipercze"/>
                <w:noProof/>
              </w:rPr>
              <w:t>PRIORYTET 4: FUNDUSZE EUROPEJSKIE NA RZECZ MOBILNOŚCI DOLNEGO ŚLĄSKA (CP3 EFRR)</w:t>
            </w:r>
            <w:r w:rsidR="00BF2026">
              <w:rPr>
                <w:noProof/>
                <w:webHidden/>
              </w:rPr>
              <w:tab/>
            </w:r>
            <w:r w:rsidR="00BF2026">
              <w:rPr>
                <w:noProof/>
                <w:webHidden/>
              </w:rPr>
              <w:fldChar w:fldCharType="begin"/>
            </w:r>
            <w:r w:rsidR="00BF2026">
              <w:rPr>
                <w:noProof/>
                <w:webHidden/>
              </w:rPr>
              <w:instrText xml:space="preserve"> PAGEREF _Toc120464419 \h </w:instrText>
            </w:r>
            <w:r w:rsidR="00BF2026">
              <w:rPr>
                <w:noProof/>
                <w:webHidden/>
              </w:rPr>
            </w:r>
            <w:r w:rsidR="00BF2026">
              <w:rPr>
                <w:noProof/>
                <w:webHidden/>
              </w:rPr>
              <w:fldChar w:fldCharType="separate"/>
            </w:r>
            <w:r w:rsidR="008C795B">
              <w:rPr>
                <w:noProof/>
                <w:webHidden/>
              </w:rPr>
              <w:t>72</w:t>
            </w:r>
            <w:r w:rsidR="00BF2026">
              <w:rPr>
                <w:noProof/>
                <w:webHidden/>
              </w:rPr>
              <w:fldChar w:fldCharType="end"/>
            </w:r>
          </w:hyperlink>
        </w:p>
        <w:p w14:paraId="07CCF9A5" w14:textId="312FAB59" w:rsidR="00BF2026" w:rsidRDefault="00000000">
          <w:pPr>
            <w:pStyle w:val="Spistreci2"/>
            <w:rPr>
              <w:rFonts w:eastAsiaTheme="minorEastAsia" w:cstheme="minorBidi"/>
              <w:smallCaps w:val="0"/>
              <w:noProof/>
              <w:sz w:val="22"/>
              <w:szCs w:val="22"/>
              <w:lang w:eastAsia="pl-PL"/>
            </w:rPr>
          </w:pPr>
          <w:hyperlink w:anchor="_Toc120464420" w:history="1">
            <w:r w:rsidR="00BF2026" w:rsidRPr="001733C2">
              <w:rPr>
                <w:rStyle w:val="Hipercze"/>
                <w:noProof/>
              </w:rPr>
              <w:t>Cel szczegółowy: RSO3.2. Rozwój i udoskonalanie zrównoważonej, odpornej na zmiany klimatu, inteligentnej i intermodalnej mobilności na poziomie krajowym, regionalnym i lokalnym, w tym poprawa dostępu do TEN-T oraz mobilności transgranicznej (EFRR)</w:t>
            </w:r>
            <w:r w:rsidR="00BF2026">
              <w:rPr>
                <w:noProof/>
                <w:webHidden/>
              </w:rPr>
              <w:tab/>
            </w:r>
            <w:r w:rsidR="00BF2026">
              <w:rPr>
                <w:noProof/>
                <w:webHidden/>
              </w:rPr>
              <w:fldChar w:fldCharType="begin"/>
            </w:r>
            <w:r w:rsidR="00BF2026">
              <w:rPr>
                <w:noProof/>
                <w:webHidden/>
              </w:rPr>
              <w:instrText xml:space="preserve"> PAGEREF _Toc120464420 \h </w:instrText>
            </w:r>
            <w:r w:rsidR="00BF2026">
              <w:rPr>
                <w:noProof/>
                <w:webHidden/>
              </w:rPr>
            </w:r>
            <w:r w:rsidR="00BF2026">
              <w:rPr>
                <w:noProof/>
                <w:webHidden/>
              </w:rPr>
              <w:fldChar w:fldCharType="separate"/>
            </w:r>
            <w:r w:rsidR="008C795B">
              <w:rPr>
                <w:noProof/>
                <w:webHidden/>
              </w:rPr>
              <w:t>72</w:t>
            </w:r>
            <w:r w:rsidR="00BF2026">
              <w:rPr>
                <w:noProof/>
                <w:webHidden/>
              </w:rPr>
              <w:fldChar w:fldCharType="end"/>
            </w:r>
          </w:hyperlink>
        </w:p>
        <w:p w14:paraId="5D91E437" w14:textId="3C4BF22E" w:rsidR="00BF2026" w:rsidRDefault="00000000">
          <w:pPr>
            <w:pStyle w:val="Spistreci2"/>
            <w:rPr>
              <w:rFonts w:eastAsiaTheme="minorEastAsia" w:cstheme="minorBidi"/>
              <w:smallCaps w:val="0"/>
              <w:noProof/>
              <w:sz w:val="22"/>
              <w:szCs w:val="22"/>
              <w:lang w:eastAsia="pl-PL"/>
            </w:rPr>
          </w:pPr>
          <w:hyperlink w:anchor="_Toc120464421"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_Toc120464421 \h </w:instrText>
            </w:r>
            <w:r w:rsidR="00BF2026">
              <w:rPr>
                <w:noProof/>
                <w:webHidden/>
              </w:rPr>
            </w:r>
            <w:r w:rsidR="00BF2026">
              <w:rPr>
                <w:noProof/>
                <w:webHidden/>
              </w:rPr>
              <w:fldChar w:fldCharType="separate"/>
            </w:r>
            <w:r w:rsidR="008C795B">
              <w:rPr>
                <w:noProof/>
                <w:webHidden/>
              </w:rPr>
              <w:t>72</w:t>
            </w:r>
            <w:r w:rsidR="00BF2026">
              <w:rPr>
                <w:noProof/>
                <w:webHidden/>
              </w:rPr>
              <w:fldChar w:fldCharType="end"/>
            </w:r>
          </w:hyperlink>
        </w:p>
        <w:p w14:paraId="40ECF170" w14:textId="587387E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22" w:history="1">
            <w:r w:rsidR="00BF2026" w:rsidRPr="001733C2">
              <w:rPr>
                <w:rStyle w:val="Hipercze"/>
                <w:rFonts w:eastAsia="Times New Roman"/>
                <w:bCs/>
                <w:noProof/>
              </w:rPr>
              <w:t>Długość nowych lub rozbudowanych dróg - poza TEN-T</w:t>
            </w:r>
            <w:r w:rsidR="00BF2026">
              <w:rPr>
                <w:noProof/>
                <w:webHidden/>
              </w:rPr>
              <w:tab/>
            </w:r>
            <w:r w:rsidR="00BF2026">
              <w:rPr>
                <w:noProof/>
                <w:webHidden/>
              </w:rPr>
              <w:fldChar w:fldCharType="begin"/>
            </w:r>
            <w:r w:rsidR="00BF2026">
              <w:rPr>
                <w:noProof/>
                <w:webHidden/>
              </w:rPr>
              <w:instrText xml:space="preserve"> PAGEREF _Toc120464422 \h </w:instrText>
            </w:r>
            <w:r w:rsidR="00BF2026">
              <w:rPr>
                <w:noProof/>
                <w:webHidden/>
              </w:rPr>
            </w:r>
            <w:r w:rsidR="00BF2026">
              <w:rPr>
                <w:noProof/>
                <w:webHidden/>
              </w:rPr>
              <w:fldChar w:fldCharType="separate"/>
            </w:r>
            <w:r w:rsidR="008C795B">
              <w:rPr>
                <w:noProof/>
                <w:webHidden/>
              </w:rPr>
              <w:t>72</w:t>
            </w:r>
            <w:r w:rsidR="00BF2026">
              <w:rPr>
                <w:noProof/>
                <w:webHidden/>
              </w:rPr>
              <w:fldChar w:fldCharType="end"/>
            </w:r>
          </w:hyperlink>
        </w:p>
        <w:p w14:paraId="5CF73F43" w14:textId="61D5BC2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23" w:history="1">
            <w:r w:rsidR="00BF2026" w:rsidRPr="001733C2">
              <w:rPr>
                <w:rStyle w:val="Hipercze"/>
                <w:rFonts w:eastAsia="Times New Roman"/>
                <w:bCs/>
                <w:noProof/>
              </w:rPr>
              <w:t>Długość dróg przebudowanych lub zmodernizowanych – poza TEN-T</w:t>
            </w:r>
            <w:r w:rsidR="00BF2026">
              <w:rPr>
                <w:noProof/>
                <w:webHidden/>
              </w:rPr>
              <w:tab/>
            </w:r>
            <w:r w:rsidR="00BF2026">
              <w:rPr>
                <w:noProof/>
                <w:webHidden/>
              </w:rPr>
              <w:fldChar w:fldCharType="begin"/>
            </w:r>
            <w:r w:rsidR="00BF2026">
              <w:rPr>
                <w:noProof/>
                <w:webHidden/>
              </w:rPr>
              <w:instrText xml:space="preserve"> PAGEREF _Toc120464423 \h </w:instrText>
            </w:r>
            <w:r w:rsidR="00BF2026">
              <w:rPr>
                <w:noProof/>
                <w:webHidden/>
              </w:rPr>
            </w:r>
            <w:r w:rsidR="00BF2026">
              <w:rPr>
                <w:noProof/>
                <w:webHidden/>
              </w:rPr>
              <w:fldChar w:fldCharType="separate"/>
            </w:r>
            <w:r w:rsidR="008C795B">
              <w:rPr>
                <w:noProof/>
                <w:webHidden/>
              </w:rPr>
              <w:t>74</w:t>
            </w:r>
            <w:r w:rsidR="00BF2026">
              <w:rPr>
                <w:noProof/>
                <w:webHidden/>
              </w:rPr>
              <w:fldChar w:fldCharType="end"/>
            </w:r>
          </w:hyperlink>
        </w:p>
        <w:p w14:paraId="1442C48F" w14:textId="242BF6C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24" w:history="1">
            <w:r w:rsidR="00BF2026" w:rsidRPr="001733C2">
              <w:rPr>
                <w:rStyle w:val="Hipercze"/>
                <w:rFonts w:eastAsia="Times New Roman"/>
                <w:bCs/>
                <w:noProof/>
              </w:rPr>
              <w:t>Długość przebudowanych lub zmodernizowanych linii kolejowych – poza TEN-T</w:t>
            </w:r>
            <w:r w:rsidR="00BF2026">
              <w:rPr>
                <w:noProof/>
                <w:webHidden/>
              </w:rPr>
              <w:tab/>
            </w:r>
            <w:r w:rsidR="00BF2026">
              <w:rPr>
                <w:noProof/>
                <w:webHidden/>
              </w:rPr>
              <w:fldChar w:fldCharType="begin"/>
            </w:r>
            <w:r w:rsidR="00BF2026">
              <w:rPr>
                <w:noProof/>
                <w:webHidden/>
              </w:rPr>
              <w:instrText xml:space="preserve"> PAGEREF _Toc120464424 \h </w:instrText>
            </w:r>
            <w:r w:rsidR="00BF2026">
              <w:rPr>
                <w:noProof/>
                <w:webHidden/>
              </w:rPr>
            </w:r>
            <w:r w:rsidR="00BF2026">
              <w:rPr>
                <w:noProof/>
                <w:webHidden/>
              </w:rPr>
              <w:fldChar w:fldCharType="separate"/>
            </w:r>
            <w:r w:rsidR="008C795B">
              <w:rPr>
                <w:noProof/>
                <w:webHidden/>
              </w:rPr>
              <w:t>75</w:t>
            </w:r>
            <w:r w:rsidR="00BF2026">
              <w:rPr>
                <w:noProof/>
                <w:webHidden/>
              </w:rPr>
              <w:fldChar w:fldCharType="end"/>
            </w:r>
          </w:hyperlink>
        </w:p>
        <w:p w14:paraId="607B65E8" w14:textId="41CFCFAB"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25" w:history="1">
            <w:r w:rsidR="00BF2026" w:rsidRPr="001733C2">
              <w:rPr>
                <w:rStyle w:val="Hipercze"/>
                <w:rFonts w:eastAsia="Times New Roman"/>
                <w:bCs/>
                <w:noProof/>
              </w:rPr>
              <w:t>Pojemność ekologicznego taboru do zbiorowego transportu publicznego</w:t>
            </w:r>
            <w:r w:rsidR="00BF2026">
              <w:rPr>
                <w:noProof/>
                <w:webHidden/>
              </w:rPr>
              <w:tab/>
            </w:r>
            <w:r w:rsidR="00BF2026">
              <w:rPr>
                <w:noProof/>
                <w:webHidden/>
              </w:rPr>
              <w:fldChar w:fldCharType="begin"/>
            </w:r>
            <w:r w:rsidR="00BF2026">
              <w:rPr>
                <w:noProof/>
                <w:webHidden/>
              </w:rPr>
              <w:instrText xml:space="preserve"> PAGEREF _Toc120464425 \h </w:instrText>
            </w:r>
            <w:r w:rsidR="00BF2026">
              <w:rPr>
                <w:noProof/>
                <w:webHidden/>
              </w:rPr>
            </w:r>
            <w:r w:rsidR="00BF2026">
              <w:rPr>
                <w:noProof/>
                <w:webHidden/>
              </w:rPr>
              <w:fldChar w:fldCharType="separate"/>
            </w:r>
            <w:r w:rsidR="008C795B">
              <w:rPr>
                <w:noProof/>
                <w:webHidden/>
              </w:rPr>
              <w:t>76</w:t>
            </w:r>
            <w:r w:rsidR="00BF2026">
              <w:rPr>
                <w:noProof/>
                <w:webHidden/>
              </w:rPr>
              <w:fldChar w:fldCharType="end"/>
            </w:r>
          </w:hyperlink>
        </w:p>
        <w:p w14:paraId="79016BD1" w14:textId="37C7C36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26" w:history="1">
            <w:r w:rsidR="00BF2026" w:rsidRPr="001733C2">
              <w:rPr>
                <w:rStyle w:val="Hipercze"/>
                <w:rFonts w:eastAsia="Times New Roman"/>
                <w:bCs/>
                <w:noProof/>
              </w:rPr>
              <w:t>Nowe lub zmodernizowane stacje i przystanki kolejowe</w:t>
            </w:r>
            <w:r w:rsidR="00BF2026">
              <w:rPr>
                <w:noProof/>
                <w:webHidden/>
              </w:rPr>
              <w:tab/>
            </w:r>
            <w:r w:rsidR="00BF2026">
              <w:rPr>
                <w:noProof/>
                <w:webHidden/>
              </w:rPr>
              <w:fldChar w:fldCharType="begin"/>
            </w:r>
            <w:r w:rsidR="00BF2026">
              <w:rPr>
                <w:noProof/>
                <w:webHidden/>
              </w:rPr>
              <w:instrText xml:space="preserve"> PAGEREF _Toc120464426 \h </w:instrText>
            </w:r>
            <w:r w:rsidR="00BF2026">
              <w:rPr>
                <w:noProof/>
                <w:webHidden/>
              </w:rPr>
            </w:r>
            <w:r w:rsidR="00BF2026">
              <w:rPr>
                <w:noProof/>
                <w:webHidden/>
              </w:rPr>
              <w:fldChar w:fldCharType="separate"/>
            </w:r>
            <w:r w:rsidR="008C795B">
              <w:rPr>
                <w:noProof/>
                <w:webHidden/>
              </w:rPr>
              <w:t>78</w:t>
            </w:r>
            <w:r w:rsidR="00BF2026">
              <w:rPr>
                <w:noProof/>
                <w:webHidden/>
              </w:rPr>
              <w:fldChar w:fldCharType="end"/>
            </w:r>
          </w:hyperlink>
        </w:p>
        <w:p w14:paraId="46921867" w14:textId="747F485D" w:rsidR="00BF2026" w:rsidRDefault="00000000">
          <w:pPr>
            <w:pStyle w:val="Spistreci2"/>
            <w:rPr>
              <w:rFonts w:eastAsiaTheme="minorEastAsia" w:cstheme="minorBidi"/>
              <w:smallCaps w:val="0"/>
              <w:noProof/>
              <w:sz w:val="22"/>
              <w:szCs w:val="22"/>
              <w:lang w:eastAsia="pl-PL"/>
            </w:rPr>
          </w:pPr>
          <w:hyperlink w:anchor="_Toc120464427"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_Toc120464427 \h </w:instrText>
            </w:r>
            <w:r w:rsidR="00BF2026">
              <w:rPr>
                <w:noProof/>
                <w:webHidden/>
              </w:rPr>
            </w:r>
            <w:r w:rsidR="00BF2026">
              <w:rPr>
                <w:noProof/>
                <w:webHidden/>
              </w:rPr>
              <w:fldChar w:fldCharType="separate"/>
            </w:r>
            <w:r w:rsidR="008C795B">
              <w:rPr>
                <w:noProof/>
                <w:webHidden/>
              </w:rPr>
              <w:t>79</w:t>
            </w:r>
            <w:r w:rsidR="00BF2026">
              <w:rPr>
                <w:noProof/>
                <w:webHidden/>
              </w:rPr>
              <w:fldChar w:fldCharType="end"/>
            </w:r>
          </w:hyperlink>
        </w:p>
        <w:p w14:paraId="6DBEFB69" w14:textId="1CCC2861"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28" w:history="1">
            <w:r w:rsidR="00BF2026" w:rsidRPr="001733C2">
              <w:rPr>
                <w:rStyle w:val="Hipercze"/>
                <w:rFonts w:eastAsia="Times New Roman"/>
                <w:bCs/>
                <w:noProof/>
              </w:rPr>
              <w:t>Roczna liczba użytkowników nowo wybudowanych, przebudowanych, rozbudowanych lub zmodernizowanych dróg</w:t>
            </w:r>
            <w:r w:rsidR="00BF2026">
              <w:rPr>
                <w:noProof/>
                <w:webHidden/>
              </w:rPr>
              <w:tab/>
            </w:r>
            <w:r w:rsidR="00BF2026">
              <w:rPr>
                <w:noProof/>
                <w:webHidden/>
              </w:rPr>
              <w:fldChar w:fldCharType="begin"/>
            </w:r>
            <w:r w:rsidR="00BF2026">
              <w:rPr>
                <w:noProof/>
                <w:webHidden/>
              </w:rPr>
              <w:instrText xml:space="preserve"> PAGEREF _Toc120464428 \h </w:instrText>
            </w:r>
            <w:r w:rsidR="00BF2026">
              <w:rPr>
                <w:noProof/>
                <w:webHidden/>
              </w:rPr>
            </w:r>
            <w:r w:rsidR="00BF2026">
              <w:rPr>
                <w:noProof/>
                <w:webHidden/>
              </w:rPr>
              <w:fldChar w:fldCharType="separate"/>
            </w:r>
            <w:r w:rsidR="008C795B">
              <w:rPr>
                <w:noProof/>
                <w:webHidden/>
              </w:rPr>
              <w:t>79</w:t>
            </w:r>
            <w:r w:rsidR="00BF2026">
              <w:rPr>
                <w:noProof/>
                <w:webHidden/>
              </w:rPr>
              <w:fldChar w:fldCharType="end"/>
            </w:r>
          </w:hyperlink>
        </w:p>
        <w:p w14:paraId="52BFDCBC" w14:textId="2F3DF5D5" w:rsidR="00BF2026" w:rsidRDefault="00000000">
          <w:pPr>
            <w:pStyle w:val="Spistreci1"/>
            <w:rPr>
              <w:rFonts w:eastAsiaTheme="minorEastAsia" w:cstheme="minorBidi"/>
              <w:b w:val="0"/>
              <w:bCs w:val="0"/>
              <w:caps w:val="0"/>
              <w:noProof/>
              <w:sz w:val="22"/>
              <w:szCs w:val="22"/>
              <w:lang w:eastAsia="pl-PL"/>
            </w:rPr>
          </w:pPr>
          <w:hyperlink w:anchor="_Toc120464429" w:history="1">
            <w:r w:rsidR="00BF2026" w:rsidRPr="001733C2">
              <w:rPr>
                <w:rStyle w:val="Hipercze"/>
                <w:rFonts w:eastAsia="Calibri"/>
                <w:noProof/>
              </w:rPr>
              <w:t>PRIORYTET 5: FUNDUSZE EUROPEJSKIE NA RZECZ ZRÓWNOWAŻONEGO ROZWOJU SPOŁECZNEGO NA DOLNYM ŚLĄSKU (CP4 EFRR)</w:t>
            </w:r>
            <w:r w:rsidR="00BF2026">
              <w:rPr>
                <w:noProof/>
                <w:webHidden/>
              </w:rPr>
              <w:tab/>
            </w:r>
            <w:r w:rsidR="00BF2026">
              <w:rPr>
                <w:noProof/>
                <w:webHidden/>
              </w:rPr>
              <w:fldChar w:fldCharType="begin"/>
            </w:r>
            <w:r w:rsidR="00BF2026">
              <w:rPr>
                <w:noProof/>
                <w:webHidden/>
              </w:rPr>
              <w:instrText xml:space="preserve"> PAGEREF _Toc120464429 \h </w:instrText>
            </w:r>
            <w:r w:rsidR="00BF2026">
              <w:rPr>
                <w:noProof/>
                <w:webHidden/>
              </w:rPr>
            </w:r>
            <w:r w:rsidR="00BF2026">
              <w:rPr>
                <w:noProof/>
                <w:webHidden/>
              </w:rPr>
              <w:fldChar w:fldCharType="separate"/>
            </w:r>
            <w:r w:rsidR="008C795B">
              <w:rPr>
                <w:noProof/>
                <w:webHidden/>
              </w:rPr>
              <w:t>80</w:t>
            </w:r>
            <w:r w:rsidR="00BF2026">
              <w:rPr>
                <w:noProof/>
                <w:webHidden/>
              </w:rPr>
              <w:fldChar w:fldCharType="end"/>
            </w:r>
          </w:hyperlink>
        </w:p>
        <w:p w14:paraId="25840039" w14:textId="3D06A795" w:rsidR="00BF2026" w:rsidRDefault="00000000">
          <w:pPr>
            <w:pStyle w:val="Spistreci2"/>
            <w:rPr>
              <w:rFonts w:eastAsiaTheme="minorEastAsia" w:cstheme="minorBidi"/>
              <w:smallCaps w:val="0"/>
              <w:noProof/>
              <w:sz w:val="22"/>
              <w:szCs w:val="22"/>
              <w:lang w:eastAsia="pl-PL"/>
            </w:rPr>
          </w:pPr>
          <w:hyperlink w:anchor="_Toc120464430" w:history="1">
            <w:r w:rsidR="00BF2026" w:rsidRPr="001733C2">
              <w:rPr>
                <w:rStyle w:val="Hipercze"/>
                <w:noProof/>
              </w:rPr>
              <w:t>CEL SZCZEGÓŁOWY: RSO4.5. Zapewnianie równego dostępu do opieki zdrowotnej i wspieranie odporności systemów opieki zdrowotnej, w tym podstawowej opieki zdrowotnej, oraz wspieranie przechodzenia od opieki instytucjonalnej do opieki rodzinnej i środowiskowej (EFRR)</w:t>
            </w:r>
            <w:r w:rsidR="00BF2026">
              <w:rPr>
                <w:noProof/>
                <w:webHidden/>
              </w:rPr>
              <w:tab/>
            </w:r>
            <w:r w:rsidR="00BF2026">
              <w:rPr>
                <w:noProof/>
                <w:webHidden/>
              </w:rPr>
              <w:fldChar w:fldCharType="begin"/>
            </w:r>
            <w:r w:rsidR="00BF2026">
              <w:rPr>
                <w:noProof/>
                <w:webHidden/>
              </w:rPr>
              <w:instrText xml:space="preserve"> PAGEREF _Toc120464430 \h </w:instrText>
            </w:r>
            <w:r w:rsidR="00BF2026">
              <w:rPr>
                <w:noProof/>
                <w:webHidden/>
              </w:rPr>
            </w:r>
            <w:r w:rsidR="00BF2026">
              <w:rPr>
                <w:noProof/>
                <w:webHidden/>
              </w:rPr>
              <w:fldChar w:fldCharType="separate"/>
            </w:r>
            <w:r w:rsidR="008C795B">
              <w:rPr>
                <w:noProof/>
                <w:webHidden/>
              </w:rPr>
              <w:t>80</w:t>
            </w:r>
            <w:r w:rsidR="00BF2026">
              <w:rPr>
                <w:noProof/>
                <w:webHidden/>
              </w:rPr>
              <w:fldChar w:fldCharType="end"/>
            </w:r>
          </w:hyperlink>
        </w:p>
        <w:p w14:paraId="54096213" w14:textId="197992CE" w:rsidR="00BF2026" w:rsidRDefault="00000000">
          <w:pPr>
            <w:pStyle w:val="Spistreci2"/>
            <w:rPr>
              <w:rFonts w:eastAsiaTheme="minorEastAsia" w:cstheme="minorBidi"/>
              <w:smallCaps w:val="0"/>
              <w:noProof/>
              <w:sz w:val="22"/>
              <w:szCs w:val="22"/>
              <w:lang w:eastAsia="pl-PL"/>
            </w:rPr>
          </w:pPr>
          <w:hyperlink w:anchor="_Toc120464431"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_Toc120464431 \h </w:instrText>
            </w:r>
            <w:r w:rsidR="00BF2026">
              <w:rPr>
                <w:noProof/>
                <w:webHidden/>
              </w:rPr>
            </w:r>
            <w:r w:rsidR="00BF2026">
              <w:rPr>
                <w:noProof/>
                <w:webHidden/>
              </w:rPr>
              <w:fldChar w:fldCharType="separate"/>
            </w:r>
            <w:r w:rsidR="008C795B">
              <w:rPr>
                <w:noProof/>
                <w:webHidden/>
              </w:rPr>
              <w:t>80</w:t>
            </w:r>
            <w:r w:rsidR="00BF2026">
              <w:rPr>
                <w:noProof/>
                <w:webHidden/>
              </w:rPr>
              <w:fldChar w:fldCharType="end"/>
            </w:r>
          </w:hyperlink>
        </w:p>
        <w:p w14:paraId="070444CE" w14:textId="254307C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32" w:history="1">
            <w:r w:rsidR="00BF2026" w:rsidRPr="001733C2">
              <w:rPr>
                <w:rStyle w:val="Hipercze"/>
                <w:rFonts w:eastAsia="Times New Roman" w:cs="Calibri"/>
                <w:bCs/>
                <w:noProof/>
              </w:rPr>
              <w:t>Pojemność nowych lub zmodernizowanych placówek opieki zdrowotnej</w:t>
            </w:r>
            <w:r w:rsidR="00BF2026">
              <w:rPr>
                <w:noProof/>
                <w:webHidden/>
              </w:rPr>
              <w:tab/>
            </w:r>
            <w:r w:rsidR="00BF2026">
              <w:rPr>
                <w:noProof/>
                <w:webHidden/>
              </w:rPr>
              <w:fldChar w:fldCharType="begin"/>
            </w:r>
            <w:r w:rsidR="00BF2026">
              <w:rPr>
                <w:noProof/>
                <w:webHidden/>
              </w:rPr>
              <w:instrText xml:space="preserve"> PAGEREF _Toc120464432 \h </w:instrText>
            </w:r>
            <w:r w:rsidR="00BF2026">
              <w:rPr>
                <w:noProof/>
                <w:webHidden/>
              </w:rPr>
            </w:r>
            <w:r w:rsidR="00BF2026">
              <w:rPr>
                <w:noProof/>
                <w:webHidden/>
              </w:rPr>
              <w:fldChar w:fldCharType="separate"/>
            </w:r>
            <w:r w:rsidR="008C795B">
              <w:rPr>
                <w:noProof/>
                <w:webHidden/>
              </w:rPr>
              <w:t>80</w:t>
            </w:r>
            <w:r w:rsidR="00BF2026">
              <w:rPr>
                <w:noProof/>
                <w:webHidden/>
              </w:rPr>
              <w:fldChar w:fldCharType="end"/>
            </w:r>
          </w:hyperlink>
        </w:p>
        <w:p w14:paraId="49D03467" w14:textId="49B7390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33" w:history="1">
            <w:r w:rsidR="00BF2026" w:rsidRPr="001733C2">
              <w:rPr>
                <w:rStyle w:val="Hipercze"/>
                <w:rFonts w:eastAsia="Times New Roman"/>
                <w:bCs/>
                <w:noProof/>
              </w:rPr>
              <w:t>Liczba wspartych podmiotów wykonujących działalność leczniczą</w:t>
            </w:r>
            <w:r w:rsidR="00BF2026">
              <w:rPr>
                <w:noProof/>
                <w:webHidden/>
              </w:rPr>
              <w:tab/>
            </w:r>
            <w:r w:rsidR="00BF2026">
              <w:rPr>
                <w:noProof/>
                <w:webHidden/>
              </w:rPr>
              <w:fldChar w:fldCharType="begin"/>
            </w:r>
            <w:r w:rsidR="00BF2026">
              <w:rPr>
                <w:noProof/>
                <w:webHidden/>
              </w:rPr>
              <w:instrText xml:space="preserve"> PAGEREF _Toc120464433 \h </w:instrText>
            </w:r>
            <w:r w:rsidR="00BF2026">
              <w:rPr>
                <w:noProof/>
                <w:webHidden/>
              </w:rPr>
            </w:r>
            <w:r w:rsidR="00BF2026">
              <w:rPr>
                <w:noProof/>
                <w:webHidden/>
              </w:rPr>
              <w:fldChar w:fldCharType="separate"/>
            </w:r>
            <w:r w:rsidR="008C795B">
              <w:rPr>
                <w:noProof/>
                <w:webHidden/>
              </w:rPr>
              <w:t>82</w:t>
            </w:r>
            <w:r w:rsidR="00BF2026">
              <w:rPr>
                <w:noProof/>
                <w:webHidden/>
              </w:rPr>
              <w:fldChar w:fldCharType="end"/>
            </w:r>
          </w:hyperlink>
        </w:p>
        <w:p w14:paraId="53773BA4" w14:textId="51676434" w:rsidR="00BF2026" w:rsidRDefault="00000000">
          <w:pPr>
            <w:pStyle w:val="Spistreci2"/>
            <w:rPr>
              <w:rFonts w:eastAsiaTheme="minorEastAsia" w:cstheme="minorBidi"/>
              <w:smallCaps w:val="0"/>
              <w:noProof/>
              <w:sz w:val="22"/>
              <w:szCs w:val="22"/>
              <w:lang w:eastAsia="pl-PL"/>
            </w:rPr>
          </w:pPr>
          <w:hyperlink w:anchor="_Toc120464434"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_Toc120464434 \h </w:instrText>
            </w:r>
            <w:r w:rsidR="00BF2026">
              <w:rPr>
                <w:noProof/>
                <w:webHidden/>
              </w:rPr>
            </w:r>
            <w:r w:rsidR="00BF2026">
              <w:rPr>
                <w:noProof/>
                <w:webHidden/>
              </w:rPr>
              <w:fldChar w:fldCharType="separate"/>
            </w:r>
            <w:r w:rsidR="008C795B">
              <w:rPr>
                <w:noProof/>
                <w:webHidden/>
              </w:rPr>
              <w:t>83</w:t>
            </w:r>
            <w:r w:rsidR="00BF2026">
              <w:rPr>
                <w:noProof/>
                <w:webHidden/>
              </w:rPr>
              <w:fldChar w:fldCharType="end"/>
            </w:r>
          </w:hyperlink>
        </w:p>
        <w:p w14:paraId="2037F5D2" w14:textId="5F6ED3AB"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35" w:history="1">
            <w:r w:rsidR="00BF2026" w:rsidRPr="001733C2">
              <w:rPr>
                <w:rStyle w:val="Hipercze"/>
                <w:rFonts w:eastAsia="Times New Roman"/>
                <w:bCs/>
                <w:noProof/>
              </w:rPr>
              <w:t>Roczna liczba użytkowników nowych lub zmodernizowanych placówek opieki zdrowotnej</w:t>
            </w:r>
            <w:r w:rsidR="00BF2026">
              <w:rPr>
                <w:noProof/>
                <w:webHidden/>
              </w:rPr>
              <w:tab/>
            </w:r>
            <w:r w:rsidR="00BF2026">
              <w:rPr>
                <w:noProof/>
                <w:webHidden/>
              </w:rPr>
              <w:fldChar w:fldCharType="begin"/>
            </w:r>
            <w:r w:rsidR="00BF2026">
              <w:rPr>
                <w:noProof/>
                <w:webHidden/>
              </w:rPr>
              <w:instrText xml:space="preserve"> PAGEREF _Toc120464435 \h </w:instrText>
            </w:r>
            <w:r w:rsidR="00BF2026">
              <w:rPr>
                <w:noProof/>
                <w:webHidden/>
              </w:rPr>
            </w:r>
            <w:r w:rsidR="00BF2026">
              <w:rPr>
                <w:noProof/>
                <w:webHidden/>
              </w:rPr>
              <w:fldChar w:fldCharType="separate"/>
            </w:r>
            <w:r w:rsidR="008C795B">
              <w:rPr>
                <w:noProof/>
                <w:webHidden/>
              </w:rPr>
              <w:t>83</w:t>
            </w:r>
            <w:r w:rsidR="00BF2026">
              <w:rPr>
                <w:noProof/>
                <w:webHidden/>
              </w:rPr>
              <w:fldChar w:fldCharType="end"/>
            </w:r>
          </w:hyperlink>
        </w:p>
        <w:p w14:paraId="1DDE3AB4" w14:textId="5F6FDB0C" w:rsidR="00BF2026" w:rsidRDefault="00000000">
          <w:pPr>
            <w:pStyle w:val="Spistreci2"/>
            <w:rPr>
              <w:rFonts w:eastAsiaTheme="minorEastAsia" w:cstheme="minorBidi"/>
              <w:smallCaps w:val="0"/>
              <w:noProof/>
              <w:sz w:val="22"/>
              <w:szCs w:val="22"/>
              <w:lang w:eastAsia="pl-PL"/>
            </w:rPr>
          </w:pPr>
          <w:hyperlink w:anchor="_Toc120464436" w:history="1">
            <w:r w:rsidR="00BF2026" w:rsidRPr="001733C2">
              <w:rPr>
                <w:rStyle w:val="Hipercze"/>
                <w:noProof/>
              </w:rPr>
              <w:t>CEL SZCZEGÓŁOWY: RSO4.6. Wzmacnianie roli kultury i zrównoważonej turystyki w rozwoju gospodarczym, włączeniu społecznym i innowacjach społecznych (EFRR)</w:t>
            </w:r>
            <w:r w:rsidR="00BF2026">
              <w:rPr>
                <w:noProof/>
                <w:webHidden/>
              </w:rPr>
              <w:tab/>
            </w:r>
            <w:r w:rsidR="00BF2026">
              <w:rPr>
                <w:noProof/>
                <w:webHidden/>
              </w:rPr>
              <w:fldChar w:fldCharType="begin"/>
            </w:r>
            <w:r w:rsidR="00BF2026">
              <w:rPr>
                <w:noProof/>
                <w:webHidden/>
              </w:rPr>
              <w:instrText xml:space="preserve"> PAGEREF _Toc120464436 \h </w:instrText>
            </w:r>
            <w:r w:rsidR="00BF2026">
              <w:rPr>
                <w:noProof/>
                <w:webHidden/>
              </w:rPr>
            </w:r>
            <w:r w:rsidR="00BF2026">
              <w:rPr>
                <w:noProof/>
                <w:webHidden/>
              </w:rPr>
              <w:fldChar w:fldCharType="separate"/>
            </w:r>
            <w:r w:rsidR="008C795B">
              <w:rPr>
                <w:noProof/>
                <w:webHidden/>
              </w:rPr>
              <w:t>85</w:t>
            </w:r>
            <w:r w:rsidR="00BF2026">
              <w:rPr>
                <w:noProof/>
                <w:webHidden/>
              </w:rPr>
              <w:fldChar w:fldCharType="end"/>
            </w:r>
          </w:hyperlink>
        </w:p>
        <w:p w14:paraId="717ED4D1" w14:textId="092D01EC" w:rsidR="00BF2026" w:rsidRDefault="00000000">
          <w:pPr>
            <w:pStyle w:val="Spistreci2"/>
            <w:rPr>
              <w:rFonts w:eastAsiaTheme="minorEastAsia" w:cstheme="minorBidi"/>
              <w:smallCaps w:val="0"/>
              <w:noProof/>
              <w:sz w:val="22"/>
              <w:szCs w:val="22"/>
              <w:lang w:eastAsia="pl-PL"/>
            </w:rPr>
          </w:pPr>
          <w:hyperlink w:anchor="_Toc120464437"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_Toc120464437 \h </w:instrText>
            </w:r>
            <w:r w:rsidR="00BF2026">
              <w:rPr>
                <w:noProof/>
                <w:webHidden/>
              </w:rPr>
            </w:r>
            <w:r w:rsidR="00BF2026">
              <w:rPr>
                <w:noProof/>
                <w:webHidden/>
              </w:rPr>
              <w:fldChar w:fldCharType="separate"/>
            </w:r>
            <w:r w:rsidR="008C795B">
              <w:rPr>
                <w:noProof/>
                <w:webHidden/>
              </w:rPr>
              <w:t>85</w:t>
            </w:r>
            <w:r w:rsidR="00BF2026">
              <w:rPr>
                <w:noProof/>
                <w:webHidden/>
              </w:rPr>
              <w:fldChar w:fldCharType="end"/>
            </w:r>
          </w:hyperlink>
        </w:p>
        <w:p w14:paraId="29B7566E" w14:textId="4997312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38" w:history="1">
            <w:r w:rsidR="00BF2026" w:rsidRPr="001733C2">
              <w:rPr>
                <w:rStyle w:val="Hipercze"/>
                <w:rFonts w:eastAsia="Times New Roman"/>
                <w:bCs/>
                <w:noProof/>
              </w:rPr>
              <w:t>Liczba obiektów kulturalnych i turystycznych objętych wsparciem</w:t>
            </w:r>
            <w:r w:rsidR="00BF2026">
              <w:rPr>
                <w:noProof/>
                <w:webHidden/>
              </w:rPr>
              <w:tab/>
            </w:r>
            <w:r w:rsidR="00BF2026">
              <w:rPr>
                <w:noProof/>
                <w:webHidden/>
              </w:rPr>
              <w:fldChar w:fldCharType="begin"/>
            </w:r>
            <w:r w:rsidR="00BF2026">
              <w:rPr>
                <w:noProof/>
                <w:webHidden/>
              </w:rPr>
              <w:instrText xml:space="preserve"> PAGEREF _Toc120464438 \h </w:instrText>
            </w:r>
            <w:r w:rsidR="00BF2026">
              <w:rPr>
                <w:noProof/>
                <w:webHidden/>
              </w:rPr>
            </w:r>
            <w:r w:rsidR="00BF2026">
              <w:rPr>
                <w:noProof/>
                <w:webHidden/>
              </w:rPr>
              <w:fldChar w:fldCharType="separate"/>
            </w:r>
            <w:r w:rsidR="008C795B">
              <w:rPr>
                <w:noProof/>
                <w:webHidden/>
              </w:rPr>
              <w:t>85</w:t>
            </w:r>
            <w:r w:rsidR="00BF2026">
              <w:rPr>
                <w:noProof/>
                <w:webHidden/>
              </w:rPr>
              <w:fldChar w:fldCharType="end"/>
            </w:r>
          </w:hyperlink>
        </w:p>
        <w:p w14:paraId="797B8137" w14:textId="151356A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39" w:history="1">
            <w:r w:rsidR="00BF2026" w:rsidRPr="001733C2">
              <w:rPr>
                <w:rStyle w:val="Hipercze"/>
                <w:rFonts w:eastAsia="Times New Roman"/>
                <w:bCs/>
                <w:noProof/>
              </w:rPr>
              <w:t>Długość wspartych szlaków turystycznych</w:t>
            </w:r>
            <w:r w:rsidR="00BF2026">
              <w:rPr>
                <w:noProof/>
                <w:webHidden/>
              </w:rPr>
              <w:tab/>
            </w:r>
            <w:r w:rsidR="00BF2026">
              <w:rPr>
                <w:noProof/>
                <w:webHidden/>
              </w:rPr>
              <w:fldChar w:fldCharType="begin"/>
            </w:r>
            <w:r w:rsidR="00BF2026">
              <w:rPr>
                <w:noProof/>
                <w:webHidden/>
              </w:rPr>
              <w:instrText xml:space="preserve"> PAGEREF _Toc120464439 \h </w:instrText>
            </w:r>
            <w:r w:rsidR="00BF2026">
              <w:rPr>
                <w:noProof/>
                <w:webHidden/>
              </w:rPr>
            </w:r>
            <w:r w:rsidR="00BF2026">
              <w:rPr>
                <w:noProof/>
                <w:webHidden/>
              </w:rPr>
              <w:fldChar w:fldCharType="separate"/>
            </w:r>
            <w:r w:rsidR="008C795B">
              <w:rPr>
                <w:noProof/>
                <w:webHidden/>
              </w:rPr>
              <w:t>85</w:t>
            </w:r>
            <w:r w:rsidR="00BF2026">
              <w:rPr>
                <w:noProof/>
                <w:webHidden/>
              </w:rPr>
              <w:fldChar w:fldCharType="end"/>
            </w:r>
          </w:hyperlink>
        </w:p>
        <w:p w14:paraId="12191138" w14:textId="324893E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40" w:history="1">
            <w:r w:rsidR="00BF2026" w:rsidRPr="001733C2">
              <w:rPr>
                <w:rStyle w:val="Hipercze"/>
                <w:rFonts w:eastAsia="Times New Roman"/>
                <w:bCs/>
                <w:noProof/>
              </w:rPr>
              <w:t>Liczba obiektów dostosowanych do potrzeb osób z niepełnosprawnościami</w:t>
            </w:r>
            <w:r w:rsidR="00BF2026">
              <w:rPr>
                <w:noProof/>
                <w:webHidden/>
              </w:rPr>
              <w:tab/>
            </w:r>
            <w:r w:rsidR="00BF2026">
              <w:rPr>
                <w:noProof/>
                <w:webHidden/>
              </w:rPr>
              <w:fldChar w:fldCharType="begin"/>
            </w:r>
            <w:r w:rsidR="00BF2026">
              <w:rPr>
                <w:noProof/>
                <w:webHidden/>
              </w:rPr>
              <w:instrText xml:space="preserve"> PAGEREF _Toc120464440 \h </w:instrText>
            </w:r>
            <w:r w:rsidR="00BF2026">
              <w:rPr>
                <w:noProof/>
                <w:webHidden/>
              </w:rPr>
            </w:r>
            <w:r w:rsidR="00BF2026">
              <w:rPr>
                <w:noProof/>
                <w:webHidden/>
              </w:rPr>
              <w:fldChar w:fldCharType="separate"/>
            </w:r>
            <w:r w:rsidR="008C795B">
              <w:rPr>
                <w:noProof/>
                <w:webHidden/>
              </w:rPr>
              <w:t>87</w:t>
            </w:r>
            <w:r w:rsidR="00BF2026">
              <w:rPr>
                <w:noProof/>
                <w:webHidden/>
              </w:rPr>
              <w:fldChar w:fldCharType="end"/>
            </w:r>
          </w:hyperlink>
        </w:p>
        <w:p w14:paraId="66B65D18" w14:textId="4BE3AA72" w:rsidR="00BF2026" w:rsidRDefault="00000000">
          <w:pPr>
            <w:pStyle w:val="Spistreci2"/>
            <w:rPr>
              <w:rFonts w:eastAsiaTheme="minorEastAsia" w:cstheme="minorBidi"/>
              <w:smallCaps w:val="0"/>
              <w:noProof/>
              <w:sz w:val="22"/>
              <w:szCs w:val="22"/>
              <w:lang w:eastAsia="pl-PL"/>
            </w:rPr>
          </w:pPr>
          <w:hyperlink w:anchor="_Toc120464441"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_Toc120464441 \h </w:instrText>
            </w:r>
            <w:r w:rsidR="00BF2026">
              <w:rPr>
                <w:noProof/>
                <w:webHidden/>
              </w:rPr>
            </w:r>
            <w:r w:rsidR="00BF2026">
              <w:rPr>
                <w:noProof/>
                <w:webHidden/>
              </w:rPr>
              <w:fldChar w:fldCharType="separate"/>
            </w:r>
            <w:r w:rsidR="008C795B">
              <w:rPr>
                <w:noProof/>
                <w:webHidden/>
              </w:rPr>
              <w:t>87</w:t>
            </w:r>
            <w:r w:rsidR="00BF2026">
              <w:rPr>
                <w:noProof/>
                <w:webHidden/>
              </w:rPr>
              <w:fldChar w:fldCharType="end"/>
            </w:r>
          </w:hyperlink>
        </w:p>
        <w:p w14:paraId="7D1E540E" w14:textId="698CFB6F"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42" w:history="1">
            <w:r w:rsidR="00BF2026" w:rsidRPr="001733C2">
              <w:rPr>
                <w:rStyle w:val="Hipercze"/>
                <w:rFonts w:eastAsia="Times New Roman"/>
                <w:bCs/>
                <w:noProof/>
              </w:rPr>
              <w:t>Liczba osób odwiedzających obiekty kulturalne i turystyczne objęte wsparciem</w:t>
            </w:r>
            <w:r w:rsidR="00BF2026">
              <w:rPr>
                <w:noProof/>
                <w:webHidden/>
              </w:rPr>
              <w:tab/>
            </w:r>
            <w:r w:rsidR="00BF2026">
              <w:rPr>
                <w:noProof/>
                <w:webHidden/>
              </w:rPr>
              <w:fldChar w:fldCharType="begin"/>
            </w:r>
            <w:r w:rsidR="00BF2026">
              <w:rPr>
                <w:noProof/>
                <w:webHidden/>
              </w:rPr>
              <w:instrText xml:space="preserve"> PAGEREF _Toc120464442 \h </w:instrText>
            </w:r>
            <w:r w:rsidR="00BF2026">
              <w:rPr>
                <w:noProof/>
                <w:webHidden/>
              </w:rPr>
            </w:r>
            <w:r w:rsidR="00BF2026">
              <w:rPr>
                <w:noProof/>
                <w:webHidden/>
              </w:rPr>
              <w:fldChar w:fldCharType="separate"/>
            </w:r>
            <w:r w:rsidR="008C795B">
              <w:rPr>
                <w:noProof/>
                <w:webHidden/>
              </w:rPr>
              <w:t>88</w:t>
            </w:r>
            <w:r w:rsidR="00BF2026">
              <w:rPr>
                <w:noProof/>
                <w:webHidden/>
              </w:rPr>
              <w:fldChar w:fldCharType="end"/>
            </w:r>
          </w:hyperlink>
        </w:p>
        <w:p w14:paraId="0F8BA456" w14:textId="133C0D60" w:rsidR="00BF2026" w:rsidRDefault="00000000">
          <w:pPr>
            <w:pStyle w:val="Spistreci1"/>
            <w:rPr>
              <w:rFonts w:eastAsiaTheme="minorEastAsia" w:cstheme="minorBidi"/>
              <w:b w:val="0"/>
              <w:bCs w:val="0"/>
              <w:caps w:val="0"/>
              <w:noProof/>
              <w:sz w:val="22"/>
              <w:szCs w:val="22"/>
              <w:lang w:eastAsia="pl-PL"/>
            </w:rPr>
          </w:pPr>
          <w:hyperlink w:anchor="_Toc120464443" w:history="1">
            <w:r w:rsidR="00BF2026" w:rsidRPr="001733C2">
              <w:rPr>
                <w:rStyle w:val="Hipercze"/>
                <w:noProof/>
              </w:rPr>
              <w:t>PRIORYTET 6: FUNDUSZE EUROPEJSKIE BLIŻEJ MIESZKAŃCÓW DOLNEGO ŚLĄSKA (CP5 EFRR)</w:t>
            </w:r>
            <w:r w:rsidR="00BF2026">
              <w:rPr>
                <w:noProof/>
                <w:webHidden/>
              </w:rPr>
              <w:tab/>
            </w:r>
            <w:r w:rsidR="00BF2026">
              <w:rPr>
                <w:noProof/>
                <w:webHidden/>
              </w:rPr>
              <w:fldChar w:fldCharType="begin"/>
            </w:r>
            <w:r w:rsidR="00BF2026">
              <w:rPr>
                <w:noProof/>
                <w:webHidden/>
              </w:rPr>
              <w:instrText xml:space="preserve"> PAGEREF _Toc120464443 \h </w:instrText>
            </w:r>
            <w:r w:rsidR="00BF2026">
              <w:rPr>
                <w:noProof/>
                <w:webHidden/>
              </w:rPr>
            </w:r>
            <w:r w:rsidR="00BF2026">
              <w:rPr>
                <w:noProof/>
                <w:webHidden/>
              </w:rPr>
              <w:fldChar w:fldCharType="separate"/>
            </w:r>
            <w:r w:rsidR="008C795B">
              <w:rPr>
                <w:noProof/>
                <w:webHidden/>
              </w:rPr>
              <w:t>89</w:t>
            </w:r>
            <w:r w:rsidR="00BF2026">
              <w:rPr>
                <w:noProof/>
                <w:webHidden/>
              </w:rPr>
              <w:fldChar w:fldCharType="end"/>
            </w:r>
          </w:hyperlink>
        </w:p>
        <w:p w14:paraId="7B2C2578" w14:textId="1DC62C6B" w:rsidR="00BF2026" w:rsidRDefault="00000000">
          <w:pPr>
            <w:pStyle w:val="Spistreci2"/>
            <w:rPr>
              <w:rFonts w:eastAsiaTheme="minorEastAsia" w:cstheme="minorBidi"/>
              <w:smallCaps w:val="0"/>
              <w:noProof/>
              <w:sz w:val="22"/>
              <w:szCs w:val="22"/>
              <w:lang w:eastAsia="pl-PL"/>
            </w:rPr>
          </w:pPr>
          <w:hyperlink w:anchor="_Toc120464444" w:history="1">
            <w:r w:rsidR="00BF2026" w:rsidRPr="001733C2">
              <w:rPr>
                <w:rStyle w:val="Hipercze"/>
                <w:rFonts w:eastAsia="Times New Roman" w:cs="Times New Roman"/>
                <w:b/>
                <w:bCs/>
                <w:noProof/>
              </w:rPr>
              <w:t>CEL SZCZEGÓŁOWY: RSO5.1. Wspieranie zintegrowanego i sprzyjającego włączeniu społecznemu rozwoju społecznego, gospodarczego i środowiskowego, kultury, dziedzictwa naturalnego, zrównoważonej turystyki i bezpieczeństwa na obszarach miejskich (EFRR)</w:t>
            </w:r>
            <w:r w:rsidR="00BF2026">
              <w:rPr>
                <w:noProof/>
                <w:webHidden/>
              </w:rPr>
              <w:tab/>
            </w:r>
            <w:r w:rsidR="00BF2026">
              <w:rPr>
                <w:noProof/>
                <w:webHidden/>
              </w:rPr>
              <w:fldChar w:fldCharType="begin"/>
            </w:r>
            <w:r w:rsidR="00BF2026">
              <w:rPr>
                <w:noProof/>
                <w:webHidden/>
              </w:rPr>
              <w:instrText xml:space="preserve"> PAGEREF _Toc120464444 \h </w:instrText>
            </w:r>
            <w:r w:rsidR="00BF2026">
              <w:rPr>
                <w:noProof/>
                <w:webHidden/>
              </w:rPr>
            </w:r>
            <w:r w:rsidR="00BF2026">
              <w:rPr>
                <w:noProof/>
                <w:webHidden/>
              </w:rPr>
              <w:fldChar w:fldCharType="separate"/>
            </w:r>
            <w:r w:rsidR="008C795B">
              <w:rPr>
                <w:noProof/>
                <w:webHidden/>
              </w:rPr>
              <w:t>89</w:t>
            </w:r>
            <w:r w:rsidR="00BF2026">
              <w:rPr>
                <w:noProof/>
                <w:webHidden/>
              </w:rPr>
              <w:fldChar w:fldCharType="end"/>
            </w:r>
          </w:hyperlink>
        </w:p>
        <w:p w14:paraId="67A66F91" w14:textId="3EE57036" w:rsidR="00BF2026" w:rsidRDefault="00000000">
          <w:pPr>
            <w:pStyle w:val="Spistreci2"/>
            <w:rPr>
              <w:rFonts w:eastAsiaTheme="minorEastAsia" w:cstheme="minorBidi"/>
              <w:smallCaps w:val="0"/>
              <w:noProof/>
              <w:sz w:val="22"/>
              <w:szCs w:val="22"/>
              <w:lang w:eastAsia="pl-PL"/>
            </w:rPr>
          </w:pPr>
          <w:hyperlink w:anchor="_Toc120464445"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_Toc120464445 \h </w:instrText>
            </w:r>
            <w:r w:rsidR="00BF2026">
              <w:rPr>
                <w:noProof/>
                <w:webHidden/>
              </w:rPr>
            </w:r>
            <w:r w:rsidR="00BF2026">
              <w:rPr>
                <w:noProof/>
                <w:webHidden/>
              </w:rPr>
              <w:fldChar w:fldCharType="separate"/>
            </w:r>
            <w:r w:rsidR="008C795B">
              <w:rPr>
                <w:noProof/>
                <w:webHidden/>
              </w:rPr>
              <w:t>89</w:t>
            </w:r>
            <w:r w:rsidR="00BF2026">
              <w:rPr>
                <w:noProof/>
                <w:webHidden/>
              </w:rPr>
              <w:fldChar w:fldCharType="end"/>
            </w:r>
          </w:hyperlink>
        </w:p>
        <w:p w14:paraId="7712FAFE" w14:textId="609A569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46"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_Toc120464446 \h </w:instrText>
            </w:r>
            <w:r w:rsidR="00BF2026">
              <w:rPr>
                <w:noProof/>
                <w:webHidden/>
              </w:rPr>
            </w:r>
            <w:r w:rsidR="00BF2026">
              <w:rPr>
                <w:noProof/>
                <w:webHidden/>
              </w:rPr>
              <w:fldChar w:fldCharType="separate"/>
            </w:r>
            <w:r w:rsidR="008C795B">
              <w:rPr>
                <w:noProof/>
                <w:webHidden/>
              </w:rPr>
              <w:t>90</w:t>
            </w:r>
            <w:r w:rsidR="00BF2026">
              <w:rPr>
                <w:noProof/>
                <w:webHidden/>
              </w:rPr>
              <w:fldChar w:fldCharType="end"/>
            </w:r>
          </w:hyperlink>
        </w:p>
        <w:p w14:paraId="2E33E300" w14:textId="4198C09E"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47" w:history="1">
            <w:r w:rsidR="00BF2026" w:rsidRPr="001733C2">
              <w:rPr>
                <w:rStyle w:val="Hipercze"/>
                <w:rFonts w:eastAsia="Times New Roman" w:cs="Calibri"/>
                <w:bCs/>
                <w:noProof/>
              </w:rPr>
              <w:t>Zintegrowane projekty rozwoju terytorialnego</w:t>
            </w:r>
            <w:r w:rsidR="00BF2026">
              <w:rPr>
                <w:noProof/>
                <w:webHidden/>
              </w:rPr>
              <w:tab/>
            </w:r>
            <w:r w:rsidR="00BF2026">
              <w:rPr>
                <w:noProof/>
                <w:webHidden/>
              </w:rPr>
              <w:fldChar w:fldCharType="begin"/>
            </w:r>
            <w:r w:rsidR="00BF2026">
              <w:rPr>
                <w:noProof/>
                <w:webHidden/>
              </w:rPr>
              <w:instrText xml:space="preserve"> PAGEREF _Toc120464447 \h </w:instrText>
            </w:r>
            <w:r w:rsidR="00BF2026">
              <w:rPr>
                <w:noProof/>
                <w:webHidden/>
              </w:rPr>
            </w:r>
            <w:r w:rsidR="00BF2026">
              <w:rPr>
                <w:noProof/>
                <w:webHidden/>
              </w:rPr>
              <w:fldChar w:fldCharType="separate"/>
            </w:r>
            <w:r w:rsidR="008C795B">
              <w:rPr>
                <w:noProof/>
                <w:webHidden/>
              </w:rPr>
              <w:t>90</w:t>
            </w:r>
            <w:r w:rsidR="00BF2026">
              <w:rPr>
                <w:noProof/>
                <w:webHidden/>
              </w:rPr>
              <w:fldChar w:fldCharType="end"/>
            </w:r>
          </w:hyperlink>
        </w:p>
        <w:p w14:paraId="1798533D" w14:textId="685ED47D" w:rsidR="00BF2026" w:rsidRDefault="00000000">
          <w:pPr>
            <w:pStyle w:val="Spistreci2"/>
            <w:rPr>
              <w:rFonts w:eastAsiaTheme="minorEastAsia" w:cstheme="minorBidi"/>
              <w:smallCaps w:val="0"/>
              <w:noProof/>
              <w:sz w:val="22"/>
              <w:szCs w:val="22"/>
              <w:lang w:eastAsia="pl-PL"/>
            </w:rPr>
          </w:pPr>
          <w:hyperlink w:anchor="_Toc120464448" w:history="1">
            <w:r w:rsidR="00BF2026" w:rsidRPr="001733C2">
              <w:rPr>
                <w:rStyle w:val="Hipercze"/>
                <w:noProof/>
              </w:rPr>
              <w:t>Wskaźniki rezultatu</w:t>
            </w:r>
            <w:r w:rsidR="00BF2026">
              <w:rPr>
                <w:noProof/>
                <w:webHidden/>
              </w:rPr>
              <w:tab/>
            </w:r>
            <w:r w:rsidR="00BF2026">
              <w:rPr>
                <w:noProof/>
                <w:webHidden/>
              </w:rPr>
              <w:fldChar w:fldCharType="begin"/>
            </w:r>
            <w:r w:rsidR="00BF2026">
              <w:rPr>
                <w:noProof/>
                <w:webHidden/>
              </w:rPr>
              <w:instrText xml:space="preserve"> PAGEREF _Toc120464448 \h </w:instrText>
            </w:r>
            <w:r w:rsidR="00BF2026">
              <w:rPr>
                <w:noProof/>
                <w:webHidden/>
              </w:rPr>
            </w:r>
            <w:r w:rsidR="00BF2026">
              <w:rPr>
                <w:noProof/>
                <w:webHidden/>
              </w:rPr>
              <w:fldChar w:fldCharType="separate"/>
            </w:r>
            <w:r w:rsidR="008C795B">
              <w:rPr>
                <w:noProof/>
                <w:webHidden/>
              </w:rPr>
              <w:t>91</w:t>
            </w:r>
            <w:r w:rsidR="00BF2026">
              <w:rPr>
                <w:noProof/>
                <w:webHidden/>
              </w:rPr>
              <w:fldChar w:fldCharType="end"/>
            </w:r>
          </w:hyperlink>
        </w:p>
        <w:p w14:paraId="49BE15A3" w14:textId="4877A8F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49" w:history="1">
            <w:r w:rsidR="00BF2026" w:rsidRPr="001733C2">
              <w:rPr>
                <w:rStyle w:val="Hipercze"/>
                <w:rFonts w:eastAsia="Times New Roman" w:cs="Calibri"/>
                <w:bCs/>
                <w:noProof/>
              </w:rPr>
              <w:t>Liczba osób, które zamieszkują obszar objęty realizacją instrumentu rozwoju terytorialnego</w:t>
            </w:r>
            <w:r w:rsidR="00BF2026">
              <w:rPr>
                <w:noProof/>
                <w:webHidden/>
              </w:rPr>
              <w:tab/>
            </w:r>
            <w:r w:rsidR="00BF2026">
              <w:rPr>
                <w:noProof/>
                <w:webHidden/>
              </w:rPr>
              <w:fldChar w:fldCharType="begin"/>
            </w:r>
            <w:r w:rsidR="00BF2026">
              <w:rPr>
                <w:noProof/>
                <w:webHidden/>
              </w:rPr>
              <w:instrText xml:space="preserve"> PAGEREF _Toc120464449 \h </w:instrText>
            </w:r>
            <w:r w:rsidR="00BF2026">
              <w:rPr>
                <w:noProof/>
                <w:webHidden/>
              </w:rPr>
            </w:r>
            <w:r w:rsidR="00BF2026">
              <w:rPr>
                <w:noProof/>
                <w:webHidden/>
              </w:rPr>
              <w:fldChar w:fldCharType="separate"/>
            </w:r>
            <w:r w:rsidR="008C795B">
              <w:rPr>
                <w:noProof/>
                <w:webHidden/>
              </w:rPr>
              <w:t>92</w:t>
            </w:r>
            <w:r w:rsidR="00BF2026">
              <w:rPr>
                <w:noProof/>
                <w:webHidden/>
              </w:rPr>
              <w:fldChar w:fldCharType="end"/>
            </w:r>
          </w:hyperlink>
        </w:p>
        <w:p w14:paraId="1C50FD30" w14:textId="0126FAB4"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50" w:history="1">
            <w:r w:rsidR="00BF2026" w:rsidRPr="001733C2">
              <w:rPr>
                <w:rStyle w:val="Hipercze"/>
                <w:rFonts w:eastAsia="Times New Roman" w:cs="Calibri"/>
                <w:bCs/>
                <w:noProof/>
              </w:rPr>
              <w:t>Liczba osób odwiedzających obiekty kulturalne i turystyczne objęte wsparciem</w:t>
            </w:r>
            <w:r w:rsidR="00BF2026">
              <w:rPr>
                <w:noProof/>
                <w:webHidden/>
              </w:rPr>
              <w:tab/>
            </w:r>
            <w:r w:rsidR="00BF2026">
              <w:rPr>
                <w:noProof/>
                <w:webHidden/>
              </w:rPr>
              <w:fldChar w:fldCharType="begin"/>
            </w:r>
            <w:r w:rsidR="00BF2026">
              <w:rPr>
                <w:noProof/>
                <w:webHidden/>
              </w:rPr>
              <w:instrText xml:space="preserve"> PAGEREF _Toc120464450 \h </w:instrText>
            </w:r>
            <w:r w:rsidR="00BF2026">
              <w:rPr>
                <w:noProof/>
                <w:webHidden/>
              </w:rPr>
            </w:r>
            <w:r w:rsidR="00BF2026">
              <w:rPr>
                <w:noProof/>
                <w:webHidden/>
              </w:rPr>
              <w:fldChar w:fldCharType="separate"/>
            </w:r>
            <w:r w:rsidR="008C795B">
              <w:rPr>
                <w:noProof/>
                <w:webHidden/>
              </w:rPr>
              <w:t>92</w:t>
            </w:r>
            <w:r w:rsidR="00BF2026">
              <w:rPr>
                <w:noProof/>
                <w:webHidden/>
              </w:rPr>
              <w:fldChar w:fldCharType="end"/>
            </w:r>
          </w:hyperlink>
        </w:p>
        <w:p w14:paraId="6A0DCE49" w14:textId="0EED2C1A" w:rsidR="00BF2026" w:rsidRDefault="00000000">
          <w:pPr>
            <w:pStyle w:val="Spistreci1"/>
            <w:rPr>
              <w:rFonts w:eastAsiaTheme="minorEastAsia" w:cstheme="minorBidi"/>
              <w:b w:val="0"/>
              <w:bCs w:val="0"/>
              <w:caps w:val="0"/>
              <w:noProof/>
              <w:sz w:val="22"/>
              <w:szCs w:val="22"/>
              <w:lang w:eastAsia="pl-PL"/>
            </w:rPr>
          </w:pPr>
          <w:hyperlink w:anchor="_Toc120464451" w:history="1">
            <w:r w:rsidR="00BF2026" w:rsidRPr="001733C2">
              <w:rPr>
                <w:rStyle w:val="Hipercze"/>
                <w:noProof/>
              </w:rPr>
              <w:t>PRIORYTET 7: FUNDUSZE EUROPEJSKIE NA RZECZ RYNKU PRACY I WŁĄCZENIA SPOŁECZNEGO NA DOLNYM ŚLĄSKU (CP4 EFS+)</w:t>
            </w:r>
            <w:r w:rsidR="00BF2026">
              <w:rPr>
                <w:noProof/>
                <w:webHidden/>
              </w:rPr>
              <w:tab/>
            </w:r>
            <w:r w:rsidR="00BF2026">
              <w:rPr>
                <w:noProof/>
                <w:webHidden/>
              </w:rPr>
              <w:fldChar w:fldCharType="begin"/>
            </w:r>
            <w:r w:rsidR="00BF2026">
              <w:rPr>
                <w:noProof/>
                <w:webHidden/>
              </w:rPr>
              <w:instrText xml:space="preserve"> PAGEREF _Toc120464451 \h </w:instrText>
            </w:r>
            <w:r w:rsidR="00BF2026">
              <w:rPr>
                <w:noProof/>
                <w:webHidden/>
              </w:rPr>
            </w:r>
            <w:r w:rsidR="00BF2026">
              <w:rPr>
                <w:noProof/>
                <w:webHidden/>
              </w:rPr>
              <w:fldChar w:fldCharType="separate"/>
            </w:r>
            <w:r w:rsidR="008C795B">
              <w:rPr>
                <w:noProof/>
                <w:webHidden/>
              </w:rPr>
              <w:t>93</w:t>
            </w:r>
            <w:r w:rsidR="00BF2026">
              <w:rPr>
                <w:noProof/>
                <w:webHidden/>
              </w:rPr>
              <w:fldChar w:fldCharType="end"/>
            </w:r>
          </w:hyperlink>
        </w:p>
        <w:p w14:paraId="2EAFBB09" w14:textId="0EBCB96A" w:rsidR="00BF2026" w:rsidRDefault="00000000">
          <w:pPr>
            <w:pStyle w:val="Spistreci2"/>
            <w:rPr>
              <w:rFonts w:eastAsiaTheme="minorEastAsia" w:cstheme="minorBidi"/>
              <w:smallCaps w:val="0"/>
              <w:noProof/>
              <w:sz w:val="22"/>
              <w:szCs w:val="22"/>
              <w:lang w:eastAsia="pl-PL"/>
            </w:rPr>
          </w:pPr>
          <w:hyperlink w:anchor="_Toc120464452" w:history="1">
            <w:r w:rsidR="00BF2026" w:rsidRPr="001733C2">
              <w:rPr>
                <w:rStyle w:val="Hipercze"/>
                <w:noProof/>
              </w:rPr>
              <w:t>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BF2026">
              <w:rPr>
                <w:noProof/>
                <w:webHidden/>
              </w:rPr>
              <w:tab/>
            </w:r>
            <w:r w:rsidR="00BF2026">
              <w:rPr>
                <w:noProof/>
                <w:webHidden/>
              </w:rPr>
              <w:fldChar w:fldCharType="begin"/>
            </w:r>
            <w:r w:rsidR="00BF2026">
              <w:rPr>
                <w:noProof/>
                <w:webHidden/>
              </w:rPr>
              <w:instrText xml:space="preserve"> PAGEREF _Toc120464452 \h </w:instrText>
            </w:r>
            <w:r w:rsidR="00BF2026">
              <w:rPr>
                <w:noProof/>
                <w:webHidden/>
              </w:rPr>
            </w:r>
            <w:r w:rsidR="00BF2026">
              <w:rPr>
                <w:noProof/>
                <w:webHidden/>
              </w:rPr>
              <w:fldChar w:fldCharType="separate"/>
            </w:r>
            <w:r w:rsidR="008C795B">
              <w:rPr>
                <w:noProof/>
                <w:webHidden/>
              </w:rPr>
              <w:t>93</w:t>
            </w:r>
            <w:r w:rsidR="00BF2026">
              <w:rPr>
                <w:noProof/>
                <w:webHidden/>
              </w:rPr>
              <w:fldChar w:fldCharType="end"/>
            </w:r>
          </w:hyperlink>
        </w:p>
        <w:p w14:paraId="26A70D0E" w14:textId="22BC7CF8" w:rsidR="00BF2026" w:rsidRDefault="00000000">
          <w:pPr>
            <w:pStyle w:val="Spistreci2"/>
            <w:rPr>
              <w:rFonts w:eastAsiaTheme="minorEastAsia" w:cstheme="minorBidi"/>
              <w:smallCaps w:val="0"/>
              <w:noProof/>
              <w:sz w:val="22"/>
              <w:szCs w:val="22"/>
              <w:lang w:eastAsia="pl-PL"/>
            </w:rPr>
          </w:pPr>
          <w:hyperlink w:anchor="_Toc120464453"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_Toc120464453 \h </w:instrText>
            </w:r>
            <w:r w:rsidR="00BF2026">
              <w:rPr>
                <w:noProof/>
                <w:webHidden/>
              </w:rPr>
            </w:r>
            <w:r w:rsidR="00BF2026">
              <w:rPr>
                <w:noProof/>
                <w:webHidden/>
              </w:rPr>
              <w:fldChar w:fldCharType="separate"/>
            </w:r>
            <w:r w:rsidR="008C795B">
              <w:rPr>
                <w:noProof/>
                <w:webHidden/>
              </w:rPr>
              <w:t>93</w:t>
            </w:r>
            <w:r w:rsidR="00BF2026">
              <w:rPr>
                <w:noProof/>
                <w:webHidden/>
              </w:rPr>
              <w:fldChar w:fldCharType="end"/>
            </w:r>
          </w:hyperlink>
        </w:p>
        <w:p w14:paraId="71ACA22E" w14:textId="55A58B8E"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54" w:history="1">
            <w:r w:rsidR="00BF2026" w:rsidRPr="001733C2">
              <w:rPr>
                <w:rStyle w:val="Hipercze"/>
                <w:rFonts w:eastAsia="Times New Roman"/>
                <w:bCs/>
                <w:noProof/>
              </w:rPr>
              <w:t>Bezrobotni, w tym długotrwale bezrobotni</w:t>
            </w:r>
            <w:r w:rsidR="00BF2026">
              <w:rPr>
                <w:noProof/>
                <w:webHidden/>
              </w:rPr>
              <w:tab/>
            </w:r>
            <w:r w:rsidR="00BF2026">
              <w:rPr>
                <w:noProof/>
                <w:webHidden/>
              </w:rPr>
              <w:fldChar w:fldCharType="begin"/>
            </w:r>
            <w:r w:rsidR="00BF2026">
              <w:rPr>
                <w:noProof/>
                <w:webHidden/>
              </w:rPr>
              <w:instrText xml:space="preserve"> PAGEREF _Toc120464454 \h </w:instrText>
            </w:r>
            <w:r w:rsidR="00BF2026">
              <w:rPr>
                <w:noProof/>
                <w:webHidden/>
              </w:rPr>
            </w:r>
            <w:r w:rsidR="00BF2026">
              <w:rPr>
                <w:noProof/>
                <w:webHidden/>
              </w:rPr>
              <w:fldChar w:fldCharType="separate"/>
            </w:r>
            <w:r w:rsidR="008C795B">
              <w:rPr>
                <w:noProof/>
                <w:webHidden/>
              </w:rPr>
              <w:t>93</w:t>
            </w:r>
            <w:r w:rsidR="00BF2026">
              <w:rPr>
                <w:noProof/>
                <w:webHidden/>
              </w:rPr>
              <w:fldChar w:fldCharType="end"/>
            </w:r>
          </w:hyperlink>
        </w:p>
        <w:p w14:paraId="06D6C596" w14:textId="32614E8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55" w:history="1">
            <w:r w:rsidR="00BF2026" w:rsidRPr="001733C2">
              <w:rPr>
                <w:rStyle w:val="Hipercze"/>
                <w:rFonts w:eastAsia="Times New Roman"/>
                <w:bCs/>
                <w:noProof/>
              </w:rPr>
              <w:t>Osoby młode w wieku 18–29 lat</w:t>
            </w:r>
            <w:r w:rsidR="00BF2026">
              <w:rPr>
                <w:noProof/>
                <w:webHidden/>
              </w:rPr>
              <w:tab/>
            </w:r>
            <w:r w:rsidR="00BF2026">
              <w:rPr>
                <w:noProof/>
                <w:webHidden/>
              </w:rPr>
              <w:fldChar w:fldCharType="begin"/>
            </w:r>
            <w:r w:rsidR="00BF2026">
              <w:rPr>
                <w:noProof/>
                <w:webHidden/>
              </w:rPr>
              <w:instrText xml:space="preserve"> PAGEREF _Toc120464455 \h </w:instrText>
            </w:r>
            <w:r w:rsidR="00BF2026">
              <w:rPr>
                <w:noProof/>
                <w:webHidden/>
              </w:rPr>
            </w:r>
            <w:r w:rsidR="00BF2026">
              <w:rPr>
                <w:noProof/>
                <w:webHidden/>
              </w:rPr>
              <w:fldChar w:fldCharType="separate"/>
            </w:r>
            <w:r w:rsidR="008C795B">
              <w:rPr>
                <w:noProof/>
                <w:webHidden/>
              </w:rPr>
              <w:t>95</w:t>
            </w:r>
            <w:r w:rsidR="00BF2026">
              <w:rPr>
                <w:noProof/>
                <w:webHidden/>
              </w:rPr>
              <w:fldChar w:fldCharType="end"/>
            </w:r>
          </w:hyperlink>
        </w:p>
        <w:p w14:paraId="7866BD2B" w14:textId="5F2DFA5F" w:rsidR="00BF2026" w:rsidRDefault="00000000">
          <w:pPr>
            <w:pStyle w:val="Spistreci2"/>
            <w:rPr>
              <w:rFonts w:eastAsiaTheme="minorEastAsia" w:cstheme="minorBidi"/>
              <w:smallCaps w:val="0"/>
              <w:noProof/>
              <w:sz w:val="22"/>
              <w:szCs w:val="22"/>
              <w:lang w:eastAsia="pl-PL"/>
            </w:rPr>
          </w:pPr>
          <w:hyperlink w:anchor="_Toc120464456"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_Toc120464456 \h </w:instrText>
            </w:r>
            <w:r w:rsidR="00BF2026">
              <w:rPr>
                <w:noProof/>
                <w:webHidden/>
              </w:rPr>
            </w:r>
            <w:r w:rsidR="00BF2026">
              <w:rPr>
                <w:noProof/>
                <w:webHidden/>
              </w:rPr>
              <w:fldChar w:fldCharType="separate"/>
            </w:r>
            <w:r w:rsidR="008C795B">
              <w:rPr>
                <w:noProof/>
                <w:webHidden/>
              </w:rPr>
              <w:t>97</w:t>
            </w:r>
            <w:r w:rsidR="00BF2026">
              <w:rPr>
                <w:noProof/>
                <w:webHidden/>
              </w:rPr>
              <w:fldChar w:fldCharType="end"/>
            </w:r>
          </w:hyperlink>
        </w:p>
        <w:p w14:paraId="187404DF" w14:textId="3052E32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57" w:history="1">
            <w:r w:rsidR="00BF2026" w:rsidRPr="001733C2">
              <w:rPr>
                <w:rStyle w:val="Hipercze"/>
                <w:rFonts w:eastAsia="Times New Roman"/>
                <w:bCs/>
                <w:noProof/>
              </w:rPr>
              <w:t>Uczestnicy pracujący po zakończeniu udziału w programie</w:t>
            </w:r>
            <w:r w:rsidR="00BF2026">
              <w:rPr>
                <w:noProof/>
                <w:webHidden/>
              </w:rPr>
              <w:tab/>
            </w:r>
            <w:r w:rsidR="00BF2026">
              <w:rPr>
                <w:noProof/>
                <w:webHidden/>
              </w:rPr>
              <w:fldChar w:fldCharType="begin"/>
            </w:r>
            <w:r w:rsidR="00BF2026">
              <w:rPr>
                <w:noProof/>
                <w:webHidden/>
              </w:rPr>
              <w:instrText xml:space="preserve"> PAGEREF _Toc120464457 \h </w:instrText>
            </w:r>
            <w:r w:rsidR="00BF2026">
              <w:rPr>
                <w:noProof/>
                <w:webHidden/>
              </w:rPr>
            </w:r>
            <w:r w:rsidR="00BF2026">
              <w:rPr>
                <w:noProof/>
                <w:webHidden/>
              </w:rPr>
              <w:fldChar w:fldCharType="separate"/>
            </w:r>
            <w:r w:rsidR="008C795B">
              <w:rPr>
                <w:noProof/>
                <w:webHidden/>
              </w:rPr>
              <w:t>97</w:t>
            </w:r>
            <w:r w:rsidR="00BF2026">
              <w:rPr>
                <w:noProof/>
                <w:webHidden/>
              </w:rPr>
              <w:fldChar w:fldCharType="end"/>
            </w:r>
          </w:hyperlink>
        </w:p>
        <w:p w14:paraId="35EBA85E" w14:textId="39843CA8" w:rsidR="00BF2026" w:rsidRDefault="00000000">
          <w:pPr>
            <w:pStyle w:val="Spistreci2"/>
            <w:rPr>
              <w:rFonts w:eastAsiaTheme="minorEastAsia" w:cstheme="minorBidi"/>
              <w:smallCaps w:val="0"/>
              <w:noProof/>
              <w:sz w:val="22"/>
              <w:szCs w:val="22"/>
              <w:lang w:eastAsia="pl-PL"/>
            </w:rPr>
          </w:pPr>
          <w:hyperlink w:anchor="_Toc120464458" w:history="1">
            <w:r w:rsidR="00BF2026" w:rsidRPr="001733C2">
              <w:rPr>
                <w:rStyle w:val="Hipercze"/>
                <w:rFonts w:eastAsia="Times New Roman"/>
                <w:noProof/>
              </w:rPr>
              <w:t>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BF2026">
              <w:rPr>
                <w:noProof/>
                <w:webHidden/>
              </w:rPr>
              <w:tab/>
            </w:r>
            <w:r w:rsidR="00BF2026">
              <w:rPr>
                <w:noProof/>
                <w:webHidden/>
              </w:rPr>
              <w:fldChar w:fldCharType="begin"/>
            </w:r>
            <w:r w:rsidR="00BF2026">
              <w:rPr>
                <w:noProof/>
                <w:webHidden/>
              </w:rPr>
              <w:instrText xml:space="preserve"> PAGEREF _Toc120464458 \h </w:instrText>
            </w:r>
            <w:r w:rsidR="00BF2026">
              <w:rPr>
                <w:noProof/>
                <w:webHidden/>
              </w:rPr>
            </w:r>
            <w:r w:rsidR="00BF2026">
              <w:rPr>
                <w:noProof/>
                <w:webHidden/>
              </w:rPr>
              <w:fldChar w:fldCharType="separate"/>
            </w:r>
            <w:r w:rsidR="008C795B">
              <w:rPr>
                <w:noProof/>
                <w:webHidden/>
              </w:rPr>
              <w:t>98</w:t>
            </w:r>
            <w:r w:rsidR="00BF2026">
              <w:rPr>
                <w:noProof/>
                <w:webHidden/>
              </w:rPr>
              <w:fldChar w:fldCharType="end"/>
            </w:r>
          </w:hyperlink>
        </w:p>
        <w:p w14:paraId="2CA6F152" w14:textId="2A468395" w:rsidR="00BF2026" w:rsidRDefault="00000000">
          <w:pPr>
            <w:pStyle w:val="Spistreci2"/>
            <w:rPr>
              <w:rFonts w:eastAsiaTheme="minorEastAsia" w:cstheme="minorBidi"/>
              <w:smallCaps w:val="0"/>
              <w:noProof/>
              <w:sz w:val="22"/>
              <w:szCs w:val="22"/>
              <w:lang w:eastAsia="pl-PL"/>
            </w:rPr>
          </w:pPr>
          <w:hyperlink w:anchor="_Toc120464459"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_Toc120464459 \h </w:instrText>
            </w:r>
            <w:r w:rsidR="00BF2026">
              <w:rPr>
                <w:noProof/>
                <w:webHidden/>
              </w:rPr>
            </w:r>
            <w:r w:rsidR="00BF2026">
              <w:rPr>
                <w:noProof/>
                <w:webHidden/>
              </w:rPr>
              <w:fldChar w:fldCharType="separate"/>
            </w:r>
            <w:r w:rsidR="008C795B">
              <w:rPr>
                <w:noProof/>
                <w:webHidden/>
              </w:rPr>
              <w:t>98</w:t>
            </w:r>
            <w:r w:rsidR="00BF2026">
              <w:rPr>
                <w:noProof/>
                <w:webHidden/>
              </w:rPr>
              <w:fldChar w:fldCharType="end"/>
            </w:r>
          </w:hyperlink>
        </w:p>
        <w:p w14:paraId="1B84A218" w14:textId="295716D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60" w:history="1">
            <w:r w:rsidR="00BF2026" w:rsidRPr="001733C2">
              <w:rPr>
                <w:rStyle w:val="Hipercze"/>
                <w:rFonts w:eastAsia="Times New Roman"/>
                <w:bCs/>
                <w:noProof/>
              </w:rPr>
              <w:t>Liczba pracowników instytucji rynku pracy objętych wsparciem w programie</w:t>
            </w:r>
            <w:r w:rsidR="00BF2026">
              <w:rPr>
                <w:noProof/>
                <w:webHidden/>
              </w:rPr>
              <w:tab/>
            </w:r>
            <w:r w:rsidR="00BF2026">
              <w:rPr>
                <w:noProof/>
                <w:webHidden/>
              </w:rPr>
              <w:fldChar w:fldCharType="begin"/>
            </w:r>
            <w:r w:rsidR="00BF2026">
              <w:rPr>
                <w:noProof/>
                <w:webHidden/>
              </w:rPr>
              <w:instrText xml:space="preserve"> PAGEREF _Toc120464460 \h </w:instrText>
            </w:r>
            <w:r w:rsidR="00BF2026">
              <w:rPr>
                <w:noProof/>
                <w:webHidden/>
              </w:rPr>
            </w:r>
            <w:r w:rsidR="00BF2026">
              <w:rPr>
                <w:noProof/>
                <w:webHidden/>
              </w:rPr>
              <w:fldChar w:fldCharType="separate"/>
            </w:r>
            <w:r w:rsidR="008C795B">
              <w:rPr>
                <w:noProof/>
                <w:webHidden/>
              </w:rPr>
              <w:t>98</w:t>
            </w:r>
            <w:r w:rsidR="00BF2026">
              <w:rPr>
                <w:noProof/>
                <w:webHidden/>
              </w:rPr>
              <w:fldChar w:fldCharType="end"/>
            </w:r>
          </w:hyperlink>
        </w:p>
        <w:p w14:paraId="4A4B3B40" w14:textId="3B6E3736" w:rsidR="00BF2026" w:rsidRDefault="00000000">
          <w:pPr>
            <w:pStyle w:val="Spistreci2"/>
            <w:rPr>
              <w:rFonts w:eastAsiaTheme="minorEastAsia" w:cstheme="minorBidi"/>
              <w:smallCaps w:val="0"/>
              <w:noProof/>
              <w:sz w:val="22"/>
              <w:szCs w:val="22"/>
              <w:lang w:eastAsia="pl-PL"/>
            </w:rPr>
          </w:pPr>
          <w:hyperlink w:anchor="_Toc120464461"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_Toc120464461 \h </w:instrText>
            </w:r>
            <w:r w:rsidR="00BF2026">
              <w:rPr>
                <w:noProof/>
                <w:webHidden/>
              </w:rPr>
            </w:r>
            <w:r w:rsidR="00BF2026">
              <w:rPr>
                <w:noProof/>
                <w:webHidden/>
              </w:rPr>
              <w:fldChar w:fldCharType="separate"/>
            </w:r>
            <w:r w:rsidR="008C795B">
              <w:rPr>
                <w:noProof/>
                <w:webHidden/>
              </w:rPr>
              <w:t>99</w:t>
            </w:r>
            <w:r w:rsidR="00BF2026">
              <w:rPr>
                <w:noProof/>
                <w:webHidden/>
              </w:rPr>
              <w:fldChar w:fldCharType="end"/>
            </w:r>
          </w:hyperlink>
        </w:p>
        <w:p w14:paraId="432CD97F" w14:textId="1AEF80DB"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62" w:history="1">
            <w:r w:rsidR="00BF2026" w:rsidRPr="001733C2">
              <w:rPr>
                <w:rStyle w:val="Hipercze"/>
                <w:rFonts w:eastAsia="Times New Roman"/>
                <w:bCs/>
                <w:noProof/>
              </w:rPr>
              <w:t>Uczestnicy uzyskujący kwalifikacje po zakończeniu udziału w programie</w:t>
            </w:r>
            <w:r w:rsidR="00BF2026">
              <w:rPr>
                <w:noProof/>
                <w:webHidden/>
              </w:rPr>
              <w:tab/>
            </w:r>
            <w:r w:rsidR="00BF2026">
              <w:rPr>
                <w:noProof/>
                <w:webHidden/>
              </w:rPr>
              <w:fldChar w:fldCharType="begin"/>
            </w:r>
            <w:r w:rsidR="00BF2026">
              <w:rPr>
                <w:noProof/>
                <w:webHidden/>
              </w:rPr>
              <w:instrText xml:space="preserve"> PAGEREF _Toc120464462 \h </w:instrText>
            </w:r>
            <w:r w:rsidR="00BF2026">
              <w:rPr>
                <w:noProof/>
                <w:webHidden/>
              </w:rPr>
            </w:r>
            <w:r w:rsidR="00BF2026">
              <w:rPr>
                <w:noProof/>
                <w:webHidden/>
              </w:rPr>
              <w:fldChar w:fldCharType="separate"/>
            </w:r>
            <w:r w:rsidR="008C795B">
              <w:rPr>
                <w:noProof/>
                <w:webHidden/>
              </w:rPr>
              <w:t>99</w:t>
            </w:r>
            <w:r w:rsidR="00BF2026">
              <w:rPr>
                <w:noProof/>
                <w:webHidden/>
              </w:rPr>
              <w:fldChar w:fldCharType="end"/>
            </w:r>
          </w:hyperlink>
        </w:p>
        <w:p w14:paraId="2AA0AF69" w14:textId="3664DEF9" w:rsidR="00BF2026" w:rsidRDefault="00000000">
          <w:pPr>
            <w:pStyle w:val="Spistreci2"/>
            <w:rPr>
              <w:rFonts w:eastAsiaTheme="minorEastAsia" w:cstheme="minorBidi"/>
              <w:smallCaps w:val="0"/>
              <w:noProof/>
              <w:sz w:val="22"/>
              <w:szCs w:val="22"/>
              <w:lang w:eastAsia="pl-PL"/>
            </w:rPr>
          </w:pPr>
          <w:hyperlink w:anchor="_Toc120464463" w:history="1">
            <w:r w:rsidR="00BF2026" w:rsidRPr="001733C2">
              <w:rPr>
                <w:rStyle w:val="Hipercze"/>
                <w:rFonts w:eastAsia="Times New Roman"/>
                <w:noProof/>
              </w:rPr>
              <w:t>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BF2026">
              <w:rPr>
                <w:noProof/>
                <w:webHidden/>
              </w:rPr>
              <w:tab/>
            </w:r>
            <w:r w:rsidR="00BF2026">
              <w:rPr>
                <w:noProof/>
                <w:webHidden/>
              </w:rPr>
              <w:fldChar w:fldCharType="begin"/>
            </w:r>
            <w:r w:rsidR="00BF2026">
              <w:rPr>
                <w:noProof/>
                <w:webHidden/>
              </w:rPr>
              <w:instrText xml:space="preserve"> PAGEREF _Toc120464463 \h </w:instrText>
            </w:r>
            <w:r w:rsidR="00BF2026">
              <w:rPr>
                <w:noProof/>
                <w:webHidden/>
              </w:rPr>
            </w:r>
            <w:r w:rsidR="00BF2026">
              <w:rPr>
                <w:noProof/>
                <w:webHidden/>
              </w:rPr>
              <w:fldChar w:fldCharType="separate"/>
            </w:r>
            <w:r w:rsidR="008C795B">
              <w:rPr>
                <w:noProof/>
                <w:webHidden/>
              </w:rPr>
              <w:t>100</w:t>
            </w:r>
            <w:r w:rsidR="00BF2026">
              <w:rPr>
                <w:noProof/>
                <w:webHidden/>
              </w:rPr>
              <w:fldChar w:fldCharType="end"/>
            </w:r>
          </w:hyperlink>
        </w:p>
        <w:p w14:paraId="7176138D" w14:textId="3D3E49F0" w:rsidR="00BF2026" w:rsidRDefault="00000000">
          <w:pPr>
            <w:pStyle w:val="Spistreci2"/>
            <w:rPr>
              <w:rFonts w:eastAsiaTheme="minorEastAsia" w:cstheme="minorBidi"/>
              <w:smallCaps w:val="0"/>
              <w:noProof/>
              <w:sz w:val="22"/>
              <w:szCs w:val="22"/>
              <w:lang w:eastAsia="pl-PL"/>
            </w:rPr>
          </w:pPr>
          <w:hyperlink w:anchor="_Toc120464464" w:history="1">
            <w:r w:rsidR="00BF2026" w:rsidRPr="001733C2">
              <w:rPr>
                <w:rStyle w:val="Hipercze"/>
                <w:rFonts w:eastAsia="Times New Roman"/>
                <w:noProof/>
              </w:rPr>
              <w:t>Wskaźniki produktu</w:t>
            </w:r>
            <w:r w:rsidR="00BF2026">
              <w:rPr>
                <w:noProof/>
                <w:webHidden/>
              </w:rPr>
              <w:tab/>
            </w:r>
            <w:r w:rsidR="00BF2026">
              <w:rPr>
                <w:noProof/>
                <w:webHidden/>
              </w:rPr>
              <w:fldChar w:fldCharType="begin"/>
            </w:r>
            <w:r w:rsidR="00BF2026">
              <w:rPr>
                <w:noProof/>
                <w:webHidden/>
              </w:rPr>
              <w:instrText xml:space="preserve"> PAGEREF _Toc120464464 \h </w:instrText>
            </w:r>
            <w:r w:rsidR="00BF2026">
              <w:rPr>
                <w:noProof/>
                <w:webHidden/>
              </w:rPr>
            </w:r>
            <w:r w:rsidR="00BF2026">
              <w:rPr>
                <w:noProof/>
                <w:webHidden/>
              </w:rPr>
              <w:fldChar w:fldCharType="separate"/>
            </w:r>
            <w:r w:rsidR="008C795B">
              <w:rPr>
                <w:noProof/>
                <w:webHidden/>
              </w:rPr>
              <w:t>100</w:t>
            </w:r>
            <w:r w:rsidR="00BF2026">
              <w:rPr>
                <w:noProof/>
                <w:webHidden/>
              </w:rPr>
              <w:fldChar w:fldCharType="end"/>
            </w:r>
          </w:hyperlink>
        </w:p>
        <w:p w14:paraId="59D90234" w14:textId="42C765C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65" w:history="1">
            <w:r w:rsidR="00BF2026" w:rsidRPr="001733C2">
              <w:rPr>
                <w:rStyle w:val="Hipercze"/>
                <w:rFonts w:eastAsia="Times New Roman"/>
                <w:bCs/>
                <w:noProof/>
              </w:rPr>
              <w:t>Liczba osób objętych wsparciem w zakresie równości kobiet i mężczyzn</w:t>
            </w:r>
            <w:r w:rsidR="00BF2026">
              <w:rPr>
                <w:noProof/>
                <w:webHidden/>
              </w:rPr>
              <w:tab/>
            </w:r>
            <w:r w:rsidR="00BF2026">
              <w:rPr>
                <w:noProof/>
                <w:webHidden/>
              </w:rPr>
              <w:fldChar w:fldCharType="begin"/>
            </w:r>
            <w:r w:rsidR="00BF2026">
              <w:rPr>
                <w:noProof/>
                <w:webHidden/>
              </w:rPr>
              <w:instrText xml:space="preserve"> PAGEREF _Toc120464465 \h </w:instrText>
            </w:r>
            <w:r w:rsidR="00BF2026">
              <w:rPr>
                <w:noProof/>
                <w:webHidden/>
              </w:rPr>
            </w:r>
            <w:r w:rsidR="00BF2026">
              <w:rPr>
                <w:noProof/>
                <w:webHidden/>
              </w:rPr>
              <w:fldChar w:fldCharType="separate"/>
            </w:r>
            <w:r w:rsidR="008C795B">
              <w:rPr>
                <w:noProof/>
                <w:webHidden/>
              </w:rPr>
              <w:t>100</w:t>
            </w:r>
            <w:r w:rsidR="00BF2026">
              <w:rPr>
                <w:noProof/>
                <w:webHidden/>
              </w:rPr>
              <w:fldChar w:fldCharType="end"/>
            </w:r>
          </w:hyperlink>
        </w:p>
        <w:p w14:paraId="75367A00" w14:textId="595D32BB" w:rsidR="00BF2026" w:rsidRDefault="00000000">
          <w:pPr>
            <w:pStyle w:val="Spistreci2"/>
            <w:rPr>
              <w:rFonts w:eastAsiaTheme="minorEastAsia" w:cstheme="minorBidi"/>
              <w:smallCaps w:val="0"/>
              <w:noProof/>
              <w:sz w:val="22"/>
              <w:szCs w:val="22"/>
              <w:lang w:eastAsia="pl-PL"/>
            </w:rPr>
          </w:pPr>
          <w:hyperlink w:anchor="_Toc120464466"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_Toc120464466 \h </w:instrText>
            </w:r>
            <w:r w:rsidR="00BF2026">
              <w:rPr>
                <w:noProof/>
                <w:webHidden/>
              </w:rPr>
            </w:r>
            <w:r w:rsidR="00BF2026">
              <w:rPr>
                <w:noProof/>
                <w:webHidden/>
              </w:rPr>
              <w:fldChar w:fldCharType="separate"/>
            </w:r>
            <w:r w:rsidR="008C795B">
              <w:rPr>
                <w:noProof/>
                <w:webHidden/>
              </w:rPr>
              <w:t>101</w:t>
            </w:r>
            <w:r w:rsidR="00BF2026">
              <w:rPr>
                <w:noProof/>
                <w:webHidden/>
              </w:rPr>
              <w:fldChar w:fldCharType="end"/>
            </w:r>
          </w:hyperlink>
        </w:p>
        <w:p w14:paraId="45F34E88" w14:textId="52AC262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67" w:history="1">
            <w:r w:rsidR="00BF2026" w:rsidRPr="001733C2">
              <w:rPr>
                <w:rStyle w:val="Hipercze"/>
                <w:rFonts w:eastAsia="Calibri"/>
                <w:noProof/>
              </w:rPr>
              <w:t>Liczba osób, które podniosły poziom wiedzy w zakresie równości kobiet i mężczyzn dzięki wsparciu w programie</w:t>
            </w:r>
            <w:r w:rsidR="00BF2026">
              <w:rPr>
                <w:noProof/>
                <w:webHidden/>
              </w:rPr>
              <w:tab/>
            </w:r>
            <w:r w:rsidR="00BF2026">
              <w:rPr>
                <w:noProof/>
                <w:webHidden/>
              </w:rPr>
              <w:fldChar w:fldCharType="begin"/>
            </w:r>
            <w:r w:rsidR="00BF2026">
              <w:rPr>
                <w:noProof/>
                <w:webHidden/>
              </w:rPr>
              <w:instrText xml:space="preserve"> PAGEREF _Toc120464467 \h </w:instrText>
            </w:r>
            <w:r w:rsidR="00BF2026">
              <w:rPr>
                <w:noProof/>
                <w:webHidden/>
              </w:rPr>
            </w:r>
            <w:r w:rsidR="00BF2026">
              <w:rPr>
                <w:noProof/>
                <w:webHidden/>
              </w:rPr>
              <w:fldChar w:fldCharType="separate"/>
            </w:r>
            <w:r w:rsidR="008C795B">
              <w:rPr>
                <w:noProof/>
                <w:webHidden/>
              </w:rPr>
              <w:t>101</w:t>
            </w:r>
            <w:r w:rsidR="00BF2026">
              <w:rPr>
                <w:noProof/>
                <w:webHidden/>
              </w:rPr>
              <w:fldChar w:fldCharType="end"/>
            </w:r>
          </w:hyperlink>
        </w:p>
        <w:p w14:paraId="22188D0D" w14:textId="0EC70914" w:rsidR="00BF2026" w:rsidRDefault="00000000">
          <w:pPr>
            <w:pStyle w:val="Spistreci2"/>
            <w:rPr>
              <w:rFonts w:eastAsiaTheme="minorEastAsia" w:cstheme="minorBidi"/>
              <w:smallCaps w:val="0"/>
              <w:noProof/>
              <w:sz w:val="22"/>
              <w:szCs w:val="22"/>
              <w:lang w:eastAsia="pl-PL"/>
            </w:rPr>
          </w:pPr>
          <w:hyperlink w:anchor="_Toc120464468" w:history="1">
            <w:r w:rsidR="00BF2026" w:rsidRPr="001733C2">
              <w:rPr>
                <w:rStyle w:val="Hipercze"/>
                <w:rFonts w:eastAsia="Times New Roman"/>
                <w:noProof/>
              </w:rPr>
              <w:t xml:space="preserve">CEL SZCZEGÓŁOWY: </w:t>
            </w:r>
            <w:r w:rsidR="00BF2026" w:rsidRPr="001733C2">
              <w:rPr>
                <w:rStyle w:val="Hipercze"/>
                <w:noProof/>
              </w:rPr>
              <w:t>ESO4.4. Wspieranie dostosowania pracowników, przedsiębiorstw i przedsiębiorców do zmian, wspieranie aktywnego i zdrowego starzenia się oraz zdrowego i dobrze dostosowanego środowiska pracy, które uwzględnia zagrożenia dla zdrowia (EFS+)</w:t>
            </w:r>
            <w:r w:rsidR="00BF2026">
              <w:rPr>
                <w:noProof/>
                <w:webHidden/>
              </w:rPr>
              <w:tab/>
            </w:r>
            <w:r w:rsidR="00BF2026">
              <w:rPr>
                <w:noProof/>
                <w:webHidden/>
              </w:rPr>
              <w:fldChar w:fldCharType="begin"/>
            </w:r>
            <w:r w:rsidR="00BF2026">
              <w:rPr>
                <w:noProof/>
                <w:webHidden/>
              </w:rPr>
              <w:instrText xml:space="preserve"> PAGEREF _Toc120464468 \h </w:instrText>
            </w:r>
            <w:r w:rsidR="00BF2026">
              <w:rPr>
                <w:noProof/>
                <w:webHidden/>
              </w:rPr>
            </w:r>
            <w:r w:rsidR="00BF2026">
              <w:rPr>
                <w:noProof/>
                <w:webHidden/>
              </w:rPr>
              <w:fldChar w:fldCharType="separate"/>
            </w:r>
            <w:r w:rsidR="008C795B">
              <w:rPr>
                <w:noProof/>
                <w:webHidden/>
              </w:rPr>
              <w:t>101</w:t>
            </w:r>
            <w:r w:rsidR="00BF2026">
              <w:rPr>
                <w:noProof/>
                <w:webHidden/>
              </w:rPr>
              <w:fldChar w:fldCharType="end"/>
            </w:r>
          </w:hyperlink>
        </w:p>
        <w:p w14:paraId="22E7F6CE" w14:textId="09B7E8BB" w:rsidR="00BF2026" w:rsidRDefault="00000000">
          <w:pPr>
            <w:pStyle w:val="Spistreci2"/>
            <w:rPr>
              <w:rFonts w:eastAsiaTheme="minorEastAsia" w:cstheme="minorBidi"/>
              <w:smallCaps w:val="0"/>
              <w:noProof/>
              <w:sz w:val="22"/>
              <w:szCs w:val="22"/>
              <w:lang w:eastAsia="pl-PL"/>
            </w:rPr>
          </w:pPr>
          <w:hyperlink w:anchor="_Toc120464469" w:history="1">
            <w:r w:rsidR="00BF2026" w:rsidRPr="001733C2">
              <w:rPr>
                <w:rStyle w:val="Hipercze"/>
                <w:rFonts w:eastAsia="Times New Roman"/>
                <w:noProof/>
              </w:rPr>
              <w:t>Wskaźniki produktu</w:t>
            </w:r>
            <w:r w:rsidR="00BF2026">
              <w:rPr>
                <w:noProof/>
                <w:webHidden/>
              </w:rPr>
              <w:tab/>
            </w:r>
            <w:r w:rsidR="00BF2026">
              <w:rPr>
                <w:noProof/>
                <w:webHidden/>
              </w:rPr>
              <w:fldChar w:fldCharType="begin"/>
            </w:r>
            <w:r w:rsidR="00BF2026">
              <w:rPr>
                <w:noProof/>
                <w:webHidden/>
              </w:rPr>
              <w:instrText xml:space="preserve"> PAGEREF _Toc120464469 \h </w:instrText>
            </w:r>
            <w:r w:rsidR="00BF2026">
              <w:rPr>
                <w:noProof/>
                <w:webHidden/>
              </w:rPr>
            </w:r>
            <w:r w:rsidR="00BF2026">
              <w:rPr>
                <w:noProof/>
                <w:webHidden/>
              </w:rPr>
              <w:fldChar w:fldCharType="separate"/>
            </w:r>
            <w:r w:rsidR="008C795B">
              <w:rPr>
                <w:noProof/>
                <w:webHidden/>
              </w:rPr>
              <w:t>101</w:t>
            </w:r>
            <w:r w:rsidR="00BF2026">
              <w:rPr>
                <w:noProof/>
                <w:webHidden/>
              </w:rPr>
              <w:fldChar w:fldCharType="end"/>
            </w:r>
          </w:hyperlink>
        </w:p>
        <w:p w14:paraId="37F3F076" w14:textId="039DAFBC"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0" w:history="1">
            <w:r w:rsidR="00BF2026" w:rsidRPr="001733C2">
              <w:rPr>
                <w:rStyle w:val="Hipercze"/>
                <w:rFonts w:eastAsia="Times New Roman"/>
                <w:bCs/>
                <w:noProof/>
              </w:rPr>
              <w:t>Liczba osób objętych wsparciem w obszarze zdrowia</w:t>
            </w:r>
            <w:r w:rsidR="00BF2026">
              <w:rPr>
                <w:noProof/>
                <w:webHidden/>
              </w:rPr>
              <w:tab/>
            </w:r>
            <w:r w:rsidR="00BF2026">
              <w:rPr>
                <w:noProof/>
                <w:webHidden/>
              </w:rPr>
              <w:fldChar w:fldCharType="begin"/>
            </w:r>
            <w:r w:rsidR="00BF2026">
              <w:rPr>
                <w:noProof/>
                <w:webHidden/>
              </w:rPr>
              <w:instrText xml:space="preserve"> PAGEREF _Toc120464470 \h </w:instrText>
            </w:r>
            <w:r w:rsidR="00BF2026">
              <w:rPr>
                <w:noProof/>
                <w:webHidden/>
              </w:rPr>
            </w:r>
            <w:r w:rsidR="00BF2026">
              <w:rPr>
                <w:noProof/>
                <w:webHidden/>
              </w:rPr>
              <w:fldChar w:fldCharType="separate"/>
            </w:r>
            <w:r w:rsidR="008C795B">
              <w:rPr>
                <w:noProof/>
                <w:webHidden/>
              </w:rPr>
              <w:t>101</w:t>
            </w:r>
            <w:r w:rsidR="00BF2026">
              <w:rPr>
                <w:noProof/>
                <w:webHidden/>
              </w:rPr>
              <w:fldChar w:fldCharType="end"/>
            </w:r>
          </w:hyperlink>
        </w:p>
        <w:p w14:paraId="245CBE7A" w14:textId="5C8662F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1" w:history="1">
            <w:r w:rsidR="00BF2026" w:rsidRPr="001733C2">
              <w:rPr>
                <w:rStyle w:val="Hipercze"/>
                <w:rFonts w:eastAsia="Times New Roman"/>
                <w:bCs/>
                <w:noProof/>
              </w:rPr>
              <w:t>Liczba mikro-, małych i średnich przedsiębiorstw (w tym spółdzielni i przedsiębiorstw społecznych) objętych usługami rozwojowymi</w:t>
            </w:r>
            <w:r w:rsidR="00BF2026">
              <w:rPr>
                <w:noProof/>
                <w:webHidden/>
              </w:rPr>
              <w:tab/>
            </w:r>
            <w:r w:rsidR="00BF2026">
              <w:rPr>
                <w:noProof/>
                <w:webHidden/>
              </w:rPr>
              <w:fldChar w:fldCharType="begin"/>
            </w:r>
            <w:r w:rsidR="00BF2026">
              <w:rPr>
                <w:noProof/>
                <w:webHidden/>
              </w:rPr>
              <w:instrText xml:space="preserve"> PAGEREF _Toc120464471 \h </w:instrText>
            </w:r>
            <w:r w:rsidR="00BF2026">
              <w:rPr>
                <w:noProof/>
                <w:webHidden/>
              </w:rPr>
            </w:r>
            <w:r w:rsidR="00BF2026">
              <w:rPr>
                <w:noProof/>
                <w:webHidden/>
              </w:rPr>
              <w:fldChar w:fldCharType="separate"/>
            </w:r>
            <w:r w:rsidR="008C795B">
              <w:rPr>
                <w:noProof/>
                <w:webHidden/>
              </w:rPr>
              <w:t>103</w:t>
            </w:r>
            <w:r w:rsidR="00BF2026">
              <w:rPr>
                <w:noProof/>
                <w:webHidden/>
              </w:rPr>
              <w:fldChar w:fldCharType="end"/>
            </w:r>
          </w:hyperlink>
        </w:p>
        <w:p w14:paraId="15041F78" w14:textId="40DE70C4"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2" w:history="1">
            <w:r w:rsidR="00BF2026" w:rsidRPr="001733C2">
              <w:rPr>
                <w:rStyle w:val="Hipercze"/>
                <w:rFonts w:eastAsia="Times New Roman"/>
                <w:bCs/>
                <w:noProof/>
              </w:rPr>
              <w:t>Liczba osób objętych wsparciem z zakresu outplacementu</w:t>
            </w:r>
            <w:r w:rsidR="00BF2026">
              <w:rPr>
                <w:noProof/>
                <w:webHidden/>
              </w:rPr>
              <w:tab/>
            </w:r>
            <w:r w:rsidR="00BF2026">
              <w:rPr>
                <w:noProof/>
                <w:webHidden/>
              </w:rPr>
              <w:fldChar w:fldCharType="begin"/>
            </w:r>
            <w:r w:rsidR="00BF2026">
              <w:rPr>
                <w:noProof/>
                <w:webHidden/>
              </w:rPr>
              <w:instrText xml:space="preserve"> PAGEREF _Toc120464472 \h </w:instrText>
            </w:r>
            <w:r w:rsidR="00BF2026">
              <w:rPr>
                <w:noProof/>
                <w:webHidden/>
              </w:rPr>
            </w:r>
            <w:r w:rsidR="00BF2026">
              <w:rPr>
                <w:noProof/>
                <w:webHidden/>
              </w:rPr>
              <w:fldChar w:fldCharType="separate"/>
            </w:r>
            <w:r w:rsidR="008C795B">
              <w:rPr>
                <w:noProof/>
                <w:webHidden/>
              </w:rPr>
              <w:t>105</w:t>
            </w:r>
            <w:r w:rsidR="00BF2026">
              <w:rPr>
                <w:noProof/>
                <w:webHidden/>
              </w:rPr>
              <w:fldChar w:fldCharType="end"/>
            </w:r>
          </w:hyperlink>
        </w:p>
        <w:p w14:paraId="5A380D91" w14:textId="771406F0" w:rsidR="00BF2026" w:rsidRDefault="00000000">
          <w:pPr>
            <w:pStyle w:val="Spistreci2"/>
            <w:rPr>
              <w:rFonts w:eastAsiaTheme="minorEastAsia" w:cstheme="minorBidi"/>
              <w:smallCaps w:val="0"/>
              <w:noProof/>
              <w:sz w:val="22"/>
              <w:szCs w:val="22"/>
              <w:lang w:eastAsia="pl-PL"/>
            </w:rPr>
          </w:pPr>
          <w:hyperlink w:anchor="_Toc120464473"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_Toc120464473 \h </w:instrText>
            </w:r>
            <w:r w:rsidR="00BF2026">
              <w:rPr>
                <w:noProof/>
                <w:webHidden/>
              </w:rPr>
            </w:r>
            <w:r w:rsidR="00BF2026">
              <w:rPr>
                <w:noProof/>
                <w:webHidden/>
              </w:rPr>
              <w:fldChar w:fldCharType="separate"/>
            </w:r>
            <w:r w:rsidR="008C795B">
              <w:rPr>
                <w:noProof/>
                <w:webHidden/>
              </w:rPr>
              <w:t>106</w:t>
            </w:r>
            <w:r w:rsidR="00BF2026">
              <w:rPr>
                <w:noProof/>
                <w:webHidden/>
              </w:rPr>
              <w:fldChar w:fldCharType="end"/>
            </w:r>
          </w:hyperlink>
        </w:p>
        <w:p w14:paraId="336D5EC0" w14:textId="016002F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4" w:history="1">
            <w:r w:rsidR="00BF2026" w:rsidRPr="001733C2">
              <w:rPr>
                <w:rStyle w:val="Hipercze"/>
                <w:rFonts w:eastAsia="Times New Roman"/>
                <w:bCs/>
                <w:noProof/>
              </w:rPr>
              <w:t>Liczba pracowników, którzy uzyskali kwalifikacje w wyniku uczestnictwa w usłudze rozwojowej</w:t>
            </w:r>
            <w:r w:rsidR="00BF2026">
              <w:rPr>
                <w:noProof/>
                <w:webHidden/>
              </w:rPr>
              <w:tab/>
            </w:r>
            <w:r w:rsidR="00BF2026">
              <w:rPr>
                <w:noProof/>
                <w:webHidden/>
              </w:rPr>
              <w:fldChar w:fldCharType="begin"/>
            </w:r>
            <w:r w:rsidR="00BF2026">
              <w:rPr>
                <w:noProof/>
                <w:webHidden/>
              </w:rPr>
              <w:instrText xml:space="preserve"> PAGEREF _Toc120464474 \h </w:instrText>
            </w:r>
            <w:r w:rsidR="00BF2026">
              <w:rPr>
                <w:noProof/>
                <w:webHidden/>
              </w:rPr>
            </w:r>
            <w:r w:rsidR="00BF2026">
              <w:rPr>
                <w:noProof/>
                <w:webHidden/>
              </w:rPr>
              <w:fldChar w:fldCharType="separate"/>
            </w:r>
            <w:r w:rsidR="008C795B">
              <w:rPr>
                <w:noProof/>
                <w:webHidden/>
              </w:rPr>
              <w:t>106</w:t>
            </w:r>
            <w:r w:rsidR="00BF2026">
              <w:rPr>
                <w:noProof/>
                <w:webHidden/>
              </w:rPr>
              <w:fldChar w:fldCharType="end"/>
            </w:r>
          </w:hyperlink>
        </w:p>
        <w:p w14:paraId="05D8B4E2" w14:textId="47EC1A5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5" w:history="1">
            <w:r w:rsidR="00BF2026" w:rsidRPr="001733C2">
              <w:rPr>
                <w:rStyle w:val="Hipercze"/>
                <w:rFonts w:eastAsia="Times New Roman"/>
                <w:bCs/>
                <w:noProof/>
              </w:rPr>
              <w:t>Liczba osób, które w wyniku realizacji wsparcia z zakresu outplacementu/adaptacji środowiska pracy/elastycznych form zatrudnienia podjęły pracę lub kontynuowały zatrudnienie</w:t>
            </w:r>
            <w:r w:rsidR="00BF2026">
              <w:rPr>
                <w:noProof/>
                <w:webHidden/>
              </w:rPr>
              <w:tab/>
            </w:r>
            <w:r w:rsidR="00BF2026">
              <w:rPr>
                <w:noProof/>
                <w:webHidden/>
              </w:rPr>
              <w:fldChar w:fldCharType="begin"/>
            </w:r>
            <w:r w:rsidR="00BF2026">
              <w:rPr>
                <w:noProof/>
                <w:webHidden/>
              </w:rPr>
              <w:instrText xml:space="preserve"> PAGEREF _Toc120464475 \h </w:instrText>
            </w:r>
            <w:r w:rsidR="00BF2026">
              <w:rPr>
                <w:noProof/>
                <w:webHidden/>
              </w:rPr>
            </w:r>
            <w:r w:rsidR="00BF2026">
              <w:rPr>
                <w:noProof/>
                <w:webHidden/>
              </w:rPr>
              <w:fldChar w:fldCharType="separate"/>
            </w:r>
            <w:r w:rsidR="008C795B">
              <w:rPr>
                <w:noProof/>
                <w:webHidden/>
              </w:rPr>
              <w:t>108</w:t>
            </w:r>
            <w:r w:rsidR="00BF2026">
              <w:rPr>
                <w:noProof/>
                <w:webHidden/>
              </w:rPr>
              <w:fldChar w:fldCharType="end"/>
            </w:r>
          </w:hyperlink>
        </w:p>
        <w:p w14:paraId="65A0005D" w14:textId="1987CEF9" w:rsidR="00BF2026" w:rsidRDefault="00000000">
          <w:pPr>
            <w:pStyle w:val="Spistreci2"/>
            <w:rPr>
              <w:rFonts w:eastAsiaTheme="minorEastAsia" w:cstheme="minorBidi"/>
              <w:smallCaps w:val="0"/>
              <w:noProof/>
              <w:sz w:val="22"/>
              <w:szCs w:val="22"/>
              <w:lang w:eastAsia="pl-PL"/>
            </w:rPr>
          </w:pPr>
          <w:hyperlink w:anchor="_Toc120464476" w:history="1">
            <w:r w:rsidR="00BF2026" w:rsidRPr="001733C2">
              <w:rPr>
                <w:rStyle w:val="Hipercze"/>
                <w:noProof/>
              </w:rPr>
              <w:t>CEL SZCZEGÓŁOWY: ESO4.8. Wspieranie aktywnego włączenia społecznego w celu promowania równości szans, niedyskryminacji i aktywnego uczestnictwa, oraz zwiększanie zdolności do zatrudnienia, w szczególności grup w niekorzystnej sytuacji (EFS+)</w:t>
            </w:r>
            <w:r w:rsidR="00BF2026">
              <w:rPr>
                <w:noProof/>
                <w:webHidden/>
              </w:rPr>
              <w:tab/>
            </w:r>
            <w:r w:rsidR="00BF2026">
              <w:rPr>
                <w:noProof/>
                <w:webHidden/>
              </w:rPr>
              <w:fldChar w:fldCharType="begin"/>
            </w:r>
            <w:r w:rsidR="00BF2026">
              <w:rPr>
                <w:noProof/>
                <w:webHidden/>
              </w:rPr>
              <w:instrText xml:space="preserve"> PAGEREF _Toc120464476 \h </w:instrText>
            </w:r>
            <w:r w:rsidR="00BF2026">
              <w:rPr>
                <w:noProof/>
                <w:webHidden/>
              </w:rPr>
            </w:r>
            <w:r w:rsidR="00BF2026">
              <w:rPr>
                <w:noProof/>
                <w:webHidden/>
              </w:rPr>
              <w:fldChar w:fldCharType="separate"/>
            </w:r>
            <w:r w:rsidR="008C795B">
              <w:rPr>
                <w:noProof/>
                <w:webHidden/>
              </w:rPr>
              <w:t>109</w:t>
            </w:r>
            <w:r w:rsidR="00BF2026">
              <w:rPr>
                <w:noProof/>
                <w:webHidden/>
              </w:rPr>
              <w:fldChar w:fldCharType="end"/>
            </w:r>
          </w:hyperlink>
        </w:p>
        <w:p w14:paraId="463AEDD1" w14:textId="6DCE8617" w:rsidR="00BF2026" w:rsidRDefault="00000000">
          <w:pPr>
            <w:pStyle w:val="Spistreci2"/>
            <w:rPr>
              <w:rFonts w:eastAsiaTheme="minorEastAsia" w:cstheme="minorBidi"/>
              <w:smallCaps w:val="0"/>
              <w:noProof/>
              <w:sz w:val="22"/>
              <w:szCs w:val="22"/>
              <w:lang w:eastAsia="pl-PL"/>
            </w:rPr>
          </w:pPr>
          <w:hyperlink w:anchor="_Toc120464477"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_Toc120464477 \h </w:instrText>
            </w:r>
            <w:r w:rsidR="00BF2026">
              <w:rPr>
                <w:noProof/>
                <w:webHidden/>
              </w:rPr>
            </w:r>
            <w:r w:rsidR="00BF2026">
              <w:rPr>
                <w:noProof/>
                <w:webHidden/>
              </w:rPr>
              <w:fldChar w:fldCharType="separate"/>
            </w:r>
            <w:r w:rsidR="008C795B">
              <w:rPr>
                <w:noProof/>
                <w:webHidden/>
              </w:rPr>
              <w:t>109</w:t>
            </w:r>
            <w:r w:rsidR="00BF2026">
              <w:rPr>
                <w:noProof/>
                <w:webHidden/>
              </w:rPr>
              <w:fldChar w:fldCharType="end"/>
            </w:r>
          </w:hyperlink>
        </w:p>
        <w:p w14:paraId="5DC23255" w14:textId="0AD7E2CE"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8" w:history="1">
            <w:r w:rsidR="00BF2026" w:rsidRPr="001733C2">
              <w:rPr>
                <w:rStyle w:val="Hipercze"/>
                <w:rFonts w:eastAsia="Calibri"/>
                <w:noProof/>
              </w:rPr>
              <w:t>Bezrobotni, w tym długotrwale bezrobotni</w:t>
            </w:r>
            <w:r w:rsidR="00BF2026">
              <w:rPr>
                <w:noProof/>
                <w:webHidden/>
              </w:rPr>
              <w:tab/>
            </w:r>
            <w:r w:rsidR="00BF2026">
              <w:rPr>
                <w:noProof/>
                <w:webHidden/>
              </w:rPr>
              <w:fldChar w:fldCharType="begin"/>
            </w:r>
            <w:r w:rsidR="00BF2026">
              <w:rPr>
                <w:noProof/>
                <w:webHidden/>
              </w:rPr>
              <w:instrText xml:space="preserve"> PAGEREF _Toc120464478 \h </w:instrText>
            </w:r>
            <w:r w:rsidR="00BF2026">
              <w:rPr>
                <w:noProof/>
                <w:webHidden/>
              </w:rPr>
            </w:r>
            <w:r w:rsidR="00BF2026">
              <w:rPr>
                <w:noProof/>
                <w:webHidden/>
              </w:rPr>
              <w:fldChar w:fldCharType="separate"/>
            </w:r>
            <w:r w:rsidR="008C795B">
              <w:rPr>
                <w:noProof/>
                <w:webHidden/>
              </w:rPr>
              <w:t>109</w:t>
            </w:r>
            <w:r w:rsidR="00BF2026">
              <w:rPr>
                <w:noProof/>
                <w:webHidden/>
              </w:rPr>
              <w:fldChar w:fldCharType="end"/>
            </w:r>
          </w:hyperlink>
        </w:p>
        <w:p w14:paraId="7E11C4B0" w14:textId="73807B6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79" w:history="1">
            <w:r w:rsidR="00BF2026" w:rsidRPr="001733C2">
              <w:rPr>
                <w:rStyle w:val="Hipercze"/>
                <w:rFonts w:eastAsia="Times New Roman"/>
                <w:bCs/>
                <w:noProof/>
              </w:rPr>
              <w:t>Mniejszości (w tym społeczności marginalizowane, takie jak Romowie)</w:t>
            </w:r>
            <w:r w:rsidR="00BF2026">
              <w:rPr>
                <w:noProof/>
                <w:webHidden/>
              </w:rPr>
              <w:tab/>
            </w:r>
            <w:r w:rsidR="00BF2026">
              <w:rPr>
                <w:noProof/>
                <w:webHidden/>
              </w:rPr>
              <w:fldChar w:fldCharType="begin"/>
            </w:r>
            <w:r w:rsidR="00BF2026">
              <w:rPr>
                <w:noProof/>
                <w:webHidden/>
              </w:rPr>
              <w:instrText xml:space="preserve"> PAGEREF _Toc120464479 \h </w:instrText>
            </w:r>
            <w:r w:rsidR="00BF2026">
              <w:rPr>
                <w:noProof/>
                <w:webHidden/>
              </w:rPr>
            </w:r>
            <w:r w:rsidR="00BF2026">
              <w:rPr>
                <w:noProof/>
                <w:webHidden/>
              </w:rPr>
              <w:fldChar w:fldCharType="separate"/>
            </w:r>
            <w:r w:rsidR="008C795B">
              <w:rPr>
                <w:noProof/>
                <w:webHidden/>
              </w:rPr>
              <w:t>111</w:t>
            </w:r>
            <w:r w:rsidR="00BF2026">
              <w:rPr>
                <w:noProof/>
                <w:webHidden/>
              </w:rPr>
              <w:fldChar w:fldCharType="end"/>
            </w:r>
          </w:hyperlink>
        </w:p>
        <w:p w14:paraId="0AB37DAA" w14:textId="0CFEAF0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80" w:history="1">
            <w:r w:rsidR="00BF2026" w:rsidRPr="001733C2">
              <w:rPr>
                <w:rStyle w:val="Hipercze"/>
                <w:rFonts w:eastAsia="Times New Roman"/>
                <w:bCs/>
                <w:noProof/>
              </w:rPr>
              <w:t>Osoby młode w wieku 18–29 lat</w:t>
            </w:r>
            <w:r w:rsidR="00BF2026">
              <w:rPr>
                <w:noProof/>
                <w:webHidden/>
              </w:rPr>
              <w:tab/>
            </w:r>
            <w:r w:rsidR="00BF2026">
              <w:rPr>
                <w:noProof/>
                <w:webHidden/>
              </w:rPr>
              <w:fldChar w:fldCharType="begin"/>
            </w:r>
            <w:r w:rsidR="00BF2026">
              <w:rPr>
                <w:noProof/>
                <w:webHidden/>
              </w:rPr>
              <w:instrText xml:space="preserve"> PAGEREF _Toc120464480 \h </w:instrText>
            </w:r>
            <w:r w:rsidR="00BF2026">
              <w:rPr>
                <w:noProof/>
                <w:webHidden/>
              </w:rPr>
            </w:r>
            <w:r w:rsidR="00BF2026">
              <w:rPr>
                <w:noProof/>
                <w:webHidden/>
              </w:rPr>
              <w:fldChar w:fldCharType="separate"/>
            </w:r>
            <w:r w:rsidR="008C795B">
              <w:rPr>
                <w:noProof/>
                <w:webHidden/>
              </w:rPr>
              <w:t>113</w:t>
            </w:r>
            <w:r w:rsidR="00BF2026">
              <w:rPr>
                <w:noProof/>
                <w:webHidden/>
              </w:rPr>
              <w:fldChar w:fldCharType="end"/>
            </w:r>
          </w:hyperlink>
        </w:p>
        <w:p w14:paraId="22E8A1A0" w14:textId="2BB2842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81" w:history="1">
            <w:r w:rsidR="00BF2026" w:rsidRPr="001733C2">
              <w:rPr>
                <w:rStyle w:val="Hipercze"/>
                <w:rFonts w:eastAsia="Times New Roman"/>
                <w:bCs/>
                <w:noProof/>
              </w:rPr>
              <w:t>Liczba podmiotów ekonomii społecznej objętych wsparciem</w:t>
            </w:r>
            <w:r w:rsidR="00BF2026">
              <w:rPr>
                <w:noProof/>
                <w:webHidden/>
              </w:rPr>
              <w:tab/>
            </w:r>
            <w:r w:rsidR="00BF2026">
              <w:rPr>
                <w:noProof/>
                <w:webHidden/>
              </w:rPr>
              <w:fldChar w:fldCharType="begin"/>
            </w:r>
            <w:r w:rsidR="00BF2026">
              <w:rPr>
                <w:noProof/>
                <w:webHidden/>
              </w:rPr>
              <w:instrText xml:space="preserve"> PAGEREF _Toc120464481 \h </w:instrText>
            </w:r>
            <w:r w:rsidR="00BF2026">
              <w:rPr>
                <w:noProof/>
                <w:webHidden/>
              </w:rPr>
            </w:r>
            <w:r w:rsidR="00BF2026">
              <w:rPr>
                <w:noProof/>
                <w:webHidden/>
              </w:rPr>
              <w:fldChar w:fldCharType="separate"/>
            </w:r>
            <w:r w:rsidR="008C795B">
              <w:rPr>
                <w:noProof/>
                <w:webHidden/>
              </w:rPr>
              <w:t>115</w:t>
            </w:r>
            <w:r w:rsidR="00BF2026">
              <w:rPr>
                <w:noProof/>
                <w:webHidden/>
              </w:rPr>
              <w:fldChar w:fldCharType="end"/>
            </w:r>
          </w:hyperlink>
        </w:p>
        <w:p w14:paraId="518D39CF" w14:textId="3638DCE4" w:rsidR="00BF2026" w:rsidRDefault="00000000">
          <w:pPr>
            <w:pStyle w:val="Spistreci2"/>
            <w:rPr>
              <w:rFonts w:eastAsiaTheme="minorEastAsia" w:cstheme="minorBidi"/>
              <w:smallCaps w:val="0"/>
              <w:noProof/>
              <w:sz w:val="22"/>
              <w:szCs w:val="22"/>
              <w:lang w:eastAsia="pl-PL"/>
            </w:rPr>
          </w:pPr>
          <w:hyperlink w:anchor="_Toc120464482"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_Toc120464482 \h </w:instrText>
            </w:r>
            <w:r w:rsidR="00BF2026">
              <w:rPr>
                <w:noProof/>
                <w:webHidden/>
              </w:rPr>
            </w:r>
            <w:r w:rsidR="00BF2026">
              <w:rPr>
                <w:noProof/>
                <w:webHidden/>
              </w:rPr>
              <w:fldChar w:fldCharType="separate"/>
            </w:r>
            <w:r w:rsidR="008C795B">
              <w:rPr>
                <w:noProof/>
                <w:webHidden/>
              </w:rPr>
              <w:t>116</w:t>
            </w:r>
            <w:r w:rsidR="00BF2026">
              <w:rPr>
                <w:noProof/>
                <w:webHidden/>
              </w:rPr>
              <w:fldChar w:fldCharType="end"/>
            </w:r>
          </w:hyperlink>
        </w:p>
        <w:p w14:paraId="31EFAD5D" w14:textId="2306CE4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83" w:history="1">
            <w:r w:rsidR="00BF2026" w:rsidRPr="001733C2">
              <w:rPr>
                <w:rStyle w:val="Hipercze"/>
                <w:rFonts w:eastAsia="Times New Roman"/>
                <w:bCs/>
                <w:noProof/>
              </w:rPr>
              <w:t>Liczba osób, których sytuacja społeczna uległa poprawie po opuszczeniu programu</w:t>
            </w:r>
            <w:r w:rsidR="00BF2026">
              <w:rPr>
                <w:noProof/>
                <w:webHidden/>
              </w:rPr>
              <w:tab/>
            </w:r>
            <w:r w:rsidR="00BF2026">
              <w:rPr>
                <w:noProof/>
                <w:webHidden/>
              </w:rPr>
              <w:fldChar w:fldCharType="begin"/>
            </w:r>
            <w:r w:rsidR="00BF2026">
              <w:rPr>
                <w:noProof/>
                <w:webHidden/>
              </w:rPr>
              <w:instrText xml:space="preserve"> PAGEREF _Toc120464483 \h </w:instrText>
            </w:r>
            <w:r w:rsidR="00BF2026">
              <w:rPr>
                <w:noProof/>
                <w:webHidden/>
              </w:rPr>
            </w:r>
            <w:r w:rsidR="00BF2026">
              <w:rPr>
                <w:noProof/>
                <w:webHidden/>
              </w:rPr>
              <w:fldChar w:fldCharType="separate"/>
            </w:r>
            <w:r w:rsidR="008C795B">
              <w:rPr>
                <w:noProof/>
                <w:webHidden/>
              </w:rPr>
              <w:t>116</w:t>
            </w:r>
            <w:r w:rsidR="00BF2026">
              <w:rPr>
                <w:noProof/>
                <w:webHidden/>
              </w:rPr>
              <w:fldChar w:fldCharType="end"/>
            </w:r>
          </w:hyperlink>
        </w:p>
        <w:p w14:paraId="52DAA997" w14:textId="2D12C131"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84" w:history="1">
            <w:r w:rsidR="00BF2026" w:rsidRPr="001733C2">
              <w:rPr>
                <w:rStyle w:val="Hipercze"/>
                <w:rFonts w:eastAsia="Times New Roman"/>
                <w:bCs/>
                <w:noProof/>
              </w:rPr>
              <w:t>Liczba miejsc pracy utworzonych w przedsiębiorstwach społecznych</w:t>
            </w:r>
            <w:r w:rsidR="00BF2026">
              <w:rPr>
                <w:noProof/>
                <w:webHidden/>
              </w:rPr>
              <w:tab/>
            </w:r>
            <w:r w:rsidR="00BF2026">
              <w:rPr>
                <w:noProof/>
                <w:webHidden/>
              </w:rPr>
              <w:fldChar w:fldCharType="begin"/>
            </w:r>
            <w:r w:rsidR="00BF2026">
              <w:rPr>
                <w:noProof/>
                <w:webHidden/>
              </w:rPr>
              <w:instrText xml:space="preserve"> PAGEREF _Toc120464484 \h </w:instrText>
            </w:r>
            <w:r w:rsidR="00BF2026">
              <w:rPr>
                <w:noProof/>
                <w:webHidden/>
              </w:rPr>
            </w:r>
            <w:r w:rsidR="00BF2026">
              <w:rPr>
                <w:noProof/>
                <w:webHidden/>
              </w:rPr>
              <w:fldChar w:fldCharType="separate"/>
            </w:r>
            <w:r w:rsidR="008C795B">
              <w:rPr>
                <w:noProof/>
                <w:webHidden/>
              </w:rPr>
              <w:t>117</w:t>
            </w:r>
            <w:r w:rsidR="00BF2026">
              <w:rPr>
                <w:noProof/>
                <w:webHidden/>
              </w:rPr>
              <w:fldChar w:fldCharType="end"/>
            </w:r>
          </w:hyperlink>
        </w:p>
        <w:p w14:paraId="29A8F9C5" w14:textId="276E6F80" w:rsidR="00BF2026" w:rsidRDefault="00000000">
          <w:pPr>
            <w:pStyle w:val="Spistreci2"/>
            <w:rPr>
              <w:rFonts w:eastAsiaTheme="minorEastAsia" w:cstheme="minorBidi"/>
              <w:smallCaps w:val="0"/>
              <w:noProof/>
              <w:sz w:val="22"/>
              <w:szCs w:val="22"/>
              <w:lang w:eastAsia="pl-PL"/>
            </w:rPr>
          </w:pPr>
          <w:hyperlink w:anchor="_Toc120464485" w:history="1">
            <w:r w:rsidR="00BF2026" w:rsidRPr="001733C2">
              <w:rPr>
                <w:rStyle w:val="Hipercze"/>
                <w:rFonts w:eastAsia="Calibri"/>
                <w:noProof/>
              </w:rPr>
              <w:t xml:space="preserve">CEL SZCZEGÓŁOWY: </w:t>
            </w:r>
            <w:r w:rsidR="00BF2026" w:rsidRPr="001733C2">
              <w:rPr>
                <w:rStyle w:val="Hipercze"/>
                <w:rFonts w:eastAsia="Times New Roman"/>
                <w:noProof/>
              </w:rPr>
              <w:t>ESO4.9. Wspieranie integracji społeczno-gospodarczej obywateli państw trzecich, w tym migrantów (EFS+)</w:t>
            </w:r>
            <w:r w:rsidR="00BF2026">
              <w:rPr>
                <w:noProof/>
                <w:webHidden/>
              </w:rPr>
              <w:tab/>
            </w:r>
            <w:r w:rsidR="00BF2026">
              <w:rPr>
                <w:noProof/>
                <w:webHidden/>
              </w:rPr>
              <w:fldChar w:fldCharType="begin"/>
            </w:r>
            <w:r w:rsidR="00BF2026">
              <w:rPr>
                <w:noProof/>
                <w:webHidden/>
              </w:rPr>
              <w:instrText xml:space="preserve"> PAGEREF _Toc120464485 \h </w:instrText>
            </w:r>
            <w:r w:rsidR="00BF2026">
              <w:rPr>
                <w:noProof/>
                <w:webHidden/>
              </w:rPr>
            </w:r>
            <w:r w:rsidR="00BF2026">
              <w:rPr>
                <w:noProof/>
                <w:webHidden/>
              </w:rPr>
              <w:fldChar w:fldCharType="separate"/>
            </w:r>
            <w:r w:rsidR="008C795B">
              <w:rPr>
                <w:noProof/>
                <w:webHidden/>
              </w:rPr>
              <w:t>119</w:t>
            </w:r>
            <w:r w:rsidR="00BF2026">
              <w:rPr>
                <w:noProof/>
                <w:webHidden/>
              </w:rPr>
              <w:fldChar w:fldCharType="end"/>
            </w:r>
          </w:hyperlink>
        </w:p>
        <w:p w14:paraId="5282D454" w14:textId="020E52E4" w:rsidR="00BF2026" w:rsidRDefault="00000000">
          <w:pPr>
            <w:pStyle w:val="Spistreci2"/>
            <w:rPr>
              <w:rFonts w:eastAsiaTheme="minorEastAsia" w:cstheme="minorBidi"/>
              <w:smallCaps w:val="0"/>
              <w:noProof/>
              <w:sz w:val="22"/>
              <w:szCs w:val="22"/>
              <w:lang w:eastAsia="pl-PL"/>
            </w:rPr>
          </w:pPr>
          <w:hyperlink w:anchor="_Toc120464486" w:history="1">
            <w:r w:rsidR="00BF2026" w:rsidRPr="001733C2">
              <w:rPr>
                <w:rStyle w:val="Hipercze"/>
                <w:rFonts w:eastAsia="Times New Roman"/>
                <w:noProof/>
              </w:rPr>
              <w:t>Wskaźniki produktu</w:t>
            </w:r>
            <w:r w:rsidR="00BF2026">
              <w:rPr>
                <w:noProof/>
                <w:webHidden/>
              </w:rPr>
              <w:tab/>
            </w:r>
            <w:r w:rsidR="00BF2026">
              <w:rPr>
                <w:noProof/>
                <w:webHidden/>
              </w:rPr>
              <w:fldChar w:fldCharType="begin"/>
            </w:r>
            <w:r w:rsidR="00BF2026">
              <w:rPr>
                <w:noProof/>
                <w:webHidden/>
              </w:rPr>
              <w:instrText xml:space="preserve"> PAGEREF _Toc120464486 \h </w:instrText>
            </w:r>
            <w:r w:rsidR="00BF2026">
              <w:rPr>
                <w:noProof/>
                <w:webHidden/>
              </w:rPr>
            </w:r>
            <w:r w:rsidR="00BF2026">
              <w:rPr>
                <w:noProof/>
                <w:webHidden/>
              </w:rPr>
              <w:fldChar w:fldCharType="separate"/>
            </w:r>
            <w:r w:rsidR="008C795B">
              <w:rPr>
                <w:noProof/>
                <w:webHidden/>
              </w:rPr>
              <w:t>119</w:t>
            </w:r>
            <w:r w:rsidR="00BF2026">
              <w:rPr>
                <w:noProof/>
                <w:webHidden/>
              </w:rPr>
              <w:fldChar w:fldCharType="end"/>
            </w:r>
          </w:hyperlink>
        </w:p>
        <w:p w14:paraId="00188B96" w14:textId="4C3D9CA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87" w:history="1">
            <w:r w:rsidR="00BF2026" w:rsidRPr="001733C2">
              <w:rPr>
                <w:rStyle w:val="Hipercze"/>
                <w:rFonts w:eastAsia="Times New Roman"/>
                <w:bCs/>
                <w:noProof/>
              </w:rPr>
              <w:t>Obywatele państw trzecich</w:t>
            </w:r>
            <w:r w:rsidR="00BF2026">
              <w:rPr>
                <w:noProof/>
                <w:webHidden/>
              </w:rPr>
              <w:tab/>
            </w:r>
            <w:r w:rsidR="00BF2026">
              <w:rPr>
                <w:noProof/>
                <w:webHidden/>
              </w:rPr>
              <w:fldChar w:fldCharType="begin"/>
            </w:r>
            <w:r w:rsidR="00BF2026">
              <w:rPr>
                <w:noProof/>
                <w:webHidden/>
              </w:rPr>
              <w:instrText xml:space="preserve"> PAGEREF _Toc120464487 \h </w:instrText>
            </w:r>
            <w:r w:rsidR="00BF2026">
              <w:rPr>
                <w:noProof/>
                <w:webHidden/>
              </w:rPr>
            </w:r>
            <w:r w:rsidR="00BF2026">
              <w:rPr>
                <w:noProof/>
                <w:webHidden/>
              </w:rPr>
              <w:fldChar w:fldCharType="separate"/>
            </w:r>
            <w:r w:rsidR="008C795B">
              <w:rPr>
                <w:noProof/>
                <w:webHidden/>
              </w:rPr>
              <w:t>119</w:t>
            </w:r>
            <w:r w:rsidR="00BF2026">
              <w:rPr>
                <w:noProof/>
                <w:webHidden/>
              </w:rPr>
              <w:fldChar w:fldCharType="end"/>
            </w:r>
          </w:hyperlink>
        </w:p>
        <w:p w14:paraId="48AFB0A4" w14:textId="3745B018" w:rsidR="00BF2026" w:rsidRDefault="00000000">
          <w:pPr>
            <w:pStyle w:val="Spistreci2"/>
            <w:rPr>
              <w:rFonts w:eastAsiaTheme="minorEastAsia" w:cstheme="minorBidi"/>
              <w:smallCaps w:val="0"/>
              <w:noProof/>
              <w:sz w:val="22"/>
              <w:szCs w:val="22"/>
              <w:lang w:eastAsia="pl-PL"/>
            </w:rPr>
          </w:pPr>
          <w:hyperlink w:anchor="_Toc120464488"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_Toc120464488 \h </w:instrText>
            </w:r>
            <w:r w:rsidR="00BF2026">
              <w:rPr>
                <w:noProof/>
                <w:webHidden/>
              </w:rPr>
            </w:r>
            <w:r w:rsidR="00BF2026">
              <w:rPr>
                <w:noProof/>
                <w:webHidden/>
              </w:rPr>
              <w:fldChar w:fldCharType="separate"/>
            </w:r>
            <w:r w:rsidR="008C795B">
              <w:rPr>
                <w:noProof/>
                <w:webHidden/>
              </w:rPr>
              <w:t>121</w:t>
            </w:r>
            <w:r w:rsidR="00BF2026">
              <w:rPr>
                <w:noProof/>
                <w:webHidden/>
              </w:rPr>
              <w:fldChar w:fldCharType="end"/>
            </w:r>
          </w:hyperlink>
        </w:p>
        <w:p w14:paraId="1718516F" w14:textId="0855E92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89" w:history="1">
            <w:r w:rsidR="00BF2026" w:rsidRPr="001733C2">
              <w:rPr>
                <w:rStyle w:val="Hipercze"/>
                <w:rFonts w:eastAsia="Times New Roman"/>
                <w:bCs/>
                <w:noProof/>
              </w:rPr>
              <w:t>Liczba osób, których sytuacja społeczna uległa poprawie po opuszczeniu programu</w:t>
            </w:r>
            <w:r w:rsidR="00BF2026">
              <w:rPr>
                <w:noProof/>
                <w:webHidden/>
              </w:rPr>
              <w:tab/>
            </w:r>
            <w:r w:rsidR="00BF2026">
              <w:rPr>
                <w:noProof/>
                <w:webHidden/>
              </w:rPr>
              <w:fldChar w:fldCharType="begin"/>
            </w:r>
            <w:r w:rsidR="00BF2026">
              <w:rPr>
                <w:noProof/>
                <w:webHidden/>
              </w:rPr>
              <w:instrText xml:space="preserve"> PAGEREF _Toc120464489 \h </w:instrText>
            </w:r>
            <w:r w:rsidR="00BF2026">
              <w:rPr>
                <w:noProof/>
                <w:webHidden/>
              </w:rPr>
            </w:r>
            <w:r w:rsidR="00BF2026">
              <w:rPr>
                <w:noProof/>
                <w:webHidden/>
              </w:rPr>
              <w:fldChar w:fldCharType="separate"/>
            </w:r>
            <w:r w:rsidR="008C795B">
              <w:rPr>
                <w:noProof/>
                <w:webHidden/>
              </w:rPr>
              <w:t>121</w:t>
            </w:r>
            <w:r w:rsidR="00BF2026">
              <w:rPr>
                <w:noProof/>
                <w:webHidden/>
              </w:rPr>
              <w:fldChar w:fldCharType="end"/>
            </w:r>
          </w:hyperlink>
        </w:p>
        <w:p w14:paraId="1AF8C5E0" w14:textId="74CB480F" w:rsidR="00BF2026" w:rsidRDefault="00000000">
          <w:pPr>
            <w:pStyle w:val="Spistreci2"/>
            <w:rPr>
              <w:rFonts w:eastAsiaTheme="minorEastAsia" w:cstheme="minorBidi"/>
              <w:smallCaps w:val="0"/>
              <w:noProof/>
              <w:sz w:val="22"/>
              <w:szCs w:val="22"/>
              <w:lang w:eastAsia="pl-PL"/>
            </w:rPr>
          </w:pPr>
          <w:hyperlink w:anchor="_Toc120464490" w:history="1">
            <w:r w:rsidR="00BF2026" w:rsidRPr="001733C2">
              <w:rPr>
                <w:rStyle w:val="Hipercze"/>
                <w:rFonts w:eastAsia="Calibri"/>
                <w:noProof/>
              </w:rPr>
              <w:t xml:space="preserve">CEL SZCZEGÓŁOWY: </w:t>
            </w:r>
            <w:r w:rsidR="00BF2026" w:rsidRPr="001733C2">
              <w:rPr>
                <w:rStyle w:val="Hipercze"/>
                <w:rFonts w:eastAsia="Times New Roman"/>
                <w:noProof/>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BF2026">
              <w:rPr>
                <w:noProof/>
                <w:webHidden/>
              </w:rPr>
              <w:tab/>
            </w:r>
            <w:r w:rsidR="00BF2026">
              <w:rPr>
                <w:noProof/>
                <w:webHidden/>
              </w:rPr>
              <w:fldChar w:fldCharType="begin"/>
            </w:r>
            <w:r w:rsidR="00BF2026">
              <w:rPr>
                <w:noProof/>
                <w:webHidden/>
              </w:rPr>
              <w:instrText xml:space="preserve"> PAGEREF _Toc120464490 \h </w:instrText>
            </w:r>
            <w:r w:rsidR="00BF2026">
              <w:rPr>
                <w:noProof/>
                <w:webHidden/>
              </w:rPr>
            </w:r>
            <w:r w:rsidR="00BF2026">
              <w:rPr>
                <w:noProof/>
                <w:webHidden/>
              </w:rPr>
              <w:fldChar w:fldCharType="separate"/>
            </w:r>
            <w:r w:rsidR="008C795B">
              <w:rPr>
                <w:noProof/>
                <w:webHidden/>
              </w:rPr>
              <w:t>121</w:t>
            </w:r>
            <w:r w:rsidR="00BF2026">
              <w:rPr>
                <w:noProof/>
                <w:webHidden/>
              </w:rPr>
              <w:fldChar w:fldCharType="end"/>
            </w:r>
          </w:hyperlink>
        </w:p>
        <w:p w14:paraId="54CBDED7" w14:textId="30C7DAB2" w:rsidR="00BF2026" w:rsidRDefault="00000000">
          <w:pPr>
            <w:pStyle w:val="Spistreci2"/>
            <w:rPr>
              <w:rFonts w:eastAsiaTheme="minorEastAsia" w:cstheme="minorBidi"/>
              <w:smallCaps w:val="0"/>
              <w:noProof/>
              <w:sz w:val="22"/>
              <w:szCs w:val="22"/>
              <w:lang w:eastAsia="pl-PL"/>
            </w:rPr>
          </w:pPr>
          <w:hyperlink w:anchor="_Toc120464491" w:history="1">
            <w:r w:rsidR="00BF2026" w:rsidRPr="001733C2">
              <w:rPr>
                <w:rStyle w:val="Hipercze"/>
                <w:rFonts w:eastAsia="Times New Roman"/>
                <w:noProof/>
              </w:rPr>
              <w:t>Wskaźniki produktu</w:t>
            </w:r>
            <w:r w:rsidR="00BF2026">
              <w:rPr>
                <w:noProof/>
                <w:webHidden/>
              </w:rPr>
              <w:tab/>
            </w:r>
            <w:r w:rsidR="00BF2026">
              <w:rPr>
                <w:noProof/>
                <w:webHidden/>
              </w:rPr>
              <w:fldChar w:fldCharType="begin"/>
            </w:r>
            <w:r w:rsidR="00BF2026">
              <w:rPr>
                <w:noProof/>
                <w:webHidden/>
              </w:rPr>
              <w:instrText xml:space="preserve"> PAGEREF _Toc120464491 \h </w:instrText>
            </w:r>
            <w:r w:rsidR="00BF2026">
              <w:rPr>
                <w:noProof/>
                <w:webHidden/>
              </w:rPr>
            </w:r>
            <w:r w:rsidR="00BF2026">
              <w:rPr>
                <w:noProof/>
                <w:webHidden/>
              </w:rPr>
              <w:fldChar w:fldCharType="separate"/>
            </w:r>
            <w:r w:rsidR="008C795B">
              <w:rPr>
                <w:noProof/>
                <w:webHidden/>
              </w:rPr>
              <w:t>121</w:t>
            </w:r>
            <w:r w:rsidR="00BF2026">
              <w:rPr>
                <w:noProof/>
                <w:webHidden/>
              </w:rPr>
              <w:fldChar w:fldCharType="end"/>
            </w:r>
          </w:hyperlink>
        </w:p>
        <w:p w14:paraId="2C30CE59" w14:textId="5264BF41"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92"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_Toc120464492 \h </w:instrText>
            </w:r>
            <w:r w:rsidR="00BF2026">
              <w:rPr>
                <w:noProof/>
                <w:webHidden/>
              </w:rPr>
            </w:r>
            <w:r w:rsidR="00BF2026">
              <w:rPr>
                <w:noProof/>
                <w:webHidden/>
              </w:rPr>
              <w:fldChar w:fldCharType="separate"/>
            </w:r>
            <w:r w:rsidR="008C795B">
              <w:rPr>
                <w:noProof/>
                <w:webHidden/>
              </w:rPr>
              <w:t>123</w:t>
            </w:r>
            <w:r w:rsidR="00BF2026">
              <w:rPr>
                <w:noProof/>
                <w:webHidden/>
              </w:rPr>
              <w:fldChar w:fldCharType="end"/>
            </w:r>
          </w:hyperlink>
        </w:p>
        <w:p w14:paraId="676909EA" w14:textId="60D13AB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93" w:history="1">
            <w:r w:rsidR="00BF2026" w:rsidRPr="001733C2">
              <w:rPr>
                <w:rStyle w:val="Hipercze"/>
                <w:rFonts w:eastAsia="Times New Roman"/>
                <w:bCs/>
                <w:noProof/>
              </w:rPr>
              <w:t>Liczba osób objętych usługami świadczonymi w społeczności lokalnej w programie</w:t>
            </w:r>
            <w:r w:rsidR="00BF2026">
              <w:rPr>
                <w:noProof/>
                <w:webHidden/>
              </w:rPr>
              <w:tab/>
            </w:r>
            <w:r w:rsidR="00BF2026">
              <w:rPr>
                <w:noProof/>
                <w:webHidden/>
              </w:rPr>
              <w:fldChar w:fldCharType="begin"/>
            </w:r>
            <w:r w:rsidR="00BF2026">
              <w:rPr>
                <w:noProof/>
                <w:webHidden/>
              </w:rPr>
              <w:instrText xml:space="preserve"> PAGEREF _Toc120464493 \h </w:instrText>
            </w:r>
            <w:r w:rsidR="00BF2026">
              <w:rPr>
                <w:noProof/>
                <w:webHidden/>
              </w:rPr>
            </w:r>
            <w:r w:rsidR="00BF2026">
              <w:rPr>
                <w:noProof/>
                <w:webHidden/>
              </w:rPr>
              <w:fldChar w:fldCharType="separate"/>
            </w:r>
            <w:r w:rsidR="008C795B">
              <w:rPr>
                <w:noProof/>
                <w:webHidden/>
              </w:rPr>
              <w:t>124</w:t>
            </w:r>
            <w:r w:rsidR="00BF2026">
              <w:rPr>
                <w:noProof/>
                <w:webHidden/>
              </w:rPr>
              <w:fldChar w:fldCharType="end"/>
            </w:r>
          </w:hyperlink>
        </w:p>
        <w:p w14:paraId="43AE5131" w14:textId="1148B14F"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94" w:history="1">
            <w:r w:rsidR="00BF2026" w:rsidRPr="001733C2">
              <w:rPr>
                <w:rStyle w:val="Hipercze"/>
                <w:rFonts w:eastAsia="Times New Roman"/>
                <w:bCs/>
                <w:noProof/>
              </w:rPr>
              <w:t>Liczba wdrożonych programów polityki zdrowotnej</w:t>
            </w:r>
            <w:r w:rsidR="00BF2026">
              <w:rPr>
                <w:noProof/>
                <w:webHidden/>
              </w:rPr>
              <w:tab/>
            </w:r>
            <w:r w:rsidR="00BF2026">
              <w:rPr>
                <w:noProof/>
                <w:webHidden/>
              </w:rPr>
              <w:fldChar w:fldCharType="begin"/>
            </w:r>
            <w:r w:rsidR="00BF2026">
              <w:rPr>
                <w:noProof/>
                <w:webHidden/>
              </w:rPr>
              <w:instrText xml:space="preserve"> PAGEREF _Toc120464494 \h </w:instrText>
            </w:r>
            <w:r w:rsidR="00BF2026">
              <w:rPr>
                <w:noProof/>
                <w:webHidden/>
              </w:rPr>
            </w:r>
            <w:r w:rsidR="00BF2026">
              <w:rPr>
                <w:noProof/>
                <w:webHidden/>
              </w:rPr>
              <w:fldChar w:fldCharType="separate"/>
            </w:r>
            <w:r w:rsidR="008C795B">
              <w:rPr>
                <w:noProof/>
                <w:webHidden/>
              </w:rPr>
              <w:t>126</w:t>
            </w:r>
            <w:r w:rsidR="00BF2026">
              <w:rPr>
                <w:noProof/>
                <w:webHidden/>
              </w:rPr>
              <w:fldChar w:fldCharType="end"/>
            </w:r>
          </w:hyperlink>
        </w:p>
        <w:p w14:paraId="116D8FF5" w14:textId="61B87C59" w:rsidR="00BF2026" w:rsidRDefault="00000000">
          <w:pPr>
            <w:pStyle w:val="Spistreci2"/>
            <w:rPr>
              <w:rFonts w:eastAsiaTheme="minorEastAsia" w:cstheme="minorBidi"/>
              <w:smallCaps w:val="0"/>
              <w:noProof/>
              <w:sz w:val="22"/>
              <w:szCs w:val="22"/>
              <w:lang w:eastAsia="pl-PL"/>
            </w:rPr>
          </w:pPr>
          <w:hyperlink w:anchor="_Toc120464495"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_Toc120464495 \h </w:instrText>
            </w:r>
            <w:r w:rsidR="00BF2026">
              <w:rPr>
                <w:noProof/>
                <w:webHidden/>
              </w:rPr>
            </w:r>
            <w:r w:rsidR="00BF2026">
              <w:rPr>
                <w:noProof/>
                <w:webHidden/>
              </w:rPr>
              <w:fldChar w:fldCharType="separate"/>
            </w:r>
            <w:r w:rsidR="008C795B">
              <w:rPr>
                <w:noProof/>
                <w:webHidden/>
              </w:rPr>
              <w:t>128</w:t>
            </w:r>
            <w:r w:rsidR="00BF2026">
              <w:rPr>
                <w:noProof/>
                <w:webHidden/>
              </w:rPr>
              <w:fldChar w:fldCharType="end"/>
            </w:r>
          </w:hyperlink>
        </w:p>
        <w:p w14:paraId="33386499" w14:textId="4A4F9C4F"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96" w:history="1">
            <w:r w:rsidR="00BF2026" w:rsidRPr="001733C2">
              <w:rPr>
                <w:rStyle w:val="Hipercze"/>
                <w:rFonts w:eastAsia="Times New Roman"/>
                <w:bCs/>
                <w:noProof/>
              </w:rPr>
              <w:t>Liczba utworzonych miejsc świadczenia usług w społeczności lokalnej</w:t>
            </w:r>
            <w:r w:rsidR="00BF2026">
              <w:rPr>
                <w:noProof/>
                <w:webHidden/>
              </w:rPr>
              <w:tab/>
            </w:r>
            <w:r w:rsidR="00BF2026">
              <w:rPr>
                <w:noProof/>
                <w:webHidden/>
              </w:rPr>
              <w:fldChar w:fldCharType="begin"/>
            </w:r>
            <w:r w:rsidR="00BF2026">
              <w:rPr>
                <w:noProof/>
                <w:webHidden/>
              </w:rPr>
              <w:instrText xml:space="preserve"> PAGEREF _Toc120464496 \h </w:instrText>
            </w:r>
            <w:r w:rsidR="00BF2026">
              <w:rPr>
                <w:noProof/>
                <w:webHidden/>
              </w:rPr>
            </w:r>
            <w:r w:rsidR="00BF2026">
              <w:rPr>
                <w:noProof/>
                <w:webHidden/>
              </w:rPr>
              <w:fldChar w:fldCharType="separate"/>
            </w:r>
            <w:r w:rsidR="008C795B">
              <w:rPr>
                <w:noProof/>
                <w:webHidden/>
              </w:rPr>
              <w:t>128</w:t>
            </w:r>
            <w:r w:rsidR="00BF2026">
              <w:rPr>
                <w:noProof/>
                <w:webHidden/>
              </w:rPr>
              <w:fldChar w:fldCharType="end"/>
            </w:r>
          </w:hyperlink>
        </w:p>
        <w:p w14:paraId="15781D13" w14:textId="1F8AEFF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497" w:history="1">
            <w:r w:rsidR="00BF2026" w:rsidRPr="001733C2">
              <w:rPr>
                <w:rStyle w:val="Hipercze"/>
                <w:rFonts w:eastAsia="Times New Roman"/>
                <w:bCs/>
                <w:noProof/>
              </w:rPr>
              <w:t>Liczba podmiotów, które rozszerzyły ofertę wsparcia lub podniosły jakość oferowanych usług</w:t>
            </w:r>
            <w:r w:rsidR="00BF2026">
              <w:rPr>
                <w:noProof/>
                <w:webHidden/>
              </w:rPr>
              <w:tab/>
            </w:r>
            <w:r w:rsidR="00BF2026">
              <w:rPr>
                <w:noProof/>
                <w:webHidden/>
              </w:rPr>
              <w:fldChar w:fldCharType="begin"/>
            </w:r>
            <w:r w:rsidR="00BF2026">
              <w:rPr>
                <w:noProof/>
                <w:webHidden/>
              </w:rPr>
              <w:instrText xml:space="preserve"> PAGEREF _Toc120464497 \h </w:instrText>
            </w:r>
            <w:r w:rsidR="00BF2026">
              <w:rPr>
                <w:noProof/>
                <w:webHidden/>
              </w:rPr>
            </w:r>
            <w:r w:rsidR="00BF2026">
              <w:rPr>
                <w:noProof/>
                <w:webHidden/>
              </w:rPr>
              <w:fldChar w:fldCharType="separate"/>
            </w:r>
            <w:r w:rsidR="008C795B">
              <w:rPr>
                <w:noProof/>
                <w:webHidden/>
              </w:rPr>
              <w:t>129</w:t>
            </w:r>
            <w:r w:rsidR="00BF2026">
              <w:rPr>
                <w:noProof/>
                <w:webHidden/>
              </w:rPr>
              <w:fldChar w:fldCharType="end"/>
            </w:r>
          </w:hyperlink>
        </w:p>
        <w:p w14:paraId="3C000D10" w14:textId="6A90938C" w:rsidR="00BF2026" w:rsidRDefault="00000000">
          <w:pPr>
            <w:pStyle w:val="Spistreci2"/>
            <w:rPr>
              <w:rFonts w:eastAsiaTheme="minorEastAsia" w:cstheme="minorBidi"/>
              <w:smallCaps w:val="0"/>
              <w:noProof/>
              <w:sz w:val="22"/>
              <w:szCs w:val="22"/>
              <w:lang w:eastAsia="pl-PL"/>
            </w:rPr>
          </w:pPr>
          <w:hyperlink w:anchor="_Toc120464498" w:history="1">
            <w:r w:rsidR="00BF2026" w:rsidRPr="001733C2">
              <w:rPr>
                <w:rStyle w:val="Hipercze"/>
                <w:rFonts w:eastAsia="Calibri"/>
                <w:noProof/>
              </w:rPr>
              <w:t xml:space="preserve">CEL SZCZEGÓŁOWY: </w:t>
            </w:r>
            <w:r w:rsidR="00BF2026" w:rsidRPr="001733C2">
              <w:rPr>
                <w:rStyle w:val="Hipercze"/>
                <w:rFonts w:eastAsia="Times New Roman"/>
                <w:noProof/>
              </w:rPr>
              <w:t>ESO4.12. Promowanie integracji społecznej osób zagrożonych ubóstwem lub wykluczeniem społecznym, w tym osób najbardziej potrzebujących i dzieci (EFS+)</w:t>
            </w:r>
            <w:r w:rsidR="00BF2026">
              <w:rPr>
                <w:noProof/>
                <w:webHidden/>
              </w:rPr>
              <w:tab/>
            </w:r>
            <w:r w:rsidR="00BF2026">
              <w:rPr>
                <w:noProof/>
                <w:webHidden/>
              </w:rPr>
              <w:fldChar w:fldCharType="begin"/>
            </w:r>
            <w:r w:rsidR="00BF2026">
              <w:rPr>
                <w:noProof/>
                <w:webHidden/>
              </w:rPr>
              <w:instrText xml:space="preserve"> PAGEREF _Toc120464498 \h </w:instrText>
            </w:r>
            <w:r w:rsidR="00BF2026">
              <w:rPr>
                <w:noProof/>
                <w:webHidden/>
              </w:rPr>
            </w:r>
            <w:r w:rsidR="00BF2026">
              <w:rPr>
                <w:noProof/>
                <w:webHidden/>
              </w:rPr>
              <w:fldChar w:fldCharType="separate"/>
            </w:r>
            <w:r w:rsidR="008C795B">
              <w:rPr>
                <w:noProof/>
                <w:webHidden/>
              </w:rPr>
              <w:t>131</w:t>
            </w:r>
            <w:r w:rsidR="00BF2026">
              <w:rPr>
                <w:noProof/>
                <w:webHidden/>
              </w:rPr>
              <w:fldChar w:fldCharType="end"/>
            </w:r>
          </w:hyperlink>
        </w:p>
        <w:p w14:paraId="6901EA43" w14:textId="12FF3C2A" w:rsidR="00BF2026" w:rsidRDefault="00000000">
          <w:pPr>
            <w:pStyle w:val="Spistreci2"/>
            <w:rPr>
              <w:rFonts w:eastAsiaTheme="minorEastAsia" w:cstheme="minorBidi"/>
              <w:smallCaps w:val="0"/>
              <w:noProof/>
              <w:sz w:val="22"/>
              <w:szCs w:val="22"/>
              <w:lang w:eastAsia="pl-PL"/>
            </w:rPr>
          </w:pPr>
          <w:hyperlink w:anchor="_Toc120464499" w:history="1">
            <w:r w:rsidR="00BF2026" w:rsidRPr="001733C2">
              <w:rPr>
                <w:rStyle w:val="Hipercze"/>
                <w:rFonts w:eastAsia="Times New Roman"/>
                <w:noProof/>
              </w:rPr>
              <w:t>Wskaźniki produktu</w:t>
            </w:r>
            <w:r w:rsidR="00BF2026">
              <w:rPr>
                <w:noProof/>
                <w:webHidden/>
              </w:rPr>
              <w:tab/>
            </w:r>
            <w:r w:rsidR="00BF2026">
              <w:rPr>
                <w:noProof/>
                <w:webHidden/>
              </w:rPr>
              <w:fldChar w:fldCharType="begin"/>
            </w:r>
            <w:r w:rsidR="00BF2026">
              <w:rPr>
                <w:noProof/>
                <w:webHidden/>
              </w:rPr>
              <w:instrText xml:space="preserve"> PAGEREF _Toc120464499 \h </w:instrText>
            </w:r>
            <w:r w:rsidR="00BF2026">
              <w:rPr>
                <w:noProof/>
                <w:webHidden/>
              </w:rPr>
            </w:r>
            <w:r w:rsidR="00BF2026">
              <w:rPr>
                <w:noProof/>
                <w:webHidden/>
              </w:rPr>
              <w:fldChar w:fldCharType="separate"/>
            </w:r>
            <w:r w:rsidR="008C795B">
              <w:rPr>
                <w:noProof/>
                <w:webHidden/>
              </w:rPr>
              <w:t>131</w:t>
            </w:r>
            <w:r w:rsidR="00BF2026">
              <w:rPr>
                <w:noProof/>
                <w:webHidden/>
              </w:rPr>
              <w:fldChar w:fldCharType="end"/>
            </w:r>
          </w:hyperlink>
        </w:p>
        <w:p w14:paraId="0985092D" w14:textId="62F942FF"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00" w:history="1">
            <w:r w:rsidR="00BF2026" w:rsidRPr="001733C2">
              <w:rPr>
                <w:rStyle w:val="Hipercze"/>
                <w:noProof/>
              </w:rPr>
              <w:t>Całkowita liczba uczestników</w:t>
            </w:r>
            <w:r w:rsidR="00BF2026">
              <w:rPr>
                <w:noProof/>
                <w:webHidden/>
              </w:rPr>
              <w:tab/>
            </w:r>
            <w:r w:rsidR="00BF2026">
              <w:rPr>
                <w:noProof/>
                <w:webHidden/>
              </w:rPr>
              <w:fldChar w:fldCharType="begin"/>
            </w:r>
            <w:r w:rsidR="00BF2026">
              <w:rPr>
                <w:noProof/>
                <w:webHidden/>
              </w:rPr>
              <w:instrText xml:space="preserve"> PAGEREF _Toc120464500 \h </w:instrText>
            </w:r>
            <w:r w:rsidR="00BF2026">
              <w:rPr>
                <w:noProof/>
                <w:webHidden/>
              </w:rPr>
            </w:r>
            <w:r w:rsidR="00BF2026">
              <w:rPr>
                <w:noProof/>
                <w:webHidden/>
              </w:rPr>
              <w:fldChar w:fldCharType="separate"/>
            </w:r>
            <w:r w:rsidR="008C795B">
              <w:rPr>
                <w:noProof/>
                <w:webHidden/>
              </w:rPr>
              <w:t>131</w:t>
            </w:r>
            <w:r w:rsidR="00BF2026">
              <w:rPr>
                <w:noProof/>
                <w:webHidden/>
              </w:rPr>
              <w:fldChar w:fldCharType="end"/>
            </w:r>
          </w:hyperlink>
        </w:p>
        <w:p w14:paraId="4FBDA7FD" w14:textId="0FCD3EB2" w:rsidR="00BF2026" w:rsidRDefault="00000000">
          <w:pPr>
            <w:pStyle w:val="Spistreci2"/>
            <w:rPr>
              <w:rFonts w:eastAsiaTheme="minorEastAsia" w:cstheme="minorBidi"/>
              <w:smallCaps w:val="0"/>
              <w:noProof/>
              <w:sz w:val="22"/>
              <w:szCs w:val="22"/>
              <w:lang w:eastAsia="pl-PL"/>
            </w:rPr>
          </w:pPr>
          <w:hyperlink w:anchor="_Toc120464501"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_Toc120464501 \h </w:instrText>
            </w:r>
            <w:r w:rsidR="00BF2026">
              <w:rPr>
                <w:noProof/>
                <w:webHidden/>
              </w:rPr>
            </w:r>
            <w:r w:rsidR="00BF2026">
              <w:rPr>
                <w:noProof/>
                <w:webHidden/>
              </w:rPr>
              <w:fldChar w:fldCharType="separate"/>
            </w:r>
            <w:r w:rsidR="008C795B">
              <w:rPr>
                <w:noProof/>
                <w:webHidden/>
              </w:rPr>
              <w:t>133</w:t>
            </w:r>
            <w:r w:rsidR="00BF2026">
              <w:rPr>
                <w:noProof/>
                <w:webHidden/>
              </w:rPr>
              <w:fldChar w:fldCharType="end"/>
            </w:r>
          </w:hyperlink>
        </w:p>
        <w:p w14:paraId="39E267EE" w14:textId="01F3401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02" w:history="1">
            <w:r w:rsidR="00BF2026" w:rsidRPr="001733C2">
              <w:rPr>
                <w:rStyle w:val="Hipercze"/>
                <w:rFonts w:eastAsia="Times New Roman"/>
                <w:bCs/>
                <w:noProof/>
              </w:rPr>
              <w:t>Liczba osób, których sytuacja społeczna uległa poprawie po opuszczeniu programu</w:t>
            </w:r>
            <w:r w:rsidR="00BF2026">
              <w:rPr>
                <w:noProof/>
                <w:webHidden/>
              </w:rPr>
              <w:tab/>
            </w:r>
            <w:r w:rsidR="00BF2026">
              <w:rPr>
                <w:noProof/>
                <w:webHidden/>
              </w:rPr>
              <w:fldChar w:fldCharType="begin"/>
            </w:r>
            <w:r w:rsidR="00BF2026">
              <w:rPr>
                <w:noProof/>
                <w:webHidden/>
              </w:rPr>
              <w:instrText xml:space="preserve"> PAGEREF _Toc120464502 \h </w:instrText>
            </w:r>
            <w:r w:rsidR="00BF2026">
              <w:rPr>
                <w:noProof/>
                <w:webHidden/>
              </w:rPr>
            </w:r>
            <w:r w:rsidR="00BF2026">
              <w:rPr>
                <w:noProof/>
                <w:webHidden/>
              </w:rPr>
              <w:fldChar w:fldCharType="separate"/>
            </w:r>
            <w:r w:rsidR="008C795B">
              <w:rPr>
                <w:noProof/>
                <w:webHidden/>
              </w:rPr>
              <w:t>133</w:t>
            </w:r>
            <w:r w:rsidR="00BF2026">
              <w:rPr>
                <w:noProof/>
                <w:webHidden/>
              </w:rPr>
              <w:fldChar w:fldCharType="end"/>
            </w:r>
          </w:hyperlink>
        </w:p>
        <w:p w14:paraId="3DB9F931" w14:textId="3FF7219B" w:rsidR="00BF2026" w:rsidRDefault="00000000">
          <w:pPr>
            <w:pStyle w:val="Spistreci1"/>
            <w:rPr>
              <w:rFonts w:eastAsiaTheme="minorEastAsia" w:cstheme="minorBidi"/>
              <w:b w:val="0"/>
              <w:bCs w:val="0"/>
              <w:caps w:val="0"/>
              <w:noProof/>
              <w:sz w:val="22"/>
              <w:szCs w:val="22"/>
              <w:lang w:eastAsia="pl-PL"/>
            </w:rPr>
          </w:pPr>
          <w:hyperlink w:anchor="_Toc120464503" w:history="1">
            <w:r w:rsidR="00BF2026" w:rsidRPr="001733C2">
              <w:rPr>
                <w:rStyle w:val="Hipercze"/>
                <w:noProof/>
              </w:rPr>
              <w:t>PRIORYTET 8: FUNDUSZE EUROPEJSKIE DLA EDUKACJI NA DOLNYM ŚLĄSKU (CP4 EFS+)</w:t>
            </w:r>
            <w:r w:rsidR="00BF2026">
              <w:rPr>
                <w:noProof/>
                <w:webHidden/>
              </w:rPr>
              <w:tab/>
            </w:r>
            <w:r w:rsidR="00BF2026">
              <w:rPr>
                <w:noProof/>
                <w:webHidden/>
              </w:rPr>
              <w:fldChar w:fldCharType="begin"/>
            </w:r>
            <w:r w:rsidR="00BF2026">
              <w:rPr>
                <w:noProof/>
                <w:webHidden/>
              </w:rPr>
              <w:instrText xml:space="preserve"> PAGEREF _Toc120464503 \h </w:instrText>
            </w:r>
            <w:r w:rsidR="00BF2026">
              <w:rPr>
                <w:noProof/>
                <w:webHidden/>
              </w:rPr>
            </w:r>
            <w:r w:rsidR="00BF2026">
              <w:rPr>
                <w:noProof/>
                <w:webHidden/>
              </w:rPr>
              <w:fldChar w:fldCharType="separate"/>
            </w:r>
            <w:r w:rsidR="008C795B">
              <w:rPr>
                <w:noProof/>
                <w:webHidden/>
              </w:rPr>
              <w:t>134</w:t>
            </w:r>
            <w:r w:rsidR="00BF2026">
              <w:rPr>
                <w:noProof/>
                <w:webHidden/>
              </w:rPr>
              <w:fldChar w:fldCharType="end"/>
            </w:r>
          </w:hyperlink>
        </w:p>
        <w:p w14:paraId="22999D93" w14:textId="1D243522" w:rsidR="00BF2026" w:rsidRDefault="00000000">
          <w:pPr>
            <w:pStyle w:val="Spistreci2"/>
            <w:rPr>
              <w:rFonts w:eastAsiaTheme="minorEastAsia" w:cstheme="minorBidi"/>
              <w:smallCaps w:val="0"/>
              <w:noProof/>
              <w:sz w:val="22"/>
              <w:szCs w:val="22"/>
              <w:lang w:eastAsia="pl-PL"/>
            </w:rPr>
          </w:pPr>
          <w:hyperlink w:anchor="_Toc120464504" w:history="1">
            <w:r w:rsidR="00BF2026" w:rsidRPr="001733C2">
              <w:rPr>
                <w:rStyle w:val="Hipercze"/>
                <w:rFonts w:eastAsia="Times New Roman"/>
                <w:noProof/>
              </w:rPr>
              <w:t>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BF2026">
              <w:rPr>
                <w:noProof/>
                <w:webHidden/>
              </w:rPr>
              <w:tab/>
            </w:r>
            <w:r w:rsidR="00BF2026">
              <w:rPr>
                <w:noProof/>
                <w:webHidden/>
              </w:rPr>
              <w:fldChar w:fldCharType="begin"/>
            </w:r>
            <w:r w:rsidR="00BF2026">
              <w:rPr>
                <w:noProof/>
                <w:webHidden/>
              </w:rPr>
              <w:instrText xml:space="preserve"> PAGEREF _Toc120464504 \h </w:instrText>
            </w:r>
            <w:r w:rsidR="00BF2026">
              <w:rPr>
                <w:noProof/>
                <w:webHidden/>
              </w:rPr>
            </w:r>
            <w:r w:rsidR="00BF2026">
              <w:rPr>
                <w:noProof/>
                <w:webHidden/>
              </w:rPr>
              <w:fldChar w:fldCharType="separate"/>
            </w:r>
            <w:r w:rsidR="008C795B">
              <w:rPr>
                <w:noProof/>
                <w:webHidden/>
              </w:rPr>
              <w:t>134</w:t>
            </w:r>
            <w:r w:rsidR="00BF2026">
              <w:rPr>
                <w:noProof/>
                <w:webHidden/>
              </w:rPr>
              <w:fldChar w:fldCharType="end"/>
            </w:r>
          </w:hyperlink>
        </w:p>
        <w:p w14:paraId="7A3EE2E5" w14:textId="413EFA0B" w:rsidR="00BF2026" w:rsidRDefault="00000000">
          <w:pPr>
            <w:pStyle w:val="Spistreci2"/>
            <w:rPr>
              <w:rFonts w:eastAsiaTheme="minorEastAsia" w:cstheme="minorBidi"/>
              <w:smallCaps w:val="0"/>
              <w:noProof/>
              <w:sz w:val="22"/>
              <w:szCs w:val="22"/>
              <w:lang w:eastAsia="pl-PL"/>
            </w:rPr>
          </w:pPr>
          <w:hyperlink w:anchor="_Toc120464505" w:history="1">
            <w:r w:rsidR="00BF2026" w:rsidRPr="001733C2">
              <w:rPr>
                <w:rStyle w:val="Hipercze"/>
                <w:rFonts w:eastAsia="Times New Roman"/>
                <w:b/>
                <w:bCs/>
                <w:noProof/>
              </w:rPr>
              <w:t>Wskaźniki produktu</w:t>
            </w:r>
            <w:r w:rsidR="00BF2026">
              <w:rPr>
                <w:noProof/>
                <w:webHidden/>
              </w:rPr>
              <w:tab/>
            </w:r>
            <w:r w:rsidR="00BF2026">
              <w:rPr>
                <w:noProof/>
                <w:webHidden/>
              </w:rPr>
              <w:fldChar w:fldCharType="begin"/>
            </w:r>
            <w:r w:rsidR="00BF2026">
              <w:rPr>
                <w:noProof/>
                <w:webHidden/>
              </w:rPr>
              <w:instrText xml:space="preserve"> PAGEREF _Toc120464505 \h </w:instrText>
            </w:r>
            <w:r w:rsidR="00BF2026">
              <w:rPr>
                <w:noProof/>
                <w:webHidden/>
              </w:rPr>
            </w:r>
            <w:r w:rsidR="00BF2026">
              <w:rPr>
                <w:noProof/>
                <w:webHidden/>
              </w:rPr>
              <w:fldChar w:fldCharType="separate"/>
            </w:r>
            <w:r w:rsidR="008C795B">
              <w:rPr>
                <w:noProof/>
                <w:webHidden/>
              </w:rPr>
              <w:t>134</w:t>
            </w:r>
            <w:r w:rsidR="00BF2026">
              <w:rPr>
                <w:noProof/>
                <w:webHidden/>
              </w:rPr>
              <w:fldChar w:fldCharType="end"/>
            </w:r>
          </w:hyperlink>
        </w:p>
        <w:p w14:paraId="59936ADE" w14:textId="54F3548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06"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_Toc120464506 \h </w:instrText>
            </w:r>
            <w:r w:rsidR="00BF2026">
              <w:rPr>
                <w:noProof/>
                <w:webHidden/>
              </w:rPr>
            </w:r>
            <w:r w:rsidR="00BF2026">
              <w:rPr>
                <w:noProof/>
                <w:webHidden/>
              </w:rPr>
              <w:fldChar w:fldCharType="separate"/>
            </w:r>
            <w:r w:rsidR="008C795B">
              <w:rPr>
                <w:noProof/>
                <w:webHidden/>
              </w:rPr>
              <w:t>135</w:t>
            </w:r>
            <w:r w:rsidR="00BF2026">
              <w:rPr>
                <w:noProof/>
                <w:webHidden/>
              </w:rPr>
              <w:fldChar w:fldCharType="end"/>
            </w:r>
          </w:hyperlink>
        </w:p>
        <w:p w14:paraId="0777B446" w14:textId="082CFE4C"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07" w:history="1">
            <w:r w:rsidR="00BF2026" w:rsidRPr="001733C2">
              <w:rPr>
                <w:rStyle w:val="Hipercze"/>
                <w:rFonts w:eastAsia="Times New Roman"/>
                <w:bCs/>
                <w:noProof/>
              </w:rPr>
              <w:t>Liczba dzieci objętych dodatkowymi zajęciami zwiększającymi ich szanse edukacyjne w edukacji przedszkolnej</w:t>
            </w:r>
            <w:r w:rsidR="00BF2026">
              <w:rPr>
                <w:noProof/>
                <w:webHidden/>
              </w:rPr>
              <w:tab/>
            </w:r>
            <w:r w:rsidR="00BF2026">
              <w:rPr>
                <w:noProof/>
                <w:webHidden/>
              </w:rPr>
              <w:fldChar w:fldCharType="begin"/>
            </w:r>
            <w:r w:rsidR="00BF2026">
              <w:rPr>
                <w:noProof/>
                <w:webHidden/>
              </w:rPr>
              <w:instrText xml:space="preserve"> PAGEREF _Toc120464507 \h </w:instrText>
            </w:r>
            <w:r w:rsidR="00BF2026">
              <w:rPr>
                <w:noProof/>
                <w:webHidden/>
              </w:rPr>
            </w:r>
            <w:r w:rsidR="00BF2026">
              <w:rPr>
                <w:noProof/>
                <w:webHidden/>
              </w:rPr>
              <w:fldChar w:fldCharType="separate"/>
            </w:r>
            <w:r w:rsidR="008C795B">
              <w:rPr>
                <w:noProof/>
                <w:webHidden/>
              </w:rPr>
              <w:t>136</w:t>
            </w:r>
            <w:r w:rsidR="00BF2026">
              <w:rPr>
                <w:noProof/>
                <w:webHidden/>
              </w:rPr>
              <w:fldChar w:fldCharType="end"/>
            </w:r>
          </w:hyperlink>
        </w:p>
        <w:p w14:paraId="164B8AF1" w14:textId="289B831E"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08" w:history="1">
            <w:r w:rsidR="00BF2026" w:rsidRPr="001733C2">
              <w:rPr>
                <w:rStyle w:val="Hipercze"/>
                <w:rFonts w:eastAsia="Times New Roman"/>
                <w:noProof/>
              </w:rPr>
              <w:t>Liczba dofinansowanych miejsc wychowania przedszkolnego</w:t>
            </w:r>
            <w:r w:rsidR="00BF2026">
              <w:rPr>
                <w:noProof/>
                <w:webHidden/>
              </w:rPr>
              <w:tab/>
            </w:r>
            <w:r w:rsidR="00BF2026">
              <w:rPr>
                <w:noProof/>
                <w:webHidden/>
              </w:rPr>
              <w:fldChar w:fldCharType="begin"/>
            </w:r>
            <w:r w:rsidR="00BF2026">
              <w:rPr>
                <w:noProof/>
                <w:webHidden/>
              </w:rPr>
              <w:instrText xml:space="preserve"> PAGEREF _Toc120464508 \h </w:instrText>
            </w:r>
            <w:r w:rsidR="00BF2026">
              <w:rPr>
                <w:noProof/>
                <w:webHidden/>
              </w:rPr>
            </w:r>
            <w:r w:rsidR="00BF2026">
              <w:rPr>
                <w:noProof/>
                <w:webHidden/>
              </w:rPr>
              <w:fldChar w:fldCharType="separate"/>
            </w:r>
            <w:r w:rsidR="008C795B">
              <w:rPr>
                <w:noProof/>
                <w:webHidden/>
              </w:rPr>
              <w:t>138</w:t>
            </w:r>
            <w:r w:rsidR="00BF2026">
              <w:rPr>
                <w:noProof/>
                <w:webHidden/>
              </w:rPr>
              <w:fldChar w:fldCharType="end"/>
            </w:r>
          </w:hyperlink>
        </w:p>
        <w:p w14:paraId="6B1E0B27" w14:textId="7029506B"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09" w:history="1">
            <w:r w:rsidR="00BF2026" w:rsidRPr="001733C2">
              <w:rPr>
                <w:rStyle w:val="Hipercze"/>
                <w:rFonts w:eastAsia="Times New Roman"/>
                <w:bCs/>
                <w:noProof/>
              </w:rPr>
              <w:t>Liczba uczniów szkół i placówek systemu oświaty prowadzących kształcenie ogólne objętych wsparciem</w:t>
            </w:r>
            <w:r w:rsidR="00BF2026">
              <w:rPr>
                <w:noProof/>
                <w:webHidden/>
              </w:rPr>
              <w:tab/>
            </w:r>
            <w:r w:rsidR="00BF2026">
              <w:rPr>
                <w:noProof/>
                <w:webHidden/>
              </w:rPr>
              <w:fldChar w:fldCharType="begin"/>
            </w:r>
            <w:r w:rsidR="00BF2026">
              <w:rPr>
                <w:noProof/>
                <w:webHidden/>
              </w:rPr>
              <w:instrText xml:space="preserve"> PAGEREF _Toc120464509 \h </w:instrText>
            </w:r>
            <w:r w:rsidR="00BF2026">
              <w:rPr>
                <w:noProof/>
                <w:webHidden/>
              </w:rPr>
            </w:r>
            <w:r w:rsidR="00BF2026">
              <w:rPr>
                <w:noProof/>
                <w:webHidden/>
              </w:rPr>
              <w:fldChar w:fldCharType="separate"/>
            </w:r>
            <w:r w:rsidR="008C795B">
              <w:rPr>
                <w:noProof/>
                <w:webHidden/>
              </w:rPr>
              <w:t>139</w:t>
            </w:r>
            <w:r w:rsidR="00BF2026">
              <w:rPr>
                <w:noProof/>
                <w:webHidden/>
              </w:rPr>
              <w:fldChar w:fldCharType="end"/>
            </w:r>
          </w:hyperlink>
        </w:p>
        <w:p w14:paraId="7A9EBB92" w14:textId="0374CB0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10" w:history="1">
            <w:r w:rsidR="00BF2026" w:rsidRPr="001733C2">
              <w:rPr>
                <w:rStyle w:val="Hipercze"/>
                <w:rFonts w:eastAsia="Times New Roman"/>
                <w:bCs/>
                <w:noProof/>
              </w:rPr>
              <w:t>Liczba uczniów i słuchaczy szkół i placówek kształcenia zawodowego objętych wsparciem</w:t>
            </w:r>
            <w:r w:rsidR="00BF2026">
              <w:rPr>
                <w:noProof/>
                <w:webHidden/>
              </w:rPr>
              <w:tab/>
            </w:r>
            <w:r w:rsidR="00BF2026">
              <w:rPr>
                <w:noProof/>
                <w:webHidden/>
              </w:rPr>
              <w:fldChar w:fldCharType="begin"/>
            </w:r>
            <w:r w:rsidR="00BF2026">
              <w:rPr>
                <w:noProof/>
                <w:webHidden/>
              </w:rPr>
              <w:instrText xml:space="preserve"> PAGEREF _Toc120464510 \h </w:instrText>
            </w:r>
            <w:r w:rsidR="00BF2026">
              <w:rPr>
                <w:noProof/>
                <w:webHidden/>
              </w:rPr>
            </w:r>
            <w:r w:rsidR="00BF2026">
              <w:rPr>
                <w:noProof/>
                <w:webHidden/>
              </w:rPr>
              <w:fldChar w:fldCharType="separate"/>
            </w:r>
            <w:r w:rsidR="008C795B">
              <w:rPr>
                <w:noProof/>
                <w:webHidden/>
              </w:rPr>
              <w:t>141</w:t>
            </w:r>
            <w:r w:rsidR="00BF2026">
              <w:rPr>
                <w:noProof/>
                <w:webHidden/>
              </w:rPr>
              <w:fldChar w:fldCharType="end"/>
            </w:r>
          </w:hyperlink>
        </w:p>
        <w:p w14:paraId="368EB92A" w14:textId="687648E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11" w:history="1">
            <w:r w:rsidR="00BF2026" w:rsidRPr="001733C2">
              <w:rPr>
                <w:rStyle w:val="Hipercze"/>
                <w:rFonts w:eastAsia="Times New Roman"/>
                <w:bCs/>
                <w:noProof/>
              </w:rPr>
              <w:t>Liczba uczniów szkół i placówek kształcenia zawodowego uczestniczących w stażach uczniowskich</w:t>
            </w:r>
            <w:r w:rsidR="00BF2026">
              <w:rPr>
                <w:noProof/>
                <w:webHidden/>
              </w:rPr>
              <w:tab/>
            </w:r>
            <w:r w:rsidR="00BF2026">
              <w:rPr>
                <w:noProof/>
                <w:webHidden/>
              </w:rPr>
              <w:fldChar w:fldCharType="begin"/>
            </w:r>
            <w:r w:rsidR="00BF2026">
              <w:rPr>
                <w:noProof/>
                <w:webHidden/>
              </w:rPr>
              <w:instrText xml:space="preserve"> PAGEREF _Toc120464511 \h </w:instrText>
            </w:r>
            <w:r w:rsidR="00BF2026">
              <w:rPr>
                <w:noProof/>
                <w:webHidden/>
              </w:rPr>
            </w:r>
            <w:r w:rsidR="00BF2026">
              <w:rPr>
                <w:noProof/>
                <w:webHidden/>
              </w:rPr>
              <w:fldChar w:fldCharType="separate"/>
            </w:r>
            <w:r w:rsidR="008C795B">
              <w:rPr>
                <w:noProof/>
                <w:webHidden/>
              </w:rPr>
              <w:t>143</w:t>
            </w:r>
            <w:r w:rsidR="00BF2026">
              <w:rPr>
                <w:noProof/>
                <w:webHidden/>
              </w:rPr>
              <w:fldChar w:fldCharType="end"/>
            </w:r>
          </w:hyperlink>
        </w:p>
        <w:p w14:paraId="1C62541B" w14:textId="03A0476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12" w:history="1">
            <w:r w:rsidR="00BF2026" w:rsidRPr="001733C2">
              <w:rPr>
                <w:rStyle w:val="Hipercze"/>
                <w:rFonts w:eastAsia="Times New Roman"/>
                <w:noProof/>
              </w:rPr>
              <w:t>Liczba przedstawicieli kadry szkół i placówek systemu oświaty objętych wsparciem</w:t>
            </w:r>
            <w:r w:rsidR="00BF2026">
              <w:rPr>
                <w:noProof/>
                <w:webHidden/>
              </w:rPr>
              <w:tab/>
            </w:r>
            <w:r w:rsidR="00BF2026">
              <w:rPr>
                <w:noProof/>
                <w:webHidden/>
              </w:rPr>
              <w:fldChar w:fldCharType="begin"/>
            </w:r>
            <w:r w:rsidR="00BF2026">
              <w:rPr>
                <w:noProof/>
                <w:webHidden/>
              </w:rPr>
              <w:instrText xml:space="preserve"> PAGEREF _Toc120464512 \h </w:instrText>
            </w:r>
            <w:r w:rsidR="00BF2026">
              <w:rPr>
                <w:noProof/>
                <w:webHidden/>
              </w:rPr>
            </w:r>
            <w:r w:rsidR="00BF2026">
              <w:rPr>
                <w:noProof/>
                <w:webHidden/>
              </w:rPr>
              <w:fldChar w:fldCharType="separate"/>
            </w:r>
            <w:r w:rsidR="008C795B">
              <w:rPr>
                <w:noProof/>
                <w:webHidden/>
              </w:rPr>
              <w:t>145</w:t>
            </w:r>
            <w:r w:rsidR="00BF2026">
              <w:rPr>
                <w:noProof/>
                <w:webHidden/>
              </w:rPr>
              <w:fldChar w:fldCharType="end"/>
            </w:r>
          </w:hyperlink>
        </w:p>
        <w:p w14:paraId="03414D1B" w14:textId="4931AACB" w:rsidR="00BF2026" w:rsidRDefault="00000000">
          <w:pPr>
            <w:pStyle w:val="Spistreci2"/>
            <w:rPr>
              <w:rFonts w:eastAsiaTheme="minorEastAsia" w:cstheme="minorBidi"/>
              <w:smallCaps w:val="0"/>
              <w:noProof/>
              <w:sz w:val="22"/>
              <w:szCs w:val="22"/>
              <w:lang w:eastAsia="pl-PL"/>
            </w:rPr>
          </w:pPr>
          <w:hyperlink w:anchor="_Toc120464513"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_Toc120464513 \h </w:instrText>
            </w:r>
            <w:r w:rsidR="00BF2026">
              <w:rPr>
                <w:noProof/>
                <w:webHidden/>
              </w:rPr>
            </w:r>
            <w:r w:rsidR="00BF2026">
              <w:rPr>
                <w:noProof/>
                <w:webHidden/>
              </w:rPr>
              <w:fldChar w:fldCharType="separate"/>
            </w:r>
            <w:r w:rsidR="008C795B">
              <w:rPr>
                <w:noProof/>
                <w:webHidden/>
              </w:rPr>
              <w:t>146</w:t>
            </w:r>
            <w:r w:rsidR="00BF2026">
              <w:rPr>
                <w:noProof/>
                <w:webHidden/>
              </w:rPr>
              <w:fldChar w:fldCharType="end"/>
            </w:r>
          </w:hyperlink>
        </w:p>
        <w:p w14:paraId="7B37A83F" w14:textId="5D8023D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14" w:history="1">
            <w:r w:rsidR="00BF2026" w:rsidRPr="001733C2">
              <w:rPr>
                <w:rStyle w:val="Hipercze"/>
                <w:rFonts w:eastAsia="Times New Roman"/>
                <w:bCs/>
                <w:noProof/>
              </w:rPr>
              <w:t>Liczba uczniów, którzy nabyli kwalifikacje lub kompetencje po opuszczeniu programu</w:t>
            </w:r>
            <w:r w:rsidR="00BF2026">
              <w:rPr>
                <w:noProof/>
                <w:webHidden/>
              </w:rPr>
              <w:tab/>
            </w:r>
            <w:r w:rsidR="00BF2026">
              <w:rPr>
                <w:noProof/>
                <w:webHidden/>
              </w:rPr>
              <w:fldChar w:fldCharType="begin"/>
            </w:r>
            <w:r w:rsidR="00BF2026">
              <w:rPr>
                <w:noProof/>
                <w:webHidden/>
              </w:rPr>
              <w:instrText xml:space="preserve"> PAGEREF _Toc120464514 \h </w:instrText>
            </w:r>
            <w:r w:rsidR="00BF2026">
              <w:rPr>
                <w:noProof/>
                <w:webHidden/>
              </w:rPr>
            </w:r>
            <w:r w:rsidR="00BF2026">
              <w:rPr>
                <w:noProof/>
                <w:webHidden/>
              </w:rPr>
              <w:fldChar w:fldCharType="separate"/>
            </w:r>
            <w:r w:rsidR="008C795B">
              <w:rPr>
                <w:noProof/>
                <w:webHidden/>
              </w:rPr>
              <w:t>147</w:t>
            </w:r>
            <w:r w:rsidR="00BF2026">
              <w:rPr>
                <w:noProof/>
                <w:webHidden/>
              </w:rPr>
              <w:fldChar w:fldCharType="end"/>
            </w:r>
          </w:hyperlink>
        </w:p>
        <w:p w14:paraId="213E75DF" w14:textId="48BFDDA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15" w:history="1">
            <w:r w:rsidR="00BF2026" w:rsidRPr="001733C2">
              <w:rPr>
                <w:rStyle w:val="Hipercze"/>
                <w:rFonts w:eastAsia="Times New Roman"/>
                <w:bCs/>
                <w:noProof/>
              </w:rPr>
              <w:t>Liczba miejsc wychowania przedszkolnego, które funkcjonują przez co najmniej 24 miesiące po zakończeniu projektu</w:t>
            </w:r>
            <w:r w:rsidR="00BF2026">
              <w:rPr>
                <w:noProof/>
                <w:webHidden/>
              </w:rPr>
              <w:tab/>
            </w:r>
            <w:r w:rsidR="00BF2026">
              <w:rPr>
                <w:noProof/>
                <w:webHidden/>
              </w:rPr>
              <w:fldChar w:fldCharType="begin"/>
            </w:r>
            <w:r w:rsidR="00BF2026">
              <w:rPr>
                <w:noProof/>
                <w:webHidden/>
              </w:rPr>
              <w:instrText xml:space="preserve"> PAGEREF _Toc120464515 \h </w:instrText>
            </w:r>
            <w:r w:rsidR="00BF2026">
              <w:rPr>
                <w:noProof/>
                <w:webHidden/>
              </w:rPr>
            </w:r>
            <w:r w:rsidR="00BF2026">
              <w:rPr>
                <w:noProof/>
                <w:webHidden/>
              </w:rPr>
              <w:fldChar w:fldCharType="separate"/>
            </w:r>
            <w:r w:rsidR="008C795B">
              <w:rPr>
                <w:noProof/>
                <w:webHidden/>
              </w:rPr>
              <w:t>147</w:t>
            </w:r>
            <w:r w:rsidR="00BF2026">
              <w:rPr>
                <w:noProof/>
                <w:webHidden/>
              </w:rPr>
              <w:fldChar w:fldCharType="end"/>
            </w:r>
          </w:hyperlink>
        </w:p>
        <w:p w14:paraId="743CB5AA" w14:textId="484D860A" w:rsidR="00BF2026" w:rsidRDefault="00000000">
          <w:pPr>
            <w:pStyle w:val="Spistreci2"/>
            <w:rPr>
              <w:rFonts w:eastAsiaTheme="minorEastAsia" w:cstheme="minorBidi"/>
              <w:smallCaps w:val="0"/>
              <w:noProof/>
              <w:sz w:val="22"/>
              <w:szCs w:val="22"/>
              <w:lang w:eastAsia="pl-PL"/>
            </w:rPr>
          </w:pPr>
          <w:hyperlink w:anchor="_Toc120464516" w:history="1">
            <w:r w:rsidR="00BF2026" w:rsidRPr="001733C2">
              <w:rPr>
                <w:rStyle w:val="Hipercze"/>
                <w:rFonts w:eastAsia="Times New Roman"/>
                <w:noProof/>
              </w:rPr>
              <w:t>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BF2026">
              <w:rPr>
                <w:noProof/>
                <w:webHidden/>
              </w:rPr>
              <w:tab/>
            </w:r>
            <w:r w:rsidR="00BF2026">
              <w:rPr>
                <w:noProof/>
                <w:webHidden/>
              </w:rPr>
              <w:fldChar w:fldCharType="begin"/>
            </w:r>
            <w:r w:rsidR="00BF2026">
              <w:rPr>
                <w:noProof/>
                <w:webHidden/>
              </w:rPr>
              <w:instrText xml:space="preserve"> PAGEREF _Toc120464516 \h </w:instrText>
            </w:r>
            <w:r w:rsidR="00BF2026">
              <w:rPr>
                <w:noProof/>
                <w:webHidden/>
              </w:rPr>
            </w:r>
            <w:r w:rsidR="00BF2026">
              <w:rPr>
                <w:noProof/>
                <w:webHidden/>
              </w:rPr>
              <w:fldChar w:fldCharType="separate"/>
            </w:r>
            <w:r w:rsidR="008C795B">
              <w:rPr>
                <w:noProof/>
                <w:webHidden/>
              </w:rPr>
              <w:t>148</w:t>
            </w:r>
            <w:r w:rsidR="00BF2026">
              <w:rPr>
                <w:noProof/>
                <w:webHidden/>
              </w:rPr>
              <w:fldChar w:fldCharType="end"/>
            </w:r>
          </w:hyperlink>
        </w:p>
        <w:p w14:paraId="581229CD" w14:textId="0DA1E440" w:rsidR="00BF2026" w:rsidRDefault="00000000">
          <w:pPr>
            <w:pStyle w:val="Spistreci2"/>
            <w:rPr>
              <w:rFonts w:eastAsiaTheme="minorEastAsia" w:cstheme="minorBidi"/>
              <w:smallCaps w:val="0"/>
              <w:noProof/>
              <w:sz w:val="22"/>
              <w:szCs w:val="22"/>
              <w:lang w:eastAsia="pl-PL"/>
            </w:rPr>
          </w:pPr>
          <w:hyperlink w:anchor="_Toc120464517" w:history="1">
            <w:r w:rsidR="00BF2026" w:rsidRPr="001733C2">
              <w:rPr>
                <w:rStyle w:val="Hipercze"/>
                <w:noProof/>
              </w:rPr>
              <w:t>Wskaźniki produktu</w:t>
            </w:r>
            <w:r w:rsidR="00BF2026">
              <w:rPr>
                <w:noProof/>
                <w:webHidden/>
              </w:rPr>
              <w:tab/>
            </w:r>
            <w:r w:rsidR="00BF2026">
              <w:rPr>
                <w:noProof/>
                <w:webHidden/>
              </w:rPr>
              <w:fldChar w:fldCharType="begin"/>
            </w:r>
            <w:r w:rsidR="00BF2026">
              <w:rPr>
                <w:noProof/>
                <w:webHidden/>
              </w:rPr>
              <w:instrText xml:space="preserve"> PAGEREF _Toc120464517 \h </w:instrText>
            </w:r>
            <w:r w:rsidR="00BF2026">
              <w:rPr>
                <w:noProof/>
                <w:webHidden/>
              </w:rPr>
            </w:r>
            <w:r w:rsidR="00BF2026">
              <w:rPr>
                <w:noProof/>
                <w:webHidden/>
              </w:rPr>
              <w:fldChar w:fldCharType="separate"/>
            </w:r>
            <w:r w:rsidR="008C795B">
              <w:rPr>
                <w:noProof/>
                <w:webHidden/>
              </w:rPr>
              <w:t>148</w:t>
            </w:r>
            <w:r w:rsidR="00BF2026">
              <w:rPr>
                <w:noProof/>
                <w:webHidden/>
              </w:rPr>
              <w:fldChar w:fldCharType="end"/>
            </w:r>
          </w:hyperlink>
        </w:p>
        <w:p w14:paraId="4BDA7ECE" w14:textId="171AD25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18" w:history="1">
            <w:r w:rsidR="00BF2026" w:rsidRPr="001733C2">
              <w:rPr>
                <w:rStyle w:val="Hipercze"/>
                <w:rFonts w:eastAsia="Times New Roman"/>
                <w:bCs/>
                <w:noProof/>
              </w:rPr>
              <w:t>Liczba osób dorosłych objętych usługami rozwojowymi</w:t>
            </w:r>
            <w:r w:rsidR="00BF2026">
              <w:rPr>
                <w:noProof/>
                <w:webHidden/>
              </w:rPr>
              <w:tab/>
            </w:r>
            <w:r w:rsidR="00BF2026">
              <w:rPr>
                <w:noProof/>
                <w:webHidden/>
              </w:rPr>
              <w:fldChar w:fldCharType="begin"/>
            </w:r>
            <w:r w:rsidR="00BF2026">
              <w:rPr>
                <w:noProof/>
                <w:webHidden/>
              </w:rPr>
              <w:instrText xml:space="preserve"> PAGEREF _Toc120464518 \h </w:instrText>
            </w:r>
            <w:r w:rsidR="00BF2026">
              <w:rPr>
                <w:noProof/>
                <w:webHidden/>
              </w:rPr>
            </w:r>
            <w:r w:rsidR="00BF2026">
              <w:rPr>
                <w:noProof/>
                <w:webHidden/>
              </w:rPr>
              <w:fldChar w:fldCharType="separate"/>
            </w:r>
            <w:r w:rsidR="008C795B">
              <w:rPr>
                <w:noProof/>
                <w:webHidden/>
              </w:rPr>
              <w:t>148</w:t>
            </w:r>
            <w:r w:rsidR="00BF2026">
              <w:rPr>
                <w:noProof/>
                <w:webHidden/>
              </w:rPr>
              <w:fldChar w:fldCharType="end"/>
            </w:r>
          </w:hyperlink>
        </w:p>
        <w:p w14:paraId="183F7CCE" w14:textId="58870CF0" w:rsidR="00BF2026" w:rsidRDefault="00000000">
          <w:pPr>
            <w:pStyle w:val="Spistreci2"/>
            <w:rPr>
              <w:rFonts w:eastAsiaTheme="minorEastAsia" w:cstheme="minorBidi"/>
              <w:smallCaps w:val="0"/>
              <w:noProof/>
              <w:sz w:val="22"/>
              <w:szCs w:val="22"/>
              <w:lang w:eastAsia="pl-PL"/>
            </w:rPr>
          </w:pPr>
          <w:hyperlink w:anchor="_Toc120464519"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_Toc120464519 \h </w:instrText>
            </w:r>
            <w:r w:rsidR="00BF2026">
              <w:rPr>
                <w:noProof/>
                <w:webHidden/>
              </w:rPr>
            </w:r>
            <w:r w:rsidR="00BF2026">
              <w:rPr>
                <w:noProof/>
                <w:webHidden/>
              </w:rPr>
              <w:fldChar w:fldCharType="separate"/>
            </w:r>
            <w:r w:rsidR="008C795B">
              <w:rPr>
                <w:noProof/>
                <w:webHidden/>
              </w:rPr>
              <w:t>150</w:t>
            </w:r>
            <w:r w:rsidR="00BF2026">
              <w:rPr>
                <w:noProof/>
                <w:webHidden/>
              </w:rPr>
              <w:fldChar w:fldCharType="end"/>
            </w:r>
          </w:hyperlink>
        </w:p>
        <w:p w14:paraId="56A3A7C0" w14:textId="658EAD62"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20" w:history="1">
            <w:r w:rsidR="00BF2026" w:rsidRPr="001733C2">
              <w:rPr>
                <w:rStyle w:val="Hipercze"/>
                <w:rFonts w:eastAsia="Times New Roman"/>
                <w:bCs/>
                <w:noProof/>
              </w:rPr>
              <w:t>Uczestnicy uzyskujący kwalifikacje po opuszczeniu programu</w:t>
            </w:r>
            <w:r w:rsidR="00BF2026">
              <w:rPr>
                <w:noProof/>
                <w:webHidden/>
              </w:rPr>
              <w:tab/>
            </w:r>
            <w:r w:rsidR="00BF2026">
              <w:rPr>
                <w:noProof/>
                <w:webHidden/>
              </w:rPr>
              <w:fldChar w:fldCharType="begin"/>
            </w:r>
            <w:r w:rsidR="00BF2026">
              <w:rPr>
                <w:noProof/>
                <w:webHidden/>
              </w:rPr>
              <w:instrText xml:space="preserve"> PAGEREF _Toc120464520 \h </w:instrText>
            </w:r>
            <w:r w:rsidR="00BF2026">
              <w:rPr>
                <w:noProof/>
                <w:webHidden/>
              </w:rPr>
            </w:r>
            <w:r w:rsidR="00BF2026">
              <w:rPr>
                <w:noProof/>
                <w:webHidden/>
              </w:rPr>
              <w:fldChar w:fldCharType="separate"/>
            </w:r>
            <w:r w:rsidR="008C795B">
              <w:rPr>
                <w:noProof/>
                <w:webHidden/>
              </w:rPr>
              <w:t>150</w:t>
            </w:r>
            <w:r w:rsidR="00BF2026">
              <w:rPr>
                <w:noProof/>
                <w:webHidden/>
              </w:rPr>
              <w:fldChar w:fldCharType="end"/>
            </w:r>
          </w:hyperlink>
        </w:p>
        <w:p w14:paraId="5F676470" w14:textId="34F06426" w:rsidR="00BF2026" w:rsidRDefault="00000000">
          <w:pPr>
            <w:pStyle w:val="Spistreci1"/>
            <w:rPr>
              <w:rFonts w:eastAsiaTheme="minorEastAsia" w:cstheme="minorBidi"/>
              <w:b w:val="0"/>
              <w:bCs w:val="0"/>
              <w:caps w:val="0"/>
              <w:noProof/>
              <w:sz w:val="22"/>
              <w:szCs w:val="22"/>
              <w:lang w:eastAsia="pl-PL"/>
            </w:rPr>
          </w:pPr>
          <w:hyperlink w:anchor="_Toc120464521" w:history="1">
            <w:r w:rsidR="00BF2026" w:rsidRPr="001733C2">
              <w:rPr>
                <w:rStyle w:val="Hipercze"/>
                <w:rFonts w:eastAsia="Times New Roman" w:cs="Times New Roman"/>
                <w:noProof/>
              </w:rPr>
              <w:t>PRIORYTET 9: FUNDUSZE EUROPEJSKIE NA RZECZ TRANSFORMACJI OBSZARÓW GÓRNICZYCH NA DOLNYM ŚLĄSKU (</w:t>
            </w:r>
            <w:r w:rsidR="00BF2026" w:rsidRPr="001733C2">
              <w:rPr>
                <w:rStyle w:val="Hipercze"/>
                <w:rFonts w:eastAsia="Times New Roman" w:cs="Times New Roman"/>
                <w:noProof/>
                <w:lang w:val="x-none"/>
              </w:rPr>
              <w:t>CP6</w:t>
            </w:r>
            <w:r w:rsidR="00BF2026" w:rsidRPr="001733C2">
              <w:rPr>
                <w:rStyle w:val="Hipercze"/>
                <w:rFonts w:eastAsia="Times New Roman" w:cs="Times New Roman"/>
                <w:noProof/>
              </w:rPr>
              <w:t>)</w:t>
            </w:r>
            <w:r w:rsidR="00BF2026">
              <w:rPr>
                <w:noProof/>
                <w:webHidden/>
              </w:rPr>
              <w:tab/>
            </w:r>
            <w:r w:rsidR="00BF2026">
              <w:rPr>
                <w:noProof/>
                <w:webHidden/>
              </w:rPr>
              <w:fldChar w:fldCharType="begin"/>
            </w:r>
            <w:r w:rsidR="00BF2026">
              <w:rPr>
                <w:noProof/>
                <w:webHidden/>
              </w:rPr>
              <w:instrText xml:space="preserve"> PAGEREF _Toc120464521 \h </w:instrText>
            </w:r>
            <w:r w:rsidR="00BF2026">
              <w:rPr>
                <w:noProof/>
                <w:webHidden/>
              </w:rPr>
            </w:r>
            <w:r w:rsidR="00BF2026">
              <w:rPr>
                <w:noProof/>
                <w:webHidden/>
              </w:rPr>
              <w:fldChar w:fldCharType="separate"/>
            </w:r>
            <w:r w:rsidR="008C795B">
              <w:rPr>
                <w:noProof/>
                <w:webHidden/>
              </w:rPr>
              <w:t>150</w:t>
            </w:r>
            <w:r w:rsidR="00BF2026">
              <w:rPr>
                <w:noProof/>
                <w:webHidden/>
              </w:rPr>
              <w:fldChar w:fldCharType="end"/>
            </w:r>
          </w:hyperlink>
        </w:p>
        <w:p w14:paraId="1C8507EA" w14:textId="561CA560" w:rsidR="00BF2026" w:rsidRDefault="00000000">
          <w:pPr>
            <w:pStyle w:val="Spistreci2"/>
            <w:rPr>
              <w:rFonts w:eastAsiaTheme="minorEastAsia" w:cstheme="minorBidi"/>
              <w:smallCaps w:val="0"/>
              <w:noProof/>
              <w:sz w:val="22"/>
              <w:szCs w:val="22"/>
              <w:lang w:eastAsia="pl-PL"/>
            </w:rPr>
          </w:pPr>
          <w:hyperlink w:anchor="_Toc120464522" w:history="1">
            <w:r w:rsidR="00BF2026" w:rsidRPr="001733C2">
              <w:rPr>
                <w:rStyle w:val="Hipercze"/>
                <w:rFonts w:eastAsia="Calibri" w:cstheme="majorBidi"/>
                <w:b/>
                <w:bCs/>
                <w:noProof/>
              </w:rPr>
              <w:t>CEL SZCZEGÓŁOWY: JSO8.1.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r w:rsidR="00BF2026">
              <w:rPr>
                <w:noProof/>
                <w:webHidden/>
              </w:rPr>
              <w:tab/>
            </w:r>
            <w:r w:rsidR="00BF2026">
              <w:rPr>
                <w:noProof/>
                <w:webHidden/>
              </w:rPr>
              <w:fldChar w:fldCharType="begin"/>
            </w:r>
            <w:r w:rsidR="00BF2026">
              <w:rPr>
                <w:noProof/>
                <w:webHidden/>
              </w:rPr>
              <w:instrText xml:space="preserve"> PAGEREF _Toc120464522 \h </w:instrText>
            </w:r>
            <w:r w:rsidR="00BF2026">
              <w:rPr>
                <w:noProof/>
                <w:webHidden/>
              </w:rPr>
            </w:r>
            <w:r w:rsidR="00BF2026">
              <w:rPr>
                <w:noProof/>
                <w:webHidden/>
              </w:rPr>
              <w:fldChar w:fldCharType="separate"/>
            </w:r>
            <w:r w:rsidR="008C795B">
              <w:rPr>
                <w:noProof/>
                <w:webHidden/>
              </w:rPr>
              <w:t>150</w:t>
            </w:r>
            <w:r w:rsidR="00BF2026">
              <w:rPr>
                <w:noProof/>
                <w:webHidden/>
              </w:rPr>
              <w:fldChar w:fldCharType="end"/>
            </w:r>
          </w:hyperlink>
        </w:p>
        <w:p w14:paraId="368D4CB6" w14:textId="5BA85E22" w:rsidR="00BF2026" w:rsidRDefault="00000000">
          <w:pPr>
            <w:pStyle w:val="Spistreci2"/>
            <w:rPr>
              <w:rFonts w:eastAsiaTheme="minorEastAsia" w:cstheme="minorBidi"/>
              <w:smallCaps w:val="0"/>
              <w:noProof/>
              <w:sz w:val="22"/>
              <w:szCs w:val="22"/>
              <w:lang w:eastAsia="pl-PL"/>
            </w:rPr>
          </w:pPr>
          <w:hyperlink w:anchor="_Toc120464523" w:history="1">
            <w:r w:rsidR="00BF2026" w:rsidRPr="001733C2">
              <w:rPr>
                <w:rStyle w:val="Hipercze"/>
                <w:rFonts w:eastAsia="Times New Roman"/>
                <w:noProof/>
              </w:rPr>
              <w:t>Wskaźniki produktu</w:t>
            </w:r>
            <w:r w:rsidR="00BF2026">
              <w:rPr>
                <w:noProof/>
                <w:webHidden/>
              </w:rPr>
              <w:tab/>
            </w:r>
            <w:r w:rsidR="00BF2026">
              <w:rPr>
                <w:noProof/>
                <w:webHidden/>
              </w:rPr>
              <w:fldChar w:fldCharType="begin"/>
            </w:r>
            <w:r w:rsidR="00BF2026">
              <w:rPr>
                <w:noProof/>
                <w:webHidden/>
              </w:rPr>
              <w:instrText xml:space="preserve"> PAGEREF _Toc120464523 \h </w:instrText>
            </w:r>
            <w:r w:rsidR="00BF2026">
              <w:rPr>
                <w:noProof/>
                <w:webHidden/>
              </w:rPr>
            </w:r>
            <w:r w:rsidR="00BF2026">
              <w:rPr>
                <w:noProof/>
                <w:webHidden/>
              </w:rPr>
              <w:fldChar w:fldCharType="separate"/>
            </w:r>
            <w:r w:rsidR="008C795B">
              <w:rPr>
                <w:noProof/>
                <w:webHidden/>
              </w:rPr>
              <w:t>150</w:t>
            </w:r>
            <w:r w:rsidR="00BF2026">
              <w:rPr>
                <w:noProof/>
                <w:webHidden/>
              </w:rPr>
              <w:fldChar w:fldCharType="end"/>
            </w:r>
          </w:hyperlink>
        </w:p>
        <w:p w14:paraId="65C4BE80" w14:textId="05A62D3B"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24" w:history="1">
            <w:r w:rsidR="00BF2026" w:rsidRPr="001733C2">
              <w:rPr>
                <w:rStyle w:val="Hipercze"/>
                <w:rFonts w:eastAsia="Times New Roman"/>
                <w:bCs/>
                <w:noProof/>
              </w:rPr>
              <w:t>Bezrobotni, w tym długotrwale bezrobotni</w:t>
            </w:r>
            <w:r w:rsidR="00BF2026">
              <w:rPr>
                <w:noProof/>
                <w:webHidden/>
              </w:rPr>
              <w:tab/>
            </w:r>
            <w:r w:rsidR="00BF2026">
              <w:rPr>
                <w:noProof/>
                <w:webHidden/>
              </w:rPr>
              <w:fldChar w:fldCharType="begin"/>
            </w:r>
            <w:r w:rsidR="00BF2026">
              <w:rPr>
                <w:noProof/>
                <w:webHidden/>
              </w:rPr>
              <w:instrText xml:space="preserve"> PAGEREF _Toc120464524 \h </w:instrText>
            </w:r>
            <w:r w:rsidR="00BF2026">
              <w:rPr>
                <w:noProof/>
                <w:webHidden/>
              </w:rPr>
            </w:r>
            <w:r w:rsidR="00BF2026">
              <w:rPr>
                <w:noProof/>
                <w:webHidden/>
              </w:rPr>
              <w:fldChar w:fldCharType="separate"/>
            </w:r>
            <w:r w:rsidR="008C795B">
              <w:rPr>
                <w:noProof/>
                <w:webHidden/>
              </w:rPr>
              <w:t>151</w:t>
            </w:r>
            <w:r w:rsidR="00BF2026">
              <w:rPr>
                <w:noProof/>
                <w:webHidden/>
              </w:rPr>
              <w:fldChar w:fldCharType="end"/>
            </w:r>
          </w:hyperlink>
        </w:p>
        <w:p w14:paraId="47CD3347" w14:textId="53D58E79"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25" w:history="1">
            <w:r w:rsidR="00BF2026" w:rsidRPr="001733C2">
              <w:rPr>
                <w:rStyle w:val="Hipercze"/>
                <w:rFonts w:eastAsia="Times New Roman"/>
                <w:bCs/>
                <w:noProof/>
              </w:rPr>
              <w:t>Osoba bierna zawodowo</w:t>
            </w:r>
            <w:r w:rsidR="00BF2026">
              <w:rPr>
                <w:noProof/>
                <w:webHidden/>
              </w:rPr>
              <w:tab/>
            </w:r>
            <w:r w:rsidR="00BF2026">
              <w:rPr>
                <w:noProof/>
                <w:webHidden/>
              </w:rPr>
              <w:fldChar w:fldCharType="begin"/>
            </w:r>
            <w:r w:rsidR="00BF2026">
              <w:rPr>
                <w:noProof/>
                <w:webHidden/>
              </w:rPr>
              <w:instrText xml:space="preserve"> PAGEREF _Toc120464525 \h </w:instrText>
            </w:r>
            <w:r w:rsidR="00BF2026">
              <w:rPr>
                <w:noProof/>
                <w:webHidden/>
              </w:rPr>
            </w:r>
            <w:r w:rsidR="00BF2026">
              <w:rPr>
                <w:noProof/>
                <w:webHidden/>
              </w:rPr>
              <w:fldChar w:fldCharType="separate"/>
            </w:r>
            <w:r w:rsidR="008C795B">
              <w:rPr>
                <w:noProof/>
                <w:webHidden/>
              </w:rPr>
              <w:t>152</w:t>
            </w:r>
            <w:r w:rsidR="00BF2026">
              <w:rPr>
                <w:noProof/>
                <w:webHidden/>
              </w:rPr>
              <w:fldChar w:fldCharType="end"/>
            </w:r>
          </w:hyperlink>
        </w:p>
        <w:p w14:paraId="26351186" w14:textId="0055EC9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26" w:history="1">
            <w:r w:rsidR="00BF2026" w:rsidRPr="001733C2">
              <w:rPr>
                <w:rStyle w:val="Hipercze"/>
                <w:rFonts w:eastAsia="Times New Roman" w:cs="Calibri"/>
                <w:bCs/>
                <w:noProof/>
              </w:rPr>
              <w:t>Liczba osób objętych usługami świadczonymi w społeczności lokalnej w programie</w:t>
            </w:r>
            <w:r w:rsidR="00BF2026">
              <w:rPr>
                <w:noProof/>
                <w:webHidden/>
              </w:rPr>
              <w:tab/>
            </w:r>
            <w:r w:rsidR="00BF2026">
              <w:rPr>
                <w:noProof/>
                <w:webHidden/>
              </w:rPr>
              <w:fldChar w:fldCharType="begin"/>
            </w:r>
            <w:r w:rsidR="00BF2026">
              <w:rPr>
                <w:noProof/>
                <w:webHidden/>
              </w:rPr>
              <w:instrText xml:space="preserve"> PAGEREF _Toc120464526 \h </w:instrText>
            </w:r>
            <w:r w:rsidR="00BF2026">
              <w:rPr>
                <w:noProof/>
                <w:webHidden/>
              </w:rPr>
            </w:r>
            <w:r w:rsidR="00BF2026">
              <w:rPr>
                <w:noProof/>
                <w:webHidden/>
              </w:rPr>
              <w:fldChar w:fldCharType="separate"/>
            </w:r>
            <w:r w:rsidR="008C795B">
              <w:rPr>
                <w:noProof/>
                <w:webHidden/>
              </w:rPr>
              <w:t>154</w:t>
            </w:r>
            <w:r w:rsidR="00BF2026">
              <w:rPr>
                <w:noProof/>
                <w:webHidden/>
              </w:rPr>
              <w:fldChar w:fldCharType="end"/>
            </w:r>
          </w:hyperlink>
        </w:p>
        <w:p w14:paraId="5CEDF647" w14:textId="64962D5C"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27" w:history="1">
            <w:r w:rsidR="00BF2026" w:rsidRPr="001733C2">
              <w:rPr>
                <w:rStyle w:val="Hipercze"/>
                <w:rFonts w:eastAsia="Times New Roman" w:cs="Calibri"/>
                <w:bCs/>
                <w:noProof/>
              </w:rPr>
              <w:t>Liczba uczniów szkół i placówek systemu oświaty prowadzących kształcenie ogólne objętych wsparciem</w:t>
            </w:r>
            <w:r w:rsidR="00BF2026">
              <w:rPr>
                <w:noProof/>
                <w:webHidden/>
              </w:rPr>
              <w:tab/>
            </w:r>
            <w:r w:rsidR="00BF2026">
              <w:rPr>
                <w:noProof/>
                <w:webHidden/>
              </w:rPr>
              <w:fldChar w:fldCharType="begin"/>
            </w:r>
            <w:r w:rsidR="00BF2026">
              <w:rPr>
                <w:noProof/>
                <w:webHidden/>
              </w:rPr>
              <w:instrText xml:space="preserve"> PAGEREF _Toc120464527 \h </w:instrText>
            </w:r>
            <w:r w:rsidR="00BF2026">
              <w:rPr>
                <w:noProof/>
                <w:webHidden/>
              </w:rPr>
            </w:r>
            <w:r w:rsidR="00BF2026">
              <w:rPr>
                <w:noProof/>
                <w:webHidden/>
              </w:rPr>
              <w:fldChar w:fldCharType="separate"/>
            </w:r>
            <w:r w:rsidR="008C795B">
              <w:rPr>
                <w:noProof/>
                <w:webHidden/>
              </w:rPr>
              <w:t>156</w:t>
            </w:r>
            <w:r w:rsidR="00BF2026">
              <w:rPr>
                <w:noProof/>
                <w:webHidden/>
              </w:rPr>
              <w:fldChar w:fldCharType="end"/>
            </w:r>
          </w:hyperlink>
        </w:p>
        <w:p w14:paraId="300DEF44" w14:textId="55D8D3D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28" w:history="1">
            <w:r w:rsidR="00BF2026" w:rsidRPr="001733C2">
              <w:rPr>
                <w:rStyle w:val="Hipercze"/>
                <w:rFonts w:eastAsia="Times New Roman" w:cs="Calibri"/>
                <w:bCs/>
                <w:noProof/>
              </w:rPr>
              <w:t>Liczba uczniów szkół i placówek kształcenia zawodowego uczestniczących w stażach uczniowskich</w:t>
            </w:r>
            <w:r w:rsidR="00BF2026">
              <w:rPr>
                <w:noProof/>
                <w:webHidden/>
              </w:rPr>
              <w:tab/>
            </w:r>
            <w:r w:rsidR="00BF2026">
              <w:rPr>
                <w:noProof/>
                <w:webHidden/>
              </w:rPr>
              <w:fldChar w:fldCharType="begin"/>
            </w:r>
            <w:r w:rsidR="00BF2026">
              <w:rPr>
                <w:noProof/>
                <w:webHidden/>
              </w:rPr>
              <w:instrText xml:space="preserve"> PAGEREF _Toc120464528 \h </w:instrText>
            </w:r>
            <w:r w:rsidR="00BF2026">
              <w:rPr>
                <w:noProof/>
                <w:webHidden/>
              </w:rPr>
            </w:r>
            <w:r w:rsidR="00BF2026">
              <w:rPr>
                <w:noProof/>
                <w:webHidden/>
              </w:rPr>
              <w:fldChar w:fldCharType="separate"/>
            </w:r>
            <w:r w:rsidR="008C795B">
              <w:rPr>
                <w:noProof/>
                <w:webHidden/>
              </w:rPr>
              <w:t>157</w:t>
            </w:r>
            <w:r w:rsidR="00BF2026">
              <w:rPr>
                <w:noProof/>
                <w:webHidden/>
              </w:rPr>
              <w:fldChar w:fldCharType="end"/>
            </w:r>
          </w:hyperlink>
        </w:p>
        <w:p w14:paraId="21A0C5A4" w14:textId="0EB42049" w:rsidR="00BF2026" w:rsidRDefault="00000000">
          <w:pPr>
            <w:pStyle w:val="Spistreci2"/>
            <w:rPr>
              <w:rFonts w:eastAsiaTheme="minorEastAsia" w:cstheme="minorBidi"/>
              <w:smallCaps w:val="0"/>
              <w:noProof/>
              <w:sz w:val="22"/>
              <w:szCs w:val="22"/>
              <w:lang w:eastAsia="pl-PL"/>
            </w:rPr>
          </w:pPr>
          <w:hyperlink w:anchor="_Toc120464529" w:history="1">
            <w:r w:rsidR="00BF2026" w:rsidRPr="001733C2">
              <w:rPr>
                <w:rStyle w:val="Hipercze"/>
                <w:rFonts w:eastAsia="Times New Roman" w:cstheme="majorBidi"/>
                <w:noProof/>
              </w:rPr>
              <w:t>Wskaźniki rezultatu</w:t>
            </w:r>
            <w:r w:rsidR="00BF2026">
              <w:rPr>
                <w:noProof/>
                <w:webHidden/>
              </w:rPr>
              <w:tab/>
            </w:r>
            <w:r w:rsidR="00BF2026">
              <w:rPr>
                <w:noProof/>
                <w:webHidden/>
              </w:rPr>
              <w:fldChar w:fldCharType="begin"/>
            </w:r>
            <w:r w:rsidR="00BF2026">
              <w:rPr>
                <w:noProof/>
                <w:webHidden/>
              </w:rPr>
              <w:instrText xml:space="preserve"> PAGEREF _Toc120464529 \h </w:instrText>
            </w:r>
            <w:r w:rsidR="00BF2026">
              <w:rPr>
                <w:noProof/>
                <w:webHidden/>
              </w:rPr>
            </w:r>
            <w:r w:rsidR="00BF2026">
              <w:rPr>
                <w:noProof/>
                <w:webHidden/>
              </w:rPr>
              <w:fldChar w:fldCharType="separate"/>
            </w:r>
            <w:r w:rsidR="008C795B">
              <w:rPr>
                <w:noProof/>
                <w:webHidden/>
              </w:rPr>
              <w:t>159</w:t>
            </w:r>
            <w:r w:rsidR="00BF2026">
              <w:rPr>
                <w:noProof/>
                <w:webHidden/>
              </w:rPr>
              <w:fldChar w:fldCharType="end"/>
            </w:r>
          </w:hyperlink>
        </w:p>
        <w:p w14:paraId="2FCAF86D" w14:textId="5C9DD89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0" w:history="1">
            <w:r w:rsidR="00BF2026" w:rsidRPr="001733C2">
              <w:rPr>
                <w:rStyle w:val="Hipercze"/>
                <w:rFonts w:eastAsia="Times New Roman"/>
                <w:bCs/>
                <w:noProof/>
              </w:rPr>
              <w:t>Uczestnicy poszukujący pracy po zakończeniu udziału w programie</w:t>
            </w:r>
            <w:r w:rsidR="00BF2026">
              <w:rPr>
                <w:noProof/>
                <w:webHidden/>
              </w:rPr>
              <w:tab/>
            </w:r>
            <w:r w:rsidR="00BF2026">
              <w:rPr>
                <w:noProof/>
                <w:webHidden/>
              </w:rPr>
              <w:fldChar w:fldCharType="begin"/>
            </w:r>
            <w:r w:rsidR="00BF2026">
              <w:rPr>
                <w:noProof/>
                <w:webHidden/>
              </w:rPr>
              <w:instrText xml:space="preserve"> PAGEREF _Toc120464530 \h </w:instrText>
            </w:r>
            <w:r w:rsidR="00BF2026">
              <w:rPr>
                <w:noProof/>
                <w:webHidden/>
              </w:rPr>
            </w:r>
            <w:r w:rsidR="00BF2026">
              <w:rPr>
                <w:noProof/>
                <w:webHidden/>
              </w:rPr>
              <w:fldChar w:fldCharType="separate"/>
            </w:r>
            <w:r w:rsidR="008C795B">
              <w:rPr>
                <w:noProof/>
                <w:webHidden/>
              </w:rPr>
              <w:t>159</w:t>
            </w:r>
            <w:r w:rsidR="00BF2026">
              <w:rPr>
                <w:noProof/>
                <w:webHidden/>
              </w:rPr>
              <w:fldChar w:fldCharType="end"/>
            </w:r>
          </w:hyperlink>
        </w:p>
        <w:p w14:paraId="18A92AE4" w14:textId="1A5E1221"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1" w:history="1">
            <w:r w:rsidR="00BF2026" w:rsidRPr="001733C2">
              <w:rPr>
                <w:rStyle w:val="Hipercze"/>
                <w:rFonts w:eastAsia="Times New Roman" w:cs="Calibri"/>
                <w:bCs/>
                <w:noProof/>
              </w:rPr>
              <w:t>Liczba utworzonych miejsc świadczenia usług w społeczności lokalnej</w:t>
            </w:r>
            <w:r w:rsidR="00BF2026">
              <w:rPr>
                <w:noProof/>
                <w:webHidden/>
              </w:rPr>
              <w:tab/>
            </w:r>
            <w:r w:rsidR="00BF2026">
              <w:rPr>
                <w:noProof/>
                <w:webHidden/>
              </w:rPr>
              <w:fldChar w:fldCharType="begin"/>
            </w:r>
            <w:r w:rsidR="00BF2026">
              <w:rPr>
                <w:noProof/>
                <w:webHidden/>
              </w:rPr>
              <w:instrText xml:space="preserve"> PAGEREF _Toc120464531 \h </w:instrText>
            </w:r>
            <w:r w:rsidR="00BF2026">
              <w:rPr>
                <w:noProof/>
                <w:webHidden/>
              </w:rPr>
            </w:r>
            <w:r w:rsidR="00BF2026">
              <w:rPr>
                <w:noProof/>
                <w:webHidden/>
              </w:rPr>
              <w:fldChar w:fldCharType="separate"/>
            </w:r>
            <w:r w:rsidR="008C795B">
              <w:rPr>
                <w:noProof/>
                <w:webHidden/>
              </w:rPr>
              <w:t>160</w:t>
            </w:r>
            <w:r w:rsidR="00BF2026">
              <w:rPr>
                <w:noProof/>
                <w:webHidden/>
              </w:rPr>
              <w:fldChar w:fldCharType="end"/>
            </w:r>
          </w:hyperlink>
        </w:p>
        <w:p w14:paraId="2CDF36A2" w14:textId="235CC33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2" w:history="1">
            <w:r w:rsidR="00BF2026" w:rsidRPr="001733C2">
              <w:rPr>
                <w:rStyle w:val="Hipercze"/>
                <w:rFonts w:eastAsia="Times New Roman" w:cs="Calibri"/>
                <w:bCs/>
                <w:noProof/>
              </w:rPr>
              <w:t>Liczba uczniów, którzy nabyli kwalifikacje lub kompetencje po opuszczeniu programu</w:t>
            </w:r>
            <w:r w:rsidR="00BF2026">
              <w:rPr>
                <w:noProof/>
                <w:webHidden/>
              </w:rPr>
              <w:tab/>
            </w:r>
            <w:r w:rsidR="00BF2026">
              <w:rPr>
                <w:noProof/>
                <w:webHidden/>
              </w:rPr>
              <w:fldChar w:fldCharType="begin"/>
            </w:r>
            <w:r w:rsidR="00BF2026">
              <w:rPr>
                <w:noProof/>
                <w:webHidden/>
              </w:rPr>
              <w:instrText xml:space="preserve"> PAGEREF _Toc120464532 \h </w:instrText>
            </w:r>
            <w:r w:rsidR="00BF2026">
              <w:rPr>
                <w:noProof/>
                <w:webHidden/>
              </w:rPr>
            </w:r>
            <w:r w:rsidR="00BF2026">
              <w:rPr>
                <w:noProof/>
                <w:webHidden/>
              </w:rPr>
              <w:fldChar w:fldCharType="separate"/>
            </w:r>
            <w:r w:rsidR="008C795B">
              <w:rPr>
                <w:noProof/>
                <w:webHidden/>
              </w:rPr>
              <w:t>161</w:t>
            </w:r>
            <w:r w:rsidR="00BF2026">
              <w:rPr>
                <w:noProof/>
                <w:webHidden/>
              </w:rPr>
              <w:fldChar w:fldCharType="end"/>
            </w:r>
          </w:hyperlink>
        </w:p>
        <w:p w14:paraId="0A3FBB79" w14:textId="4E739253"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3" w:history="1">
            <w:r w:rsidR="00BF2026" w:rsidRPr="001733C2">
              <w:rPr>
                <w:rStyle w:val="Hipercze"/>
                <w:rFonts w:eastAsia="Times New Roman"/>
                <w:bCs/>
                <w:noProof/>
              </w:rPr>
              <w:t>Przedsiębiorstwa objęte wsparciem (w tym: mikro, małe, średnie, duże)</w:t>
            </w:r>
            <w:r w:rsidR="00BF2026">
              <w:rPr>
                <w:noProof/>
                <w:webHidden/>
              </w:rPr>
              <w:tab/>
            </w:r>
            <w:r w:rsidR="00BF2026">
              <w:rPr>
                <w:noProof/>
                <w:webHidden/>
              </w:rPr>
              <w:fldChar w:fldCharType="begin"/>
            </w:r>
            <w:r w:rsidR="00BF2026">
              <w:rPr>
                <w:noProof/>
                <w:webHidden/>
              </w:rPr>
              <w:instrText xml:space="preserve"> PAGEREF _Toc120464533 \h </w:instrText>
            </w:r>
            <w:r w:rsidR="00BF2026">
              <w:rPr>
                <w:noProof/>
                <w:webHidden/>
              </w:rPr>
            </w:r>
            <w:r w:rsidR="00BF2026">
              <w:rPr>
                <w:noProof/>
                <w:webHidden/>
              </w:rPr>
              <w:fldChar w:fldCharType="separate"/>
            </w:r>
            <w:r w:rsidR="008C795B">
              <w:rPr>
                <w:noProof/>
                <w:webHidden/>
              </w:rPr>
              <w:t>162</w:t>
            </w:r>
            <w:r w:rsidR="00BF2026">
              <w:rPr>
                <w:noProof/>
                <w:webHidden/>
              </w:rPr>
              <w:fldChar w:fldCharType="end"/>
            </w:r>
          </w:hyperlink>
        </w:p>
        <w:p w14:paraId="4A07C389" w14:textId="0F2478E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4" w:history="1">
            <w:r w:rsidR="00BF2026" w:rsidRPr="001733C2">
              <w:rPr>
                <w:rStyle w:val="Hipercze"/>
                <w:rFonts w:eastAsia="Times New Roman"/>
                <w:bCs/>
                <w:noProof/>
              </w:rPr>
              <w:t>Przedsiębiorstwa objęte wsparciem w formie dotacji</w:t>
            </w:r>
            <w:r w:rsidR="00BF2026">
              <w:rPr>
                <w:noProof/>
                <w:webHidden/>
              </w:rPr>
              <w:tab/>
            </w:r>
            <w:r w:rsidR="00BF2026">
              <w:rPr>
                <w:noProof/>
                <w:webHidden/>
              </w:rPr>
              <w:fldChar w:fldCharType="begin"/>
            </w:r>
            <w:r w:rsidR="00BF2026">
              <w:rPr>
                <w:noProof/>
                <w:webHidden/>
              </w:rPr>
              <w:instrText xml:space="preserve"> PAGEREF _Toc120464534 \h </w:instrText>
            </w:r>
            <w:r w:rsidR="00BF2026">
              <w:rPr>
                <w:noProof/>
                <w:webHidden/>
              </w:rPr>
            </w:r>
            <w:r w:rsidR="00BF2026">
              <w:rPr>
                <w:noProof/>
                <w:webHidden/>
              </w:rPr>
              <w:fldChar w:fldCharType="separate"/>
            </w:r>
            <w:r w:rsidR="008C795B">
              <w:rPr>
                <w:noProof/>
                <w:webHidden/>
              </w:rPr>
              <w:t>163</w:t>
            </w:r>
            <w:r w:rsidR="00BF2026">
              <w:rPr>
                <w:noProof/>
                <w:webHidden/>
              </w:rPr>
              <w:fldChar w:fldCharType="end"/>
            </w:r>
          </w:hyperlink>
        </w:p>
        <w:p w14:paraId="26E5298D" w14:textId="68E328B4"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5" w:history="1">
            <w:r w:rsidR="00BF2026" w:rsidRPr="001733C2">
              <w:rPr>
                <w:rStyle w:val="Hipercze"/>
                <w:rFonts w:eastAsia="Times New Roman"/>
                <w:bCs/>
                <w:noProof/>
              </w:rPr>
              <w:t>Przedsiębiorstwa współpracujące z organizacjami badawczymi</w:t>
            </w:r>
            <w:r w:rsidR="00BF2026">
              <w:rPr>
                <w:noProof/>
                <w:webHidden/>
              </w:rPr>
              <w:tab/>
            </w:r>
            <w:r w:rsidR="00BF2026">
              <w:rPr>
                <w:noProof/>
                <w:webHidden/>
              </w:rPr>
              <w:fldChar w:fldCharType="begin"/>
            </w:r>
            <w:r w:rsidR="00BF2026">
              <w:rPr>
                <w:noProof/>
                <w:webHidden/>
              </w:rPr>
              <w:instrText xml:space="preserve"> PAGEREF _Toc120464535 \h </w:instrText>
            </w:r>
            <w:r w:rsidR="00BF2026">
              <w:rPr>
                <w:noProof/>
                <w:webHidden/>
              </w:rPr>
            </w:r>
            <w:r w:rsidR="00BF2026">
              <w:rPr>
                <w:noProof/>
                <w:webHidden/>
              </w:rPr>
              <w:fldChar w:fldCharType="separate"/>
            </w:r>
            <w:r w:rsidR="008C795B">
              <w:rPr>
                <w:noProof/>
                <w:webHidden/>
              </w:rPr>
              <w:t>164</w:t>
            </w:r>
            <w:r w:rsidR="00BF2026">
              <w:rPr>
                <w:noProof/>
                <w:webHidden/>
              </w:rPr>
              <w:fldChar w:fldCharType="end"/>
            </w:r>
          </w:hyperlink>
        </w:p>
        <w:p w14:paraId="4077C457" w14:textId="4A31A78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6" w:history="1">
            <w:r w:rsidR="00BF2026" w:rsidRPr="001733C2">
              <w:rPr>
                <w:rStyle w:val="Hipercze"/>
                <w:rFonts w:eastAsia="Times New Roman" w:cs="Times New Roman"/>
                <w:noProof/>
              </w:rPr>
              <w:t>Powierzchnia budynków MŚP poddanych termomodernizacji</w:t>
            </w:r>
            <w:r w:rsidR="00BF2026">
              <w:rPr>
                <w:noProof/>
                <w:webHidden/>
              </w:rPr>
              <w:tab/>
            </w:r>
            <w:r w:rsidR="00BF2026">
              <w:rPr>
                <w:noProof/>
                <w:webHidden/>
              </w:rPr>
              <w:fldChar w:fldCharType="begin"/>
            </w:r>
            <w:r w:rsidR="00BF2026">
              <w:rPr>
                <w:noProof/>
                <w:webHidden/>
              </w:rPr>
              <w:instrText xml:space="preserve"> PAGEREF _Toc120464536 \h </w:instrText>
            </w:r>
            <w:r w:rsidR="00BF2026">
              <w:rPr>
                <w:noProof/>
                <w:webHidden/>
              </w:rPr>
            </w:r>
            <w:r w:rsidR="00BF2026">
              <w:rPr>
                <w:noProof/>
                <w:webHidden/>
              </w:rPr>
              <w:fldChar w:fldCharType="separate"/>
            </w:r>
            <w:r w:rsidR="008C795B">
              <w:rPr>
                <w:noProof/>
                <w:webHidden/>
              </w:rPr>
              <w:t>165</w:t>
            </w:r>
            <w:r w:rsidR="00BF2026">
              <w:rPr>
                <w:noProof/>
                <w:webHidden/>
              </w:rPr>
              <w:fldChar w:fldCharType="end"/>
            </w:r>
          </w:hyperlink>
        </w:p>
        <w:p w14:paraId="4DB40756" w14:textId="0554F574" w:rsidR="00BF2026" w:rsidRDefault="00000000">
          <w:pPr>
            <w:pStyle w:val="Spistreci2"/>
            <w:rPr>
              <w:rFonts w:eastAsiaTheme="minorEastAsia" w:cstheme="minorBidi"/>
              <w:smallCaps w:val="0"/>
              <w:noProof/>
              <w:sz w:val="22"/>
              <w:szCs w:val="22"/>
              <w:lang w:eastAsia="pl-PL"/>
            </w:rPr>
          </w:pPr>
          <w:hyperlink w:anchor="_Toc120464537" w:history="1">
            <w:r w:rsidR="00BF2026" w:rsidRPr="001733C2">
              <w:rPr>
                <w:rStyle w:val="Hipercze"/>
                <w:rFonts w:eastAsia="Times New Roman"/>
                <w:noProof/>
              </w:rPr>
              <w:t>Wskaźniki rezultatu</w:t>
            </w:r>
            <w:r w:rsidR="00BF2026">
              <w:rPr>
                <w:noProof/>
                <w:webHidden/>
              </w:rPr>
              <w:tab/>
            </w:r>
            <w:r w:rsidR="00BF2026">
              <w:rPr>
                <w:noProof/>
                <w:webHidden/>
              </w:rPr>
              <w:fldChar w:fldCharType="begin"/>
            </w:r>
            <w:r w:rsidR="00BF2026">
              <w:rPr>
                <w:noProof/>
                <w:webHidden/>
              </w:rPr>
              <w:instrText xml:space="preserve"> PAGEREF _Toc120464537 \h </w:instrText>
            </w:r>
            <w:r w:rsidR="00BF2026">
              <w:rPr>
                <w:noProof/>
                <w:webHidden/>
              </w:rPr>
            </w:r>
            <w:r w:rsidR="00BF2026">
              <w:rPr>
                <w:noProof/>
                <w:webHidden/>
              </w:rPr>
              <w:fldChar w:fldCharType="separate"/>
            </w:r>
            <w:r w:rsidR="008C795B">
              <w:rPr>
                <w:noProof/>
                <w:webHidden/>
              </w:rPr>
              <w:t>167</w:t>
            </w:r>
            <w:r w:rsidR="00BF2026">
              <w:rPr>
                <w:noProof/>
                <w:webHidden/>
              </w:rPr>
              <w:fldChar w:fldCharType="end"/>
            </w:r>
          </w:hyperlink>
        </w:p>
        <w:p w14:paraId="0E8A3DE5" w14:textId="1DE292C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8" w:history="1">
            <w:r w:rsidR="00BF2026" w:rsidRPr="001733C2">
              <w:rPr>
                <w:rStyle w:val="Hipercze"/>
                <w:rFonts w:eastAsia="Times New Roman"/>
                <w:bCs/>
                <w:noProof/>
              </w:rPr>
              <w:t>Miejsca pracy utworzone we wspieranych jednostkach</w:t>
            </w:r>
            <w:r w:rsidR="00BF2026">
              <w:rPr>
                <w:noProof/>
                <w:webHidden/>
              </w:rPr>
              <w:tab/>
            </w:r>
            <w:r w:rsidR="00BF2026">
              <w:rPr>
                <w:noProof/>
                <w:webHidden/>
              </w:rPr>
              <w:fldChar w:fldCharType="begin"/>
            </w:r>
            <w:r w:rsidR="00BF2026">
              <w:rPr>
                <w:noProof/>
                <w:webHidden/>
              </w:rPr>
              <w:instrText xml:space="preserve"> PAGEREF _Toc120464538 \h </w:instrText>
            </w:r>
            <w:r w:rsidR="00BF2026">
              <w:rPr>
                <w:noProof/>
                <w:webHidden/>
              </w:rPr>
            </w:r>
            <w:r w:rsidR="00BF2026">
              <w:rPr>
                <w:noProof/>
                <w:webHidden/>
              </w:rPr>
              <w:fldChar w:fldCharType="separate"/>
            </w:r>
            <w:r w:rsidR="008C795B">
              <w:rPr>
                <w:noProof/>
                <w:webHidden/>
              </w:rPr>
              <w:t>167</w:t>
            </w:r>
            <w:r w:rsidR="00BF2026">
              <w:rPr>
                <w:noProof/>
                <w:webHidden/>
              </w:rPr>
              <w:fldChar w:fldCharType="end"/>
            </w:r>
          </w:hyperlink>
        </w:p>
        <w:p w14:paraId="687530E3" w14:textId="16BB7AA0"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39" w:history="1">
            <w:r w:rsidR="00BF2026" w:rsidRPr="001733C2">
              <w:rPr>
                <w:rStyle w:val="Hipercze"/>
                <w:rFonts w:eastAsia="Times New Roman"/>
                <w:bCs/>
                <w:noProof/>
              </w:rPr>
              <w:t>Małe i średnie przedsiębiorstwa (MŚP) wprowadzające innowacje produktowe lub procesowe</w:t>
            </w:r>
            <w:r w:rsidR="00BF2026">
              <w:rPr>
                <w:noProof/>
                <w:webHidden/>
              </w:rPr>
              <w:tab/>
            </w:r>
            <w:r w:rsidR="00BF2026">
              <w:rPr>
                <w:noProof/>
                <w:webHidden/>
              </w:rPr>
              <w:fldChar w:fldCharType="begin"/>
            </w:r>
            <w:r w:rsidR="00BF2026">
              <w:rPr>
                <w:noProof/>
                <w:webHidden/>
              </w:rPr>
              <w:instrText xml:space="preserve"> PAGEREF _Toc120464539 \h </w:instrText>
            </w:r>
            <w:r w:rsidR="00BF2026">
              <w:rPr>
                <w:noProof/>
                <w:webHidden/>
              </w:rPr>
            </w:r>
            <w:r w:rsidR="00BF2026">
              <w:rPr>
                <w:noProof/>
                <w:webHidden/>
              </w:rPr>
              <w:fldChar w:fldCharType="separate"/>
            </w:r>
            <w:r w:rsidR="008C795B">
              <w:rPr>
                <w:noProof/>
                <w:webHidden/>
              </w:rPr>
              <w:t>168</w:t>
            </w:r>
            <w:r w:rsidR="00BF2026">
              <w:rPr>
                <w:noProof/>
                <w:webHidden/>
              </w:rPr>
              <w:fldChar w:fldCharType="end"/>
            </w:r>
          </w:hyperlink>
        </w:p>
        <w:p w14:paraId="72E1653B" w14:textId="31BA04FF" w:rsidR="00BF2026" w:rsidRDefault="00000000">
          <w:pPr>
            <w:pStyle w:val="Spistreci2"/>
            <w:rPr>
              <w:rFonts w:eastAsiaTheme="minorEastAsia" w:cstheme="minorBidi"/>
              <w:smallCaps w:val="0"/>
              <w:noProof/>
              <w:sz w:val="22"/>
              <w:szCs w:val="22"/>
              <w:lang w:eastAsia="pl-PL"/>
            </w:rPr>
          </w:pPr>
          <w:hyperlink w:anchor="_Toc120464540" w:history="1">
            <w:r w:rsidR="00BF2026" w:rsidRPr="001733C2">
              <w:rPr>
                <w:rStyle w:val="Hipercze"/>
                <w:noProof/>
                <w:lang w:eastAsia="pl-PL"/>
              </w:rPr>
              <w:t>Wskaźniki produktu</w:t>
            </w:r>
            <w:r w:rsidR="00BF2026">
              <w:rPr>
                <w:noProof/>
                <w:webHidden/>
              </w:rPr>
              <w:tab/>
            </w:r>
            <w:r w:rsidR="00BF2026">
              <w:rPr>
                <w:noProof/>
                <w:webHidden/>
              </w:rPr>
              <w:fldChar w:fldCharType="begin"/>
            </w:r>
            <w:r w:rsidR="00BF2026">
              <w:rPr>
                <w:noProof/>
                <w:webHidden/>
              </w:rPr>
              <w:instrText xml:space="preserve"> PAGEREF _Toc120464540 \h </w:instrText>
            </w:r>
            <w:r w:rsidR="00BF2026">
              <w:rPr>
                <w:noProof/>
                <w:webHidden/>
              </w:rPr>
            </w:r>
            <w:r w:rsidR="00BF2026">
              <w:rPr>
                <w:noProof/>
                <w:webHidden/>
              </w:rPr>
              <w:fldChar w:fldCharType="separate"/>
            </w:r>
            <w:r w:rsidR="008C795B">
              <w:rPr>
                <w:noProof/>
                <w:webHidden/>
              </w:rPr>
              <w:t>169</w:t>
            </w:r>
            <w:r w:rsidR="00BF2026">
              <w:rPr>
                <w:noProof/>
                <w:webHidden/>
              </w:rPr>
              <w:fldChar w:fldCharType="end"/>
            </w:r>
          </w:hyperlink>
        </w:p>
        <w:p w14:paraId="4BF5706F" w14:textId="6CF04F48"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1" w:history="1">
            <w:r w:rsidR="00BF2026" w:rsidRPr="001733C2">
              <w:rPr>
                <w:rStyle w:val="Hipercze"/>
                <w:rFonts w:eastAsia="Times New Roman"/>
                <w:bCs/>
                <w:noProof/>
              </w:rPr>
              <w:t>Dodatkowa zdolność wytwarzania energii odnawialnej (w tym: energii elektrycznej, energii cieplnej)</w:t>
            </w:r>
            <w:r w:rsidR="00BF2026">
              <w:rPr>
                <w:noProof/>
                <w:webHidden/>
              </w:rPr>
              <w:tab/>
            </w:r>
            <w:r w:rsidR="00BF2026">
              <w:rPr>
                <w:noProof/>
                <w:webHidden/>
              </w:rPr>
              <w:fldChar w:fldCharType="begin"/>
            </w:r>
            <w:r w:rsidR="00BF2026">
              <w:rPr>
                <w:noProof/>
                <w:webHidden/>
              </w:rPr>
              <w:instrText xml:space="preserve"> PAGEREF _Toc120464541 \h </w:instrText>
            </w:r>
            <w:r w:rsidR="00BF2026">
              <w:rPr>
                <w:noProof/>
                <w:webHidden/>
              </w:rPr>
            </w:r>
            <w:r w:rsidR="00BF2026">
              <w:rPr>
                <w:noProof/>
                <w:webHidden/>
              </w:rPr>
              <w:fldChar w:fldCharType="separate"/>
            </w:r>
            <w:r w:rsidR="008C795B">
              <w:rPr>
                <w:noProof/>
                <w:webHidden/>
              </w:rPr>
              <w:t>169</w:t>
            </w:r>
            <w:r w:rsidR="00BF2026">
              <w:rPr>
                <w:noProof/>
                <w:webHidden/>
              </w:rPr>
              <w:fldChar w:fldCharType="end"/>
            </w:r>
          </w:hyperlink>
        </w:p>
        <w:p w14:paraId="21E730A9" w14:textId="5F180007"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2" w:history="1">
            <w:r w:rsidR="00BF2026" w:rsidRPr="001733C2">
              <w:rPr>
                <w:rStyle w:val="Hipercze"/>
                <w:rFonts w:eastAsia="Times New Roman"/>
                <w:bCs/>
                <w:noProof/>
              </w:rPr>
              <w:t>Lokale mieszkalne o lepszej charakterystyce energetycznej</w:t>
            </w:r>
            <w:r w:rsidR="00BF2026">
              <w:rPr>
                <w:noProof/>
                <w:webHidden/>
              </w:rPr>
              <w:tab/>
            </w:r>
            <w:r w:rsidR="00BF2026">
              <w:rPr>
                <w:noProof/>
                <w:webHidden/>
              </w:rPr>
              <w:fldChar w:fldCharType="begin"/>
            </w:r>
            <w:r w:rsidR="00BF2026">
              <w:rPr>
                <w:noProof/>
                <w:webHidden/>
              </w:rPr>
              <w:instrText xml:space="preserve"> PAGEREF _Toc120464542 \h </w:instrText>
            </w:r>
            <w:r w:rsidR="00BF2026">
              <w:rPr>
                <w:noProof/>
                <w:webHidden/>
              </w:rPr>
            </w:r>
            <w:r w:rsidR="00BF2026">
              <w:rPr>
                <w:noProof/>
                <w:webHidden/>
              </w:rPr>
              <w:fldChar w:fldCharType="separate"/>
            </w:r>
            <w:r w:rsidR="008C795B">
              <w:rPr>
                <w:noProof/>
                <w:webHidden/>
              </w:rPr>
              <w:t>170</w:t>
            </w:r>
            <w:r w:rsidR="00BF2026">
              <w:rPr>
                <w:noProof/>
                <w:webHidden/>
              </w:rPr>
              <w:fldChar w:fldCharType="end"/>
            </w:r>
          </w:hyperlink>
        </w:p>
        <w:p w14:paraId="3D42912C" w14:textId="6559FEC6"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3" w:history="1">
            <w:r w:rsidR="00BF2026" w:rsidRPr="001733C2">
              <w:rPr>
                <w:rStyle w:val="Hipercze"/>
                <w:rFonts w:eastAsia="Times New Roman"/>
                <w:bCs/>
                <w:noProof/>
              </w:rPr>
              <w:t>Budynki publiczne o lepszej charakterystyce energetycznej</w:t>
            </w:r>
            <w:r w:rsidR="00BF2026">
              <w:rPr>
                <w:noProof/>
                <w:webHidden/>
              </w:rPr>
              <w:tab/>
            </w:r>
            <w:r w:rsidR="00BF2026">
              <w:rPr>
                <w:noProof/>
                <w:webHidden/>
              </w:rPr>
              <w:fldChar w:fldCharType="begin"/>
            </w:r>
            <w:r w:rsidR="00BF2026">
              <w:rPr>
                <w:noProof/>
                <w:webHidden/>
              </w:rPr>
              <w:instrText xml:space="preserve"> PAGEREF _Toc120464543 \h </w:instrText>
            </w:r>
            <w:r w:rsidR="00BF2026">
              <w:rPr>
                <w:noProof/>
                <w:webHidden/>
              </w:rPr>
            </w:r>
            <w:r w:rsidR="00BF2026">
              <w:rPr>
                <w:noProof/>
                <w:webHidden/>
              </w:rPr>
              <w:fldChar w:fldCharType="separate"/>
            </w:r>
            <w:r w:rsidR="008C795B">
              <w:rPr>
                <w:noProof/>
                <w:webHidden/>
              </w:rPr>
              <w:t>172</w:t>
            </w:r>
            <w:r w:rsidR="00BF2026">
              <w:rPr>
                <w:noProof/>
                <w:webHidden/>
              </w:rPr>
              <w:fldChar w:fldCharType="end"/>
            </w:r>
          </w:hyperlink>
        </w:p>
        <w:p w14:paraId="3DC80D4A" w14:textId="5396C78D"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4" w:history="1">
            <w:r w:rsidR="00BF2026" w:rsidRPr="001733C2">
              <w:rPr>
                <w:rStyle w:val="Hipercze"/>
                <w:rFonts w:eastAsia="Times New Roman"/>
                <w:bCs/>
                <w:noProof/>
              </w:rPr>
              <w:t>Pojemność ekologicznego taboru do zbiorowego transportu publicznego</w:t>
            </w:r>
            <w:r w:rsidR="00BF2026">
              <w:rPr>
                <w:noProof/>
                <w:webHidden/>
              </w:rPr>
              <w:tab/>
            </w:r>
            <w:r w:rsidR="00BF2026">
              <w:rPr>
                <w:noProof/>
                <w:webHidden/>
              </w:rPr>
              <w:fldChar w:fldCharType="begin"/>
            </w:r>
            <w:r w:rsidR="00BF2026">
              <w:rPr>
                <w:noProof/>
                <w:webHidden/>
              </w:rPr>
              <w:instrText xml:space="preserve"> PAGEREF _Toc120464544 \h </w:instrText>
            </w:r>
            <w:r w:rsidR="00BF2026">
              <w:rPr>
                <w:noProof/>
                <w:webHidden/>
              </w:rPr>
            </w:r>
            <w:r w:rsidR="00BF2026">
              <w:rPr>
                <w:noProof/>
                <w:webHidden/>
              </w:rPr>
              <w:fldChar w:fldCharType="separate"/>
            </w:r>
            <w:r w:rsidR="008C795B">
              <w:rPr>
                <w:noProof/>
                <w:webHidden/>
              </w:rPr>
              <w:t>173</w:t>
            </w:r>
            <w:r w:rsidR="00BF2026">
              <w:rPr>
                <w:noProof/>
                <w:webHidden/>
              </w:rPr>
              <w:fldChar w:fldCharType="end"/>
            </w:r>
          </w:hyperlink>
        </w:p>
        <w:p w14:paraId="3EB2B496" w14:textId="6E2A37A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5" w:history="1">
            <w:r w:rsidR="00BF2026" w:rsidRPr="001733C2">
              <w:rPr>
                <w:rStyle w:val="Hipercze"/>
                <w:rFonts w:eastAsia="Times New Roman"/>
                <w:bCs/>
                <w:noProof/>
              </w:rPr>
              <w:t>Wspierana infrastruktura rowerowa</w:t>
            </w:r>
            <w:r w:rsidR="00BF2026">
              <w:rPr>
                <w:noProof/>
                <w:webHidden/>
              </w:rPr>
              <w:tab/>
            </w:r>
            <w:r w:rsidR="00BF2026">
              <w:rPr>
                <w:noProof/>
                <w:webHidden/>
              </w:rPr>
              <w:fldChar w:fldCharType="begin"/>
            </w:r>
            <w:r w:rsidR="00BF2026">
              <w:rPr>
                <w:noProof/>
                <w:webHidden/>
              </w:rPr>
              <w:instrText xml:space="preserve"> PAGEREF _Toc120464545 \h </w:instrText>
            </w:r>
            <w:r w:rsidR="00BF2026">
              <w:rPr>
                <w:noProof/>
                <w:webHidden/>
              </w:rPr>
            </w:r>
            <w:r w:rsidR="00BF2026">
              <w:rPr>
                <w:noProof/>
                <w:webHidden/>
              </w:rPr>
              <w:fldChar w:fldCharType="separate"/>
            </w:r>
            <w:r w:rsidR="008C795B">
              <w:rPr>
                <w:noProof/>
                <w:webHidden/>
              </w:rPr>
              <w:t>174</w:t>
            </w:r>
            <w:r w:rsidR="00BF2026">
              <w:rPr>
                <w:noProof/>
                <w:webHidden/>
              </w:rPr>
              <w:fldChar w:fldCharType="end"/>
            </w:r>
          </w:hyperlink>
        </w:p>
        <w:p w14:paraId="68C6BD20" w14:textId="413A9F9C"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6" w:history="1">
            <w:r w:rsidR="00BF2026" w:rsidRPr="001733C2">
              <w:rPr>
                <w:rStyle w:val="Hipercze"/>
                <w:rFonts w:eastAsia="Times New Roman" w:cs="Calibri"/>
                <w:bCs/>
                <w:noProof/>
              </w:rPr>
              <w:t>Ludność objęta projektami w ramach strategii zintegrowanego rozwoju terytorialnego</w:t>
            </w:r>
            <w:r w:rsidR="00BF2026">
              <w:rPr>
                <w:noProof/>
                <w:webHidden/>
              </w:rPr>
              <w:tab/>
            </w:r>
            <w:r w:rsidR="00BF2026">
              <w:rPr>
                <w:noProof/>
                <w:webHidden/>
              </w:rPr>
              <w:fldChar w:fldCharType="begin"/>
            </w:r>
            <w:r w:rsidR="00BF2026">
              <w:rPr>
                <w:noProof/>
                <w:webHidden/>
              </w:rPr>
              <w:instrText xml:space="preserve"> PAGEREF _Toc120464546 \h </w:instrText>
            </w:r>
            <w:r w:rsidR="00BF2026">
              <w:rPr>
                <w:noProof/>
                <w:webHidden/>
              </w:rPr>
            </w:r>
            <w:r w:rsidR="00BF2026">
              <w:rPr>
                <w:noProof/>
                <w:webHidden/>
              </w:rPr>
              <w:fldChar w:fldCharType="separate"/>
            </w:r>
            <w:r w:rsidR="008C795B">
              <w:rPr>
                <w:noProof/>
                <w:webHidden/>
              </w:rPr>
              <w:t>176</w:t>
            </w:r>
            <w:r w:rsidR="00BF2026">
              <w:rPr>
                <w:noProof/>
                <w:webHidden/>
              </w:rPr>
              <w:fldChar w:fldCharType="end"/>
            </w:r>
          </w:hyperlink>
        </w:p>
        <w:p w14:paraId="2B525E47" w14:textId="763888CE"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7" w:history="1">
            <w:r w:rsidR="00BF2026" w:rsidRPr="001733C2">
              <w:rPr>
                <w:rStyle w:val="Hipercze"/>
                <w:rFonts w:eastAsia="Times New Roman" w:cs="Calibri"/>
                <w:bCs/>
                <w:noProof/>
              </w:rPr>
              <w:t>Wspierane strategie zintegrowanego rozwoju terytorialnego</w:t>
            </w:r>
            <w:r w:rsidR="00BF2026">
              <w:rPr>
                <w:noProof/>
                <w:webHidden/>
              </w:rPr>
              <w:tab/>
            </w:r>
            <w:r w:rsidR="00BF2026">
              <w:rPr>
                <w:noProof/>
                <w:webHidden/>
              </w:rPr>
              <w:fldChar w:fldCharType="begin"/>
            </w:r>
            <w:r w:rsidR="00BF2026">
              <w:rPr>
                <w:noProof/>
                <w:webHidden/>
              </w:rPr>
              <w:instrText xml:space="preserve"> PAGEREF _Toc120464547 \h </w:instrText>
            </w:r>
            <w:r w:rsidR="00BF2026">
              <w:rPr>
                <w:noProof/>
                <w:webHidden/>
              </w:rPr>
            </w:r>
            <w:r w:rsidR="00BF2026">
              <w:rPr>
                <w:noProof/>
                <w:webHidden/>
              </w:rPr>
              <w:fldChar w:fldCharType="separate"/>
            </w:r>
            <w:r w:rsidR="008C795B">
              <w:rPr>
                <w:noProof/>
                <w:webHidden/>
              </w:rPr>
              <w:t>176</w:t>
            </w:r>
            <w:r w:rsidR="00BF2026">
              <w:rPr>
                <w:noProof/>
                <w:webHidden/>
              </w:rPr>
              <w:fldChar w:fldCharType="end"/>
            </w:r>
          </w:hyperlink>
        </w:p>
        <w:p w14:paraId="11F7819E" w14:textId="007C2F09" w:rsidR="00BF2026" w:rsidRDefault="00000000">
          <w:pPr>
            <w:pStyle w:val="Spistreci2"/>
            <w:rPr>
              <w:rFonts w:eastAsiaTheme="minorEastAsia" w:cstheme="minorBidi"/>
              <w:smallCaps w:val="0"/>
              <w:noProof/>
              <w:sz w:val="22"/>
              <w:szCs w:val="22"/>
              <w:lang w:eastAsia="pl-PL"/>
            </w:rPr>
          </w:pPr>
          <w:hyperlink w:anchor="_Toc120464548" w:history="1">
            <w:r w:rsidR="00BF2026" w:rsidRPr="001733C2">
              <w:rPr>
                <w:rStyle w:val="Hipercze"/>
                <w:rFonts w:eastAsia="Times New Roman"/>
                <w:noProof/>
                <w:lang w:eastAsia="pl-PL"/>
              </w:rPr>
              <w:t>Wskaźniki rezultatu</w:t>
            </w:r>
            <w:r w:rsidR="00BF2026">
              <w:rPr>
                <w:noProof/>
                <w:webHidden/>
              </w:rPr>
              <w:tab/>
            </w:r>
            <w:r w:rsidR="00BF2026">
              <w:rPr>
                <w:noProof/>
                <w:webHidden/>
              </w:rPr>
              <w:fldChar w:fldCharType="begin"/>
            </w:r>
            <w:r w:rsidR="00BF2026">
              <w:rPr>
                <w:noProof/>
                <w:webHidden/>
              </w:rPr>
              <w:instrText xml:space="preserve"> PAGEREF _Toc120464548 \h </w:instrText>
            </w:r>
            <w:r w:rsidR="00BF2026">
              <w:rPr>
                <w:noProof/>
                <w:webHidden/>
              </w:rPr>
            </w:r>
            <w:r w:rsidR="00BF2026">
              <w:rPr>
                <w:noProof/>
                <w:webHidden/>
              </w:rPr>
              <w:fldChar w:fldCharType="separate"/>
            </w:r>
            <w:r w:rsidR="008C795B">
              <w:rPr>
                <w:noProof/>
                <w:webHidden/>
              </w:rPr>
              <w:t>177</w:t>
            </w:r>
            <w:r w:rsidR="00BF2026">
              <w:rPr>
                <w:noProof/>
                <w:webHidden/>
              </w:rPr>
              <w:fldChar w:fldCharType="end"/>
            </w:r>
          </w:hyperlink>
        </w:p>
        <w:p w14:paraId="5F344A3C" w14:textId="23711465"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49" w:history="1">
            <w:r w:rsidR="00BF2026" w:rsidRPr="001733C2">
              <w:rPr>
                <w:rStyle w:val="Hipercze"/>
                <w:rFonts w:eastAsia="Times New Roman"/>
                <w:bCs/>
                <w:noProof/>
              </w:rPr>
              <w:t>Szacowana emisja gazów cieplarnianych</w:t>
            </w:r>
            <w:r w:rsidR="00BF2026">
              <w:rPr>
                <w:noProof/>
                <w:webHidden/>
              </w:rPr>
              <w:tab/>
            </w:r>
            <w:r w:rsidR="00BF2026">
              <w:rPr>
                <w:noProof/>
                <w:webHidden/>
              </w:rPr>
              <w:fldChar w:fldCharType="begin"/>
            </w:r>
            <w:r w:rsidR="00BF2026">
              <w:rPr>
                <w:noProof/>
                <w:webHidden/>
              </w:rPr>
              <w:instrText xml:space="preserve"> PAGEREF _Toc120464549 \h </w:instrText>
            </w:r>
            <w:r w:rsidR="00BF2026">
              <w:rPr>
                <w:noProof/>
                <w:webHidden/>
              </w:rPr>
            </w:r>
            <w:r w:rsidR="00BF2026">
              <w:rPr>
                <w:noProof/>
                <w:webHidden/>
              </w:rPr>
              <w:fldChar w:fldCharType="separate"/>
            </w:r>
            <w:r w:rsidR="008C795B">
              <w:rPr>
                <w:noProof/>
                <w:webHidden/>
              </w:rPr>
              <w:t>177</w:t>
            </w:r>
            <w:r w:rsidR="00BF2026">
              <w:rPr>
                <w:noProof/>
                <w:webHidden/>
              </w:rPr>
              <w:fldChar w:fldCharType="end"/>
            </w:r>
          </w:hyperlink>
        </w:p>
        <w:p w14:paraId="7410D6B5" w14:textId="52528BDA"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50" w:history="1">
            <w:r w:rsidR="00BF2026" w:rsidRPr="001733C2">
              <w:rPr>
                <w:rStyle w:val="Hipercze"/>
                <w:rFonts w:eastAsia="Times New Roman"/>
                <w:bCs/>
                <w:noProof/>
              </w:rPr>
              <w:t>Roczna liczba użytkowników nowego lub zmodernizowanego transportu publicznego</w:t>
            </w:r>
            <w:r w:rsidR="00BF2026">
              <w:rPr>
                <w:noProof/>
                <w:webHidden/>
              </w:rPr>
              <w:tab/>
            </w:r>
            <w:r w:rsidR="00BF2026">
              <w:rPr>
                <w:noProof/>
                <w:webHidden/>
              </w:rPr>
              <w:fldChar w:fldCharType="begin"/>
            </w:r>
            <w:r w:rsidR="00BF2026">
              <w:rPr>
                <w:noProof/>
                <w:webHidden/>
              </w:rPr>
              <w:instrText xml:space="preserve"> PAGEREF _Toc120464550 \h </w:instrText>
            </w:r>
            <w:r w:rsidR="00BF2026">
              <w:rPr>
                <w:noProof/>
                <w:webHidden/>
              </w:rPr>
            </w:r>
            <w:r w:rsidR="00BF2026">
              <w:rPr>
                <w:noProof/>
                <w:webHidden/>
              </w:rPr>
              <w:fldChar w:fldCharType="separate"/>
            </w:r>
            <w:r w:rsidR="008C795B">
              <w:rPr>
                <w:noProof/>
                <w:webHidden/>
              </w:rPr>
              <w:t>179</w:t>
            </w:r>
            <w:r w:rsidR="00BF2026">
              <w:rPr>
                <w:noProof/>
                <w:webHidden/>
              </w:rPr>
              <w:fldChar w:fldCharType="end"/>
            </w:r>
          </w:hyperlink>
        </w:p>
        <w:p w14:paraId="4509C1B5" w14:textId="059B353F"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51" w:history="1">
            <w:r w:rsidR="00BF2026" w:rsidRPr="001733C2">
              <w:rPr>
                <w:rStyle w:val="Hipercze"/>
                <w:rFonts w:eastAsia="Times New Roman"/>
                <w:bCs/>
                <w:noProof/>
              </w:rPr>
              <w:t>Roczna liczba uzytkowników infrastruktury rowerowej</w:t>
            </w:r>
            <w:r w:rsidR="00BF2026">
              <w:rPr>
                <w:noProof/>
                <w:webHidden/>
              </w:rPr>
              <w:tab/>
            </w:r>
            <w:r w:rsidR="00BF2026">
              <w:rPr>
                <w:noProof/>
                <w:webHidden/>
              </w:rPr>
              <w:fldChar w:fldCharType="begin"/>
            </w:r>
            <w:r w:rsidR="00BF2026">
              <w:rPr>
                <w:noProof/>
                <w:webHidden/>
              </w:rPr>
              <w:instrText xml:space="preserve"> PAGEREF _Toc120464551 \h </w:instrText>
            </w:r>
            <w:r w:rsidR="00BF2026">
              <w:rPr>
                <w:noProof/>
                <w:webHidden/>
              </w:rPr>
            </w:r>
            <w:r w:rsidR="00BF2026">
              <w:rPr>
                <w:noProof/>
                <w:webHidden/>
              </w:rPr>
              <w:fldChar w:fldCharType="separate"/>
            </w:r>
            <w:r w:rsidR="008C795B">
              <w:rPr>
                <w:noProof/>
                <w:webHidden/>
              </w:rPr>
              <w:t>180</w:t>
            </w:r>
            <w:r w:rsidR="00BF2026">
              <w:rPr>
                <w:noProof/>
                <w:webHidden/>
              </w:rPr>
              <w:fldChar w:fldCharType="end"/>
            </w:r>
          </w:hyperlink>
        </w:p>
        <w:p w14:paraId="22592295" w14:textId="4316D6FC" w:rsidR="00BF2026" w:rsidRDefault="00000000">
          <w:pPr>
            <w:pStyle w:val="Spistreci3"/>
            <w:tabs>
              <w:tab w:val="right" w:leader="dot" w:pos="9062"/>
            </w:tabs>
            <w:rPr>
              <w:rFonts w:eastAsiaTheme="minorEastAsia" w:cstheme="minorBidi"/>
              <w:i w:val="0"/>
              <w:iCs w:val="0"/>
              <w:noProof/>
              <w:sz w:val="22"/>
              <w:szCs w:val="22"/>
              <w:lang w:eastAsia="pl-PL"/>
            </w:rPr>
          </w:pPr>
          <w:hyperlink w:anchor="_Toc120464552" w:history="1">
            <w:r w:rsidR="00BF2026" w:rsidRPr="001733C2">
              <w:rPr>
                <w:rStyle w:val="Hipercze"/>
                <w:rFonts w:eastAsia="Times New Roman"/>
                <w:bCs/>
                <w:noProof/>
              </w:rPr>
              <w:t>Wytworzona energia odnawialna ogółem (w tym: energia elektryczna, energia cieplna)</w:t>
            </w:r>
            <w:r w:rsidR="00BF2026">
              <w:rPr>
                <w:noProof/>
                <w:webHidden/>
              </w:rPr>
              <w:tab/>
            </w:r>
            <w:r w:rsidR="00BF2026">
              <w:rPr>
                <w:noProof/>
                <w:webHidden/>
              </w:rPr>
              <w:fldChar w:fldCharType="begin"/>
            </w:r>
            <w:r w:rsidR="00BF2026">
              <w:rPr>
                <w:noProof/>
                <w:webHidden/>
              </w:rPr>
              <w:instrText xml:space="preserve"> PAGEREF _Toc120464552 \h </w:instrText>
            </w:r>
            <w:r w:rsidR="00BF2026">
              <w:rPr>
                <w:noProof/>
                <w:webHidden/>
              </w:rPr>
            </w:r>
            <w:r w:rsidR="00BF2026">
              <w:rPr>
                <w:noProof/>
                <w:webHidden/>
              </w:rPr>
              <w:fldChar w:fldCharType="separate"/>
            </w:r>
            <w:r w:rsidR="008C795B">
              <w:rPr>
                <w:noProof/>
                <w:webHidden/>
              </w:rPr>
              <w:t>180</w:t>
            </w:r>
            <w:r w:rsidR="00BF2026">
              <w:rPr>
                <w:noProof/>
                <w:webHidden/>
              </w:rPr>
              <w:fldChar w:fldCharType="end"/>
            </w:r>
          </w:hyperlink>
        </w:p>
        <w:p w14:paraId="50908233" w14:textId="3145E752" w:rsidR="00BF2026" w:rsidRDefault="00000000">
          <w:pPr>
            <w:pStyle w:val="Spistreci1"/>
            <w:rPr>
              <w:rFonts w:eastAsiaTheme="minorEastAsia" w:cstheme="minorBidi"/>
              <w:b w:val="0"/>
              <w:bCs w:val="0"/>
              <w:caps w:val="0"/>
              <w:noProof/>
              <w:sz w:val="22"/>
              <w:szCs w:val="22"/>
              <w:lang w:eastAsia="pl-PL"/>
            </w:rPr>
          </w:pPr>
          <w:hyperlink w:anchor="_Toc120464553" w:history="1">
            <w:r w:rsidR="00BF2026" w:rsidRPr="001733C2">
              <w:rPr>
                <w:rStyle w:val="Hipercze"/>
                <w:noProof/>
              </w:rPr>
              <w:t>Pomoc techniczna EFRR</w:t>
            </w:r>
            <w:r w:rsidR="00BF2026">
              <w:rPr>
                <w:noProof/>
                <w:webHidden/>
              </w:rPr>
              <w:tab/>
            </w:r>
            <w:r w:rsidR="00BF2026">
              <w:rPr>
                <w:noProof/>
                <w:webHidden/>
              </w:rPr>
              <w:fldChar w:fldCharType="begin"/>
            </w:r>
            <w:r w:rsidR="00BF2026">
              <w:rPr>
                <w:noProof/>
                <w:webHidden/>
              </w:rPr>
              <w:instrText xml:space="preserve"> PAGEREF _Toc120464553 \h </w:instrText>
            </w:r>
            <w:r w:rsidR="00BF2026">
              <w:rPr>
                <w:noProof/>
                <w:webHidden/>
              </w:rPr>
            </w:r>
            <w:r w:rsidR="00BF2026">
              <w:rPr>
                <w:noProof/>
                <w:webHidden/>
              </w:rPr>
              <w:fldChar w:fldCharType="separate"/>
            </w:r>
            <w:r w:rsidR="008C795B">
              <w:rPr>
                <w:noProof/>
                <w:webHidden/>
              </w:rPr>
              <w:t>181</w:t>
            </w:r>
            <w:r w:rsidR="00BF2026">
              <w:rPr>
                <w:noProof/>
                <w:webHidden/>
              </w:rPr>
              <w:fldChar w:fldCharType="end"/>
            </w:r>
          </w:hyperlink>
        </w:p>
        <w:p w14:paraId="52DFB0B9" w14:textId="5202F260" w:rsidR="00BF2026" w:rsidRDefault="00000000">
          <w:pPr>
            <w:pStyle w:val="Spistreci1"/>
            <w:rPr>
              <w:rFonts w:eastAsiaTheme="minorEastAsia" w:cstheme="minorBidi"/>
              <w:b w:val="0"/>
              <w:bCs w:val="0"/>
              <w:caps w:val="0"/>
              <w:noProof/>
              <w:sz w:val="22"/>
              <w:szCs w:val="22"/>
              <w:lang w:eastAsia="pl-PL"/>
            </w:rPr>
          </w:pPr>
          <w:hyperlink w:anchor="_Toc120464554" w:history="1">
            <w:r w:rsidR="00BF2026" w:rsidRPr="001733C2">
              <w:rPr>
                <w:rStyle w:val="Hipercze"/>
                <w:noProof/>
              </w:rPr>
              <w:t>Pomoc techniczna EFS+</w:t>
            </w:r>
            <w:r w:rsidR="00BF2026">
              <w:rPr>
                <w:noProof/>
                <w:webHidden/>
              </w:rPr>
              <w:tab/>
            </w:r>
            <w:r w:rsidR="00BF2026">
              <w:rPr>
                <w:noProof/>
                <w:webHidden/>
              </w:rPr>
              <w:fldChar w:fldCharType="begin"/>
            </w:r>
            <w:r w:rsidR="00BF2026">
              <w:rPr>
                <w:noProof/>
                <w:webHidden/>
              </w:rPr>
              <w:instrText xml:space="preserve"> PAGEREF _Toc120464554 \h </w:instrText>
            </w:r>
            <w:r w:rsidR="00BF2026">
              <w:rPr>
                <w:noProof/>
                <w:webHidden/>
              </w:rPr>
            </w:r>
            <w:r w:rsidR="00BF2026">
              <w:rPr>
                <w:noProof/>
                <w:webHidden/>
              </w:rPr>
              <w:fldChar w:fldCharType="separate"/>
            </w:r>
            <w:r w:rsidR="008C795B">
              <w:rPr>
                <w:noProof/>
                <w:webHidden/>
              </w:rPr>
              <w:t>183</w:t>
            </w:r>
            <w:r w:rsidR="00BF2026">
              <w:rPr>
                <w:noProof/>
                <w:webHidden/>
              </w:rPr>
              <w:fldChar w:fldCharType="end"/>
            </w:r>
          </w:hyperlink>
        </w:p>
        <w:p w14:paraId="6A8B8D02" w14:textId="20A98CBA" w:rsidR="00BF2026" w:rsidRDefault="00000000">
          <w:pPr>
            <w:pStyle w:val="Spistreci1"/>
            <w:rPr>
              <w:rFonts w:eastAsiaTheme="minorEastAsia" w:cstheme="minorBidi"/>
              <w:b w:val="0"/>
              <w:bCs w:val="0"/>
              <w:caps w:val="0"/>
              <w:noProof/>
              <w:sz w:val="22"/>
              <w:szCs w:val="22"/>
              <w:lang w:eastAsia="pl-PL"/>
            </w:rPr>
          </w:pPr>
          <w:hyperlink w:anchor="_Toc120464555" w:history="1">
            <w:r w:rsidR="00BF2026" w:rsidRPr="001733C2">
              <w:rPr>
                <w:rStyle w:val="Hipercze"/>
                <w:noProof/>
              </w:rPr>
              <w:t>Pomoc techniczna FST</w:t>
            </w:r>
            <w:r w:rsidR="00BF2026">
              <w:rPr>
                <w:noProof/>
                <w:webHidden/>
              </w:rPr>
              <w:tab/>
            </w:r>
            <w:r w:rsidR="00BF2026">
              <w:rPr>
                <w:noProof/>
                <w:webHidden/>
              </w:rPr>
              <w:fldChar w:fldCharType="begin"/>
            </w:r>
            <w:r w:rsidR="00BF2026">
              <w:rPr>
                <w:noProof/>
                <w:webHidden/>
              </w:rPr>
              <w:instrText xml:space="preserve"> PAGEREF _Toc120464555 \h </w:instrText>
            </w:r>
            <w:r w:rsidR="00BF2026">
              <w:rPr>
                <w:noProof/>
                <w:webHidden/>
              </w:rPr>
            </w:r>
            <w:r w:rsidR="00BF2026">
              <w:rPr>
                <w:noProof/>
                <w:webHidden/>
              </w:rPr>
              <w:fldChar w:fldCharType="separate"/>
            </w:r>
            <w:r w:rsidR="008C795B">
              <w:rPr>
                <w:noProof/>
                <w:webHidden/>
              </w:rPr>
              <w:t>186</w:t>
            </w:r>
            <w:r w:rsidR="00BF2026">
              <w:rPr>
                <w:noProof/>
                <w:webHidden/>
              </w:rPr>
              <w:fldChar w:fldCharType="end"/>
            </w:r>
          </w:hyperlink>
        </w:p>
        <w:p w14:paraId="474FEA11" w14:textId="06AD83D6" w:rsidR="00D64C64" w:rsidRPr="003A6407" w:rsidRDefault="00D94F55">
          <w:r w:rsidRPr="003A6407">
            <w:fldChar w:fldCharType="end"/>
          </w:r>
        </w:p>
      </w:sdtContent>
    </w:sdt>
    <w:p w14:paraId="20335C6E" w14:textId="77777777" w:rsidR="002227B9" w:rsidRPr="003A6407" w:rsidRDefault="002227B9" w:rsidP="00FB0462">
      <w:pPr>
        <w:spacing w:after="0"/>
        <w:jc w:val="center"/>
        <w:sectPr w:rsidR="002227B9" w:rsidRPr="003A6407" w:rsidSect="000F58CA">
          <w:headerReference w:type="first" r:id="rId11"/>
          <w:pgSz w:w="11906" w:h="16838"/>
          <w:pgMar w:top="1417" w:right="1417" w:bottom="1417" w:left="1417" w:header="142" w:footer="708" w:gutter="0"/>
          <w:cols w:space="708"/>
          <w:titlePg/>
          <w:docGrid w:linePitch="360"/>
        </w:sectPr>
      </w:pPr>
    </w:p>
    <w:p w14:paraId="5021C331" w14:textId="46791AD9" w:rsidR="00FB0462" w:rsidRPr="003A6407" w:rsidRDefault="005B1E77" w:rsidP="005B1E77">
      <w:pPr>
        <w:pStyle w:val="Nagwek1"/>
      </w:pPr>
      <w:bookmarkStart w:id="0" w:name="_Toc49249095"/>
      <w:bookmarkStart w:id="1" w:name="_Toc120464344"/>
      <w:r w:rsidRPr="003A6407">
        <w:lastRenderedPageBreak/>
        <w:t>W</w:t>
      </w:r>
      <w:r w:rsidR="00FB0462" w:rsidRPr="003A6407">
        <w:t>ykaz skrótów</w:t>
      </w:r>
      <w:bookmarkEnd w:id="0"/>
      <w:bookmarkEnd w:id="1"/>
    </w:p>
    <w:p w14:paraId="3A4A1B26" w14:textId="77777777" w:rsidR="00FB0462" w:rsidRPr="003A6407" w:rsidRDefault="00FB0462" w:rsidP="00FB0462">
      <w:pPr>
        <w:jc w:val="both"/>
      </w:pPr>
    </w:p>
    <w:p w14:paraId="48004D4E" w14:textId="0CCBBB62" w:rsidR="00FB0462" w:rsidRPr="003A6407" w:rsidRDefault="00FB0462" w:rsidP="00FB0462">
      <w:pPr>
        <w:jc w:val="both"/>
        <w:rPr>
          <w:b/>
          <w:color w:val="000000"/>
          <w:spacing w:val="-4"/>
        </w:rPr>
      </w:pPr>
      <w:bookmarkStart w:id="2" w:name="_Toc393201116"/>
      <w:bookmarkStart w:id="3" w:name="_Toc393201115"/>
      <w:r w:rsidRPr="003A6407">
        <w:rPr>
          <w:b/>
          <w:color w:val="000000"/>
          <w:spacing w:val="-4"/>
        </w:rPr>
        <w:t>UP</w:t>
      </w:r>
      <w:r w:rsidRPr="003A6407">
        <w:rPr>
          <w:color w:val="000000"/>
          <w:spacing w:val="-4"/>
        </w:rPr>
        <w:t xml:space="preserve"> – Umowa Partnerstwa</w:t>
      </w:r>
      <w:bookmarkEnd w:id="2"/>
      <w:r w:rsidR="002F30A1" w:rsidRPr="003A6407">
        <w:rPr>
          <w:color w:val="000000"/>
          <w:spacing w:val="-4"/>
        </w:rPr>
        <w:t xml:space="preserve"> 2021-2027</w:t>
      </w:r>
    </w:p>
    <w:p w14:paraId="4EA294A2" w14:textId="66965ACC" w:rsidR="00FB0462" w:rsidRPr="003A6407" w:rsidRDefault="00AF3316" w:rsidP="00FB0462">
      <w:pPr>
        <w:jc w:val="both"/>
        <w:rPr>
          <w:b/>
          <w:color w:val="000000"/>
          <w:spacing w:val="-4"/>
        </w:rPr>
      </w:pPr>
      <w:r w:rsidRPr="003A6407">
        <w:rPr>
          <w:b/>
          <w:color w:val="000000"/>
          <w:spacing w:val="-4"/>
        </w:rPr>
        <w:t>FEDS</w:t>
      </w:r>
      <w:r w:rsidR="00E07B1B" w:rsidRPr="003A6407">
        <w:rPr>
          <w:b/>
          <w:color w:val="000000"/>
          <w:spacing w:val="-4"/>
        </w:rPr>
        <w:t xml:space="preserve"> </w:t>
      </w:r>
      <w:r w:rsidR="00FB0462" w:rsidRPr="003A6407">
        <w:rPr>
          <w:color w:val="000000"/>
          <w:spacing w:val="-4"/>
        </w:rPr>
        <w:t xml:space="preserve">– </w:t>
      </w:r>
      <w:r w:rsidRPr="003A6407">
        <w:rPr>
          <w:color w:val="000000"/>
          <w:spacing w:val="-4"/>
        </w:rPr>
        <w:t xml:space="preserve">Fundusze Europejskie dla Dolnego Śląska 2021-2027 </w:t>
      </w:r>
      <w:bookmarkEnd w:id="3"/>
    </w:p>
    <w:p w14:paraId="4E2CE8E3" w14:textId="00F9FB2E" w:rsidR="00FB0462" w:rsidRPr="003A6407" w:rsidRDefault="00FB0462" w:rsidP="00FB0462">
      <w:pPr>
        <w:rPr>
          <w:color w:val="000000"/>
          <w:spacing w:val="-4"/>
        </w:rPr>
      </w:pPr>
      <w:r w:rsidRPr="003A6407">
        <w:rPr>
          <w:b/>
          <w:color w:val="000000"/>
          <w:spacing w:val="-4"/>
        </w:rPr>
        <w:t>LWK</w:t>
      </w:r>
      <w:r w:rsidRPr="003A6407">
        <w:rPr>
          <w:color w:val="000000"/>
          <w:spacing w:val="-4"/>
        </w:rPr>
        <w:t xml:space="preserve"> –Lista Wskaźników Kluczowych</w:t>
      </w:r>
    </w:p>
    <w:p w14:paraId="74A5C188" w14:textId="759A8D4E" w:rsidR="0071539B" w:rsidRPr="003A6407" w:rsidRDefault="0071539B" w:rsidP="00FB0462">
      <w:pPr>
        <w:rPr>
          <w:color w:val="000000"/>
          <w:spacing w:val="-4"/>
        </w:rPr>
      </w:pPr>
      <w:r w:rsidRPr="003A6407">
        <w:rPr>
          <w:b/>
          <w:bCs/>
          <w:color w:val="000000"/>
          <w:spacing w:val="-4"/>
        </w:rPr>
        <w:t>CP</w:t>
      </w:r>
      <w:r w:rsidRPr="003A6407">
        <w:rPr>
          <w:color w:val="000000"/>
          <w:spacing w:val="-4"/>
        </w:rPr>
        <w:t xml:space="preserve"> – Cel polityki</w:t>
      </w:r>
    </w:p>
    <w:p w14:paraId="2BEF24BB" w14:textId="0D84CA8F" w:rsidR="00FB0462" w:rsidRPr="003A6407" w:rsidRDefault="00AF3316" w:rsidP="00FB0462">
      <w:pPr>
        <w:pStyle w:val="Bezodstpw"/>
      </w:pPr>
      <w:proofErr w:type="spellStart"/>
      <w:r w:rsidRPr="003A6407">
        <w:rPr>
          <w:b/>
        </w:rPr>
        <w:t>cs</w:t>
      </w:r>
      <w:proofErr w:type="spellEnd"/>
      <w:r w:rsidR="00FB0462" w:rsidRPr="003A6407">
        <w:t xml:space="preserve"> – </w:t>
      </w:r>
      <w:r w:rsidRPr="003A6407">
        <w:t>cel s</w:t>
      </w:r>
      <w:r w:rsidR="000946ED" w:rsidRPr="003A6407">
        <w:t>z</w:t>
      </w:r>
      <w:r w:rsidRPr="003A6407">
        <w:t>czegółowy</w:t>
      </w:r>
    </w:p>
    <w:p w14:paraId="667395CE" w14:textId="77777777" w:rsidR="00AF3316" w:rsidRPr="003A6407" w:rsidRDefault="00AF3316" w:rsidP="00FB0462">
      <w:pPr>
        <w:pStyle w:val="Bezodstpw"/>
      </w:pPr>
    </w:p>
    <w:p w14:paraId="1F688558" w14:textId="485F73A0" w:rsidR="00AF3316" w:rsidRPr="003A6407" w:rsidRDefault="00AF3316" w:rsidP="00AF3316">
      <w:pPr>
        <w:pStyle w:val="Bezodstpw"/>
        <w:jc w:val="both"/>
      </w:pPr>
      <w:r w:rsidRPr="003A6407">
        <w:rPr>
          <w:b/>
          <w:bCs/>
        </w:rPr>
        <w:t xml:space="preserve">CPR </w:t>
      </w:r>
      <w:r w:rsidRPr="003A6407">
        <w:t>–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060F2BA" w14:textId="77777777" w:rsidR="00FB0462" w:rsidRPr="003A6407" w:rsidRDefault="00FB0462" w:rsidP="00FB0462">
      <w:pPr>
        <w:pStyle w:val="Bezodstpw"/>
      </w:pPr>
    </w:p>
    <w:p w14:paraId="724C8669" w14:textId="77777777" w:rsidR="00FB0462" w:rsidRPr="003A6407" w:rsidRDefault="00FB0462" w:rsidP="00FB0462">
      <w:pPr>
        <w:pStyle w:val="Bezodstpw"/>
      </w:pPr>
    </w:p>
    <w:p w14:paraId="5D894FE0" w14:textId="77777777" w:rsidR="00573220" w:rsidRPr="003A6407" w:rsidRDefault="00573220" w:rsidP="00FB0462">
      <w:pPr>
        <w:pStyle w:val="Nagwek1"/>
      </w:pPr>
      <w:bookmarkStart w:id="4" w:name="_Toc49249096"/>
      <w:r w:rsidRPr="003A6407">
        <w:br w:type="page"/>
      </w:r>
    </w:p>
    <w:p w14:paraId="7CCD56DD" w14:textId="0B036CB7" w:rsidR="00FB0462" w:rsidRPr="003A6407" w:rsidRDefault="00FB0462" w:rsidP="00FB0462">
      <w:pPr>
        <w:pStyle w:val="Nagwek1"/>
        <w:rPr>
          <w:lang w:val="pl-PL"/>
        </w:rPr>
      </w:pPr>
      <w:bookmarkStart w:id="5" w:name="_Toc120464345"/>
      <w:r w:rsidRPr="003A6407">
        <w:lastRenderedPageBreak/>
        <w:t>Wprowadzenie</w:t>
      </w:r>
      <w:bookmarkEnd w:id="4"/>
      <w:bookmarkEnd w:id="5"/>
    </w:p>
    <w:p w14:paraId="6C8A4BB3" w14:textId="77777777" w:rsidR="00FB0462" w:rsidRPr="003A6407" w:rsidRDefault="00FB0462" w:rsidP="00FB0462"/>
    <w:p w14:paraId="10871621" w14:textId="3C99C6BB" w:rsidR="00FB0462" w:rsidRPr="003A6407" w:rsidRDefault="00FB0462" w:rsidP="00FB0462">
      <w:pPr>
        <w:jc w:val="both"/>
        <w:rPr>
          <w:color w:val="000000"/>
          <w:spacing w:val="-4"/>
        </w:rPr>
      </w:pPr>
      <w:bookmarkStart w:id="6" w:name="_Toc393201118"/>
      <w:bookmarkStart w:id="7" w:name="_Toc393198774"/>
      <w:bookmarkStart w:id="8" w:name="_Toc393198795"/>
      <w:r w:rsidRPr="003A6407">
        <w:rPr>
          <w:color w:val="000000"/>
          <w:spacing w:val="-4"/>
        </w:rPr>
        <w:t xml:space="preserve">System </w:t>
      </w:r>
      <w:r w:rsidR="002F30A1" w:rsidRPr="003A6407">
        <w:rPr>
          <w:color w:val="000000"/>
          <w:spacing w:val="-4"/>
        </w:rPr>
        <w:t xml:space="preserve">monitorowania </w:t>
      </w:r>
      <w:r w:rsidRPr="003A6407">
        <w:rPr>
          <w:color w:val="000000"/>
          <w:spacing w:val="-4"/>
        </w:rPr>
        <w:t>wskaźników jest jednym z instrumentów zarządzania w ramach programów funduszy strukturalnych oraz Funduszu Spójności. Prawidłowo zdefiniowane</w:t>
      </w:r>
      <w:r w:rsidR="00AB5369" w:rsidRPr="003A6407">
        <w:rPr>
          <w:color w:val="000000"/>
          <w:spacing w:val="-4"/>
        </w:rPr>
        <w:t xml:space="preserve"> wskaźniki</w:t>
      </w:r>
      <w:r w:rsidRPr="003A6407">
        <w:rPr>
          <w:color w:val="000000"/>
          <w:spacing w:val="-4"/>
        </w:rPr>
        <w:t xml:space="preserve"> i jednoznacznie określony sposób pomiaru wartości wskaźników jest niezbędny dla prac związanych z monitorowaniem programu. Monitoring służy bowiem zagwarantowaniu realizacji celu głównego oraz celów szczegółowych określonych w Programie oraz pełnej absorbcji alokowanych środków.</w:t>
      </w:r>
      <w:bookmarkEnd w:id="6"/>
    </w:p>
    <w:p w14:paraId="2FACCE62" w14:textId="559F4EB8" w:rsidR="00FB0462" w:rsidRPr="003A6407" w:rsidRDefault="00FB0462" w:rsidP="00361B19">
      <w:pPr>
        <w:spacing w:after="0"/>
        <w:jc w:val="both"/>
        <w:rPr>
          <w:color w:val="000000"/>
          <w:spacing w:val="-4"/>
        </w:rPr>
      </w:pPr>
      <w:bookmarkStart w:id="9" w:name="_Toc393201119"/>
      <w:r w:rsidRPr="003A6407">
        <w:rPr>
          <w:color w:val="000000"/>
          <w:spacing w:val="-4"/>
        </w:rPr>
        <w:t xml:space="preserve">W ramach perspektywy finansowej na lata 2021-2027 </w:t>
      </w:r>
      <w:r w:rsidR="00C55D56" w:rsidRPr="003A6407">
        <w:rPr>
          <w:color w:val="000000"/>
          <w:spacing w:val="-4"/>
        </w:rPr>
        <w:t>stosowany będzie uproszczony system monitorowania wskaźników. Wszystkie wskaźniki monitorowane na poziomie programu będą stanowić ramy wykonania</w:t>
      </w:r>
      <w:r w:rsidR="00233F69" w:rsidRPr="003A6407">
        <w:rPr>
          <w:color w:val="000000"/>
          <w:spacing w:val="-4"/>
        </w:rPr>
        <w:t>. Osiąganie celów szczegółowych programu mierzone będzie w szczególności wspólnymi wskaźnikami produktu i rezultatu, określonymi przez KE w załącznikach do rozporządzeń</w:t>
      </w:r>
      <w:r w:rsidR="00DF4143" w:rsidRPr="003A6407">
        <w:rPr>
          <w:color w:val="000000"/>
          <w:spacing w:val="-4"/>
        </w:rPr>
        <w:t>, a w stosownych przypadkach równie</w:t>
      </w:r>
      <w:r w:rsidR="00361B19" w:rsidRPr="003A6407">
        <w:rPr>
          <w:color w:val="000000"/>
          <w:spacing w:val="-4"/>
        </w:rPr>
        <w:t>ż</w:t>
      </w:r>
      <w:r w:rsidR="00DF4143" w:rsidRPr="003A6407">
        <w:rPr>
          <w:color w:val="000000"/>
          <w:spacing w:val="-4"/>
        </w:rPr>
        <w:t xml:space="preserve"> innymi wskaźnikami kluczowymi</w:t>
      </w:r>
      <w:r w:rsidR="00233F69" w:rsidRPr="003A6407">
        <w:rPr>
          <w:color w:val="000000"/>
          <w:spacing w:val="-4"/>
        </w:rPr>
        <w:t xml:space="preserve">. </w:t>
      </w:r>
      <w:r w:rsidR="00DF4143" w:rsidRPr="003A6407">
        <w:rPr>
          <w:color w:val="000000"/>
          <w:spacing w:val="-4"/>
        </w:rPr>
        <w:t xml:space="preserve">Efekty interwencji na poziomie projektów mierzone będą </w:t>
      </w:r>
      <w:r w:rsidR="00361B19" w:rsidRPr="003A6407">
        <w:rPr>
          <w:color w:val="000000"/>
          <w:spacing w:val="-4"/>
        </w:rPr>
        <w:t xml:space="preserve">adekwatnym </w:t>
      </w:r>
      <w:r w:rsidR="00DF4143" w:rsidRPr="003A6407">
        <w:rPr>
          <w:color w:val="000000"/>
          <w:spacing w:val="-4"/>
        </w:rPr>
        <w:t>zestaw</w:t>
      </w:r>
      <w:r w:rsidR="00361B19" w:rsidRPr="003A6407">
        <w:rPr>
          <w:color w:val="000000"/>
          <w:spacing w:val="-4"/>
        </w:rPr>
        <w:t>em</w:t>
      </w:r>
      <w:r w:rsidR="00DF4143" w:rsidRPr="003A6407">
        <w:rPr>
          <w:color w:val="000000"/>
          <w:spacing w:val="-4"/>
        </w:rPr>
        <w:t xml:space="preserve"> wskaźników produktu i rezultatu bezpośredniego pochodzący</w:t>
      </w:r>
      <w:r w:rsidR="00361B19" w:rsidRPr="003A6407">
        <w:rPr>
          <w:color w:val="000000"/>
          <w:spacing w:val="-4"/>
        </w:rPr>
        <w:t>m</w:t>
      </w:r>
      <w:r w:rsidR="00DF4143" w:rsidRPr="003A6407">
        <w:rPr>
          <w:color w:val="000000"/>
          <w:spacing w:val="-4"/>
        </w:rPr>
        <w:t xml:space="preserve"> z przygotowywanej przez ministra właściwego ds. rozwoju regionalnego Listy Wskaźników Kluczowych (LWK).</w:t>
      </w:r>
      <w:bookmarkEnd w:id="7"/>
      <w:bookmarkEnd w:id="8"/>
      <w:bookmarkEnd w:id="9"/>
    </w:p>
    <w:p w14:paraId="5281BBE5" w14:textId="77777777" w:rsidR="00AF3316" w:rsidRPr="003A6407" w:rsidRDefault="00AF3316" w:rsidP="003655C1">
      <w:pPr>
        <w:spacing w:after="0"/>
        <w:jc w:val="both"/>
        <w:rPr>
          <w:color w:val="000000"/>
          <w:spacing w:val="-4"/>
        </w:rPr>
      </w:pPr>
    </w:p>
    <w:p w14:paraId="13766331" w14:textId="1F93D7EE" w:rsidR="00FB0462" w:rsidRPr="003A6407" w:rsidRDefault="00FB0462" w:rsidP="00FB0462">
      <w:pPr>
        <w:jc w:val="both"/>
        <w:rPr>
          <w:color w:val="000000"/>
          <w:spacing w:val="-4"/>
        </w:rPr>
      </w:pPr>
      <w:bookmarkStart w:id="10" w:name="_Toc393198776"/>
      <w:bookmarkStart w:id="11" w:name="_Toc393198797"/>
      <w:bookmarkStart w:id="12" w:name="_Toc393201121"/>
      <w:r w:rsidRPr="003A6407">
        <w:rPr>
          <w:color w:val="000000"/>
          <w:spacing w:val="-4"/>
        </w:rPr>
        <w:t xml:space="preserve">Niniejszy dokument określa definicje i rodzaje wskaźników wybranych do realizacji w </w:t>
      </w:r>
      <w:r w:rsidR="00AF3316" w:rsidRPr="003A6407">
        <w:rPr>
          <w:color w:val="000000"/>
          <w:spacing w:val="-4"/>
        </w:rPr>
        <w:t>FEDS</w:t>
      </w:r>
      <w:r w:rsidRPr="003A6407">
        <w:rPr>
          <w:color w:val="000000"/>
          <w:spacing w:val="-4"/>
        </w:rPr>
        <w:t xml:space="preserve"> oraz przedstawia założenia oraz metodologię obliczania ich wartości pośredniej (przy wskaźnikach produktu) oraz docelowej.</w:t>
      </w:r>
      <w:bookmarkEnd w:id="10"/>
      <w:bookmarkEnd w:id="11"/>
      <w:bookmarkEnd w:id="12"/>
      <w:r w:rsidRPr="003A6407">
        <w:rPr>
          <w:color w:val="000000"/>
          <w:spacing w:val="-4"/>
        </w:rPr>
        <w:t xml:space="preserve"> </w:t>
      </w:r>
    </w:p>
    <w:p w14:paraId="764B9820" w14:textId="34C72362" w:rsidR="00FB0462" w:rsidRPr="003A6407" w:rsidRDefault="00FB0462" w:rsidP="00C55073">
      <w:pPr>
        <w:jc w:val="both"/>
        <w:rPr>
          <w:color w:val="000000"/>
          <w:spacing w:val="-4"/>
        </w:rPr>
      </w:pPr>
      <w:bookmarkStart w:id="13" w:name="_Toc393201122"/>
      <w:bookmarkStart w:id="14" w:name="_Toc393198777"/>
      <w:bookmarkStart w:id="15" w:name="_Toc393198798"/>
      <w:r w:rsidRPr="003A6407">
        <w:rPr>
          <w:color w:val="000000"/>
          <w:spacing w:val="-4"/>
        </w:rPr>
        <w:t xml:space="preserve">Wskaźniki określone dla </w:t>
      </w:r>
      <w:r w:rsidR="00AF3316" w:rsidRPr="003A6407">
        <w:rPr>
          <w:color w:val="000000"/>
          <w:spacing w:val="-4"/>
        </w:rPr>
        <w:t>FEDS</w:t>
      </w:r>
      <w:r w:rsidRPr="003A6407">
        <w:rPr>
          <w:color w:val="000000"/>
          <w:spacing w:val="-4"/>
        </w:rPr>
        <w:t xml:space="preserve"> są niezbędnym elementem w procesie mierzenia postępu realizacji oraz ocenie efektywności wdrażania programu począwszy od pojedynczego projektu, poprzez cele szczegółowe, kategorie interwencji, a kończąc na całym Programie Operacyjnym.</w:t>
      </w:r>
      <w:bookmarkEnd w:id="13"/>
      <w:r w:rsidRPr="003A6407">
        <w:rPr>
          <w:color w:val="000000"/>
          <w:spacing w:val="-4"/>
        </w:rPr>
        <w:t xml:space="preserve"> </w:t>
      </w:r>
      <w:bookmarkStart w:id="16" w:name="_Toc505770913"/>
      <w:bookmarkStart w:id="17" w:name="_Toc49249097"/>
      <w:bookmarkEnd w:id="14"/>
      <w:bookmarkEnd w:id="15"/>
    </w:p>
    <w:p w14:paraId="4D180AF2" w14:textId="7FFDC01E" w:rsidR="00FB0462" w:rsidRPr="003A6407" w:rsidRDefault="00FB0462" w:rsidP="00FB0462">
      <w:pPr>
        <w:pStyle w:val="Nagwek2"/>
      </w:pPr>
      <w:bookmarkStart w:id="18" w:name="_Toc120464346"/>
      <w:r w:rsidRPr="003A6407">
        <w:t xml:space="preserve">Informacje na temat ustanowienia </w:t>
      </w:r>
      <w:bookmarkEnd w:id="16"/>
      <w:bookmarkEnd w:id="17"/>
      <w:r w:rsidR="00890B7D" w:rsidRPr="003A6407">
        <w:t>wartości wskaźników</w:t>
      </w:r>
      <w:bookmarkEnd w:id="18"/>
      <w:r w:rsidRPr="003A6407">
        <w:t xml:space="preserve"> </w:t>
      </w:r>
    </w:p>
    <w:p w14:paraId="252F2596" w14:textId="77777777" w:rsidR="004618F3" w:rsidRPr="003A6407" w:rsidRDefault="00FB0462" w:rsidP="00FB0462">
      <w:pPr>
        <w:jc w:val="both"/>
        <w:rPr>
          <w:spacing w:val="-4"/>
        </w:rPr>
      </w:pPr>
      <w:r w:rsidRPr="003A6407">
        <w:rPr>
          <w:spacing w:val="-4"/>
        </w:rPr>
        <w:t xml:space="preserve">Prezentowane </w:t>
      </w:r>
      <w:r w:rsidR="00AF3316" w:rsidRPr="003A6407">
        <w:rPr>
          <w:spacing w:val="-4"/>
        </w:rPr>
        <w:t>d</w:t>
      </w:r>
      <w:r w:rsidRPr="003A6407">
        <w:rPr>
          <w:spacing w:val="-4"/>
        </w:rPr>
        <w:t xml:space="preserve">ocelowe wartości dla wskaźników </w:t>
      </w:r>
      <w:r w:rsidR="005E445E" w:rsidRPr="003A6407">
        <w:rPr>
          <w:spacing w:val="-4"/>
        </w:rPr>
        <w:t xml:space="preserve">wybranych do realizacji w ramach </w:t>
      </w:r>
      <w:r w:rsidR="00AF3316" w:rsidRPr="003A6407">
        <w:rPr>
          <w:spacing w:val="-4"/>
        </w:rPr>
        <w:t>FEDS</w:t>
      </w:r>
      <w:r w:rsidRPr="003A6407">
        <w:rPr>
          <w:spacing w:val="-4"/>
        </w:rPr>
        <w:t xml:space="preserve"> zostały ustalone w oparciu o metodologię szacowania, która została zaprezentowana KE w trakcie negocjacji. Instytucja Zarządzająca przedstawiła w n</w:t>
      </w:r>
      <w:r w:rsidR="000B05F6" w:rsidRPr="003A6407">
        <w:rPr>
          <w:spacing w:val="-4"/>
        </w:rPr>
        <w:t>iej</w:t>
      </w:r>
      <w:r w:rsidRPr="003A6407">
        <w:rPr>
          <w:spacing w:val="-4"/>
        </w:rPr>
        <w:t xml:space="preserve"> wszystkie uwarunkowania, jakie według jej obecnej wiedzy miały i mogą mieć wpływ na realizację przyjętych wartości. Udostępniona metodologia zawiera opis przyjętych założeń i głównych czynników, jakie miały wpływ na przyjętą (wyszacowaną) wartość docelową danego wskaźnika. Podstawowe kryteria szacowania wartości wskaźników bazują na danych historycznych, którymi dysponowała IZ, uwzględniając dotychczasowe doświadczenia we wdrażaniu podobnych przedsięwzięć. </w:t>
      </w:r>
      <w:r w:rsidR="00F809C3" w:rsidRPr="003A6407">
        <w:rPr>
          <w:spacing w:val="-4"/>
        </w:rPr>
        <w:t>Do kryteriów tych należą</w:t>
      </w:r>
      <w:r w:rsidRPr="003A6407">
        <w:rPr>
          <w:spacing w:val="-4"/>
        </w:rPr>
        <w:t xml:space="preserve">: średnia wartość projektu, typ beneficjenta, rodzaj instrumentu / formy wsparcia, poziom danych (kraj/region), wielkość próby, tryb wyboru projektu, tempo realizacji wskaźników, poziom osiągnięcia założonych wskaźników. </w:t>
      </w:r>
    </w:p>
    <w:p w14:paraId="2E68C18E" w14:textId="0D1AA528" w:rsidR="00FB0462" w:rsidRPr="003A6407" w:rsidRDefault="00FB0462" w:rsidP="00FB0462">
      <w:pPr>
        <w:jc w:val="both"/>
        <w:rPr>
          <w:spacing w:val="-4"/>
        </w:rPr>
      </w:pPr>
      <w:r w:rsidRPr="003A6407">
        <w:rPr>
          <w:spacing w:val="-4"/>
        </w:rPr>
        <w:t>Dodatkowo, poza danymi historycznymi i kosztami jednostkowymi, szacując wartości docelowe zostały wzięte pod uwagę również dostępne opracowania dotyczące obecnej sytuacji oraz trendów społeczno-gospodarczych, np.: analizy i prognozy branżowe, grup docelowych, oczekiwania społeczne, popyt na dane wsparcie czy nasycenie wsparciem na rynku</w:t>
      </w:r>
      <w:r w:rsidR="00AF3316" w:rsidRPr="003A6407">
        <w:rPr>
          <w:spacing w:val="-4"/>
        </w:rPr>
        <w:t>, jak również planowane do realizacji przedsięwzięcia</w:t>
      </w:r>
      <w:r w:rsidR="004618F3" w:rsidRPr="003A6407">
        <w:rPr>
          <w:spacing w:val="-4"/>
        </w:rPr>
        <w:t>, w tym</w:t>
      </w:r>
      <w:r w:rsidR="00AF3316" w:rsidRPr="003A6407">
        <w:rPr>
          <w:spacing w:val="-4"/>
        </w:rPr>
        <w:t xml:space="preserve"> strategiczne</w:t>
      </w:r>
      <w:r w:rsidRPr="003A6407">
        <w:rPr>
          <w:spacing w:val="-4"/>
        </w:rPr>
        <w:t>.</w:t>
      </w:r>
    </w:p>
    <w:p w14:paraId="5410304B" w14:textId="77777777" w:rsidR="004618F3" w:rsidRPr="003A6407" w:rsidRDefault="004618F3" w:rsidP="00270B09">
      <w:pPr>
        <w:jc w:val="both"/>
      </w:pPr>
      <w:r w:rsidRPr="003A6407">
        <w:t>W logice metodologicznej wykorzystano jak najbardziej aktualne i rzetelne dane pochodzące i zebrane głównie z danych z wdrażania perspektywy 2014-2020, a także ze statystyki publicznej i dostępnych danych publicznie np. z:</w:t>
      </w:r>
    </w:p>
    <w:p w14:paraId="0C197E19" w14:textId="77777777" w:rsidR="004618F3" w:rsidRPr="003A6407" w:rsidRDefault="004618F3">
      <w:pPr>
        <w:pStyle w:val="Akapitzlist"/>
        <w:numPr>
          <w:ilvl w:val="0"/>
          <w:numId w:val="86"/>
        </w:numPr>
        <w:spacing w:after="160" w:line="259" w:lineRule="auto"/>
      </w:pPr>
      <w:r w:rsidRPr="003A6407">
        <w:t>Sprawozdań rocznych z realizacji Regionalnego Programu Operacyjnego Województwa Dolnośląskiego 2014-2020 (</w:t>
      </w:r>
      <w:hyperlink r:id="rId12" w:history="1">
        <w:r w:rsidRPr="003A6407">
          <w:rPr>
            <w:rStyle w:val="Hipercze"/>
          </w:rPr>
          <w:t>https://rpo.dolnyslask.pl/o-projekcie/przeczytaj-analizy-raporty-i-podsumowania/sprawozdania/</w:t>
        </w:r>
      </w:hyperlink>
      <w:r w:rsidRPr="003A6407">
        <w:t>);;</w:t>
      </w:r>
    </w:p>
    <w:p w14:paraId="4907382F" w14:textId="77777777" w:rsidR="004618F3" w:rsidRPr="003A6407" w:rsidRDefault="004618F3">
      <w:pPr>
        <w:pStyle w:val="Akapitzlist"/>
        <w:numPr>
          <w:ilvl w:val="0"/>
          <w:numId w:val="86"/>
        </w:numPr>
        <w:spacing w:after="160" w:line="259" w:lineRule="auto"/>
      </w:pPr>
      <w:r w:rsidRPr="003A6407">
        <w:t>Badań ewaluacyjnych (</w:t>
      </w:r>
      <w:hyperlink r:id="rId13" w:history="1">
        <w:r w:rsidRPr="003A6407">
          <w:rPr>
            <w:rStyle w:val="Hipercze"/>
          </w:rPr>
          <w:t>https://rpo.dolnyslask.pl/o-projekcie/przeczytaj-analizy-raporty-i-podsumowania/ewaluacja/</w:t>
        </w:r>
      </w:hyperlink>
      <w:r w:rsidRPr="003A6407">
        <w:t>)</w:t>
      </w:r>
    </w:p>
    <w:p w14:paraId="35033845" w14:textId="77777777" w:rsidR="004618F3" w:rsidRPr="003A6407" w:rsidRDefault="004618F3">
      <w:pPr>
        <w:pStyle w:val="Akapitzlist"/>
        <w:numPr>
          <w:ilvl w:val="0"/>
          <w:numId w:val="86"/>
        </w:numPr>
        <w:spacing w:after="160" w:line="259" w:lineRule="auto"/>
      </w:pPr>
      <w:r w:rsidRPr="003A6407">
        <w:lastRenderedPageBreak/>
        <w:t>Danych statystyki publicznej (</w:t>
      </w:r>
      <w:hyperlink r:id="rId14" w:history="1">
        <w:r w:rsidRPr="003A6407">
          <w:rPr>
            <w:rStyle w:val="Hipercze"/>
          </w:rPr>
          <w:t>https://bdl.stat.gov.pl/bdl/start</w:t>
        </w:r>
      </w:hyperlink>
      <w:r w:rsidRPr="003A6407">
        <w:t xml:space="preserve"> - GUS; </w:t>
      </w:r>
      <w:hyperlink r:id="rId15" w:anchor="/" w:history="1">
        <w:r w:rsidRPr="003A6407">
          <w:rPr>
            <w:rStyle w:val="Hipercze"/>
          </w:rPr>
          <w:t>https://strateg.stat.gov.pl/#/</w:t>
        </w:r>
      </w:hyperlink>
      <w:r w:rsidRPr="003A6407">
        <w:t xml:space="preserve"> - system współfinasowany z Funduszu Spójności w ramach Programu Operacyjnego Pomoc Techniczna 2014-2020);</w:t>
      </w:r>
    </w:p>
    <w:p w14:paraId="579276B2" w14:textId="77777777" w:rsidR="004618F3" w:rsidRPr="003A6407" w:rsidRDefault="004618F3">
      <w:pPr>
        <w:pStyle w:val="Akapitzlist"/>
        <w:numPr>
          <w:ilvl w:val="0"/>
          <w:numId w:val="86"/>
        </w:numPr>
        <w:spacing w:after="160" w:line="259" w:lineRule="auto"/>
      </w:pPr>
      <w:r w:rsidRPr="003A6407">
        <w:t>Danych Dolnośląskiego Wojewódzkiego Urzędu Pracy;</w:t>
      </w:r>
    </w:p>
    <w:p w14:paraId="28E07D62" w14:textId="77777777" w:rsidR="004618F3" w:rsidRPr="003A6407" w:rsidRDefault="004618F3">
      <w:pPr>
        <w:pStyle w:val="Akapitzlist"/>
        <w:numPr>
          <w:ilvl w:val="0"/>
          <w:numId w:val="86"/>
        </w:numPr>
        <w:spacing w:after="160" w:line="259" w:lineRule="auto"/>
      </w:pPr>
      <w:r w:rsidRPr="003A6407">
        <w:t>Dolnośląskiej Służby Dróg i Kolei we Wrocławiu.</w:t>
      </w:r>
    </w:p>
    <w:p w14:paraId="1CC706DD" w14:textId="46C9E35E" w:rsidR="004618F3" w:rsidRPr="003A6407" w:rsidRDefault="004618F3" w:rsidP="00270B09">
      <w:pPr>
        <w:jc w:val="both"/>
      </w:pPr>
      <w:r w:rsidRPr="003A6407">
        <w:t xml:space="preserve">Powyższe pozwoliło na prawidłowe podejście do zapewnienia jakości źródła tych danych oraz sposobu ich pozyskania. Ponadto celem nadrzędnym jest wskazanie takich wskaźników, które będą odpowiadać na zaprogramowaną interwencję i będą z nią korelować. Dzięki czemu wskaźniki pokażą jaki efekt został osiągnięty za pomocą środków europejskich poprzez realizację projektów. </w:t>
      </w:r>
    </w:p>
    <w:p w14:paraId="1A5EFD71" w14:textId="77777777" w:rsidR="004618F3" w:rsidRPr="003A6407" w:rsidRDefault="004618F3" w:rsidP="00270B09">
      <w:pPr>
        <w:jc w:val="both"/>
      </w:pPr>
      <w:r w:rsidRPr="003A6407">
        <w:t xml:space="preserve">Wybrane do monitorowania wskaźniki pochodzą z załącznika I do Rozporządzenia Parlamentu Europejskiego i Rady UE w sprawie Europejskiego Funduszu Rozwoju Regionalnego i Funduszu Spójności oraz Listy Wskaźników Kluczowych EFRR, FS oraz EFS+ (ich nazwy i nr identyfikacyjne są zatwierdzone w tych dokumentach). Ponadto tam, gdzie nie było możliwości wykorzystania wskaźnika z ww. list zastosowano wskaźnik specyficzny dla programu. </w:t>
      </w:r>
    </w:p>
    <w:p w14:paraId="492D9185" w14:textId="77777777" w:rsidR="004618F3" w:rsidRPr="003A6407" w:rsidRDefault="004618F3" w:rsidP="00270B09">
      <w:pPr>
        <w:jc w:val="both"/>
      </w:pPr>
      <w:r w:rsidRPr="003A6407">
        <w:t>Listy Wskaźników Kluczowych zawierają także wszystkie definicje poszczególnych wskaźników zarówno z poziomu krajowego, jak i z rozporządzeń i dostępne są pod adresem:</w:t>
      </w:r>
    </w:p>
    <w:p w14:paraId="7434815E" w14:textId="77777777" w:rsidR="004618F3" w:rsidRPr="003A6407" w:rsidRDefault="00000000" w:rsidP="00270B09">
      <w:pPr>
        <w:jc w:val="both"/>
      </w:pPr>
      <w:hyperlink r:id="rId16" w:anchor="/domyslne=1" w:history="1">
        <w:r w:rsidR="004618F3" w:rsidRPr="003A6407">
          <w:rPr>
            <w:rStyle w:val="Hipercze"/>
          </w:rPr>
          <w:t>https://www.ewaluacja.gov.pl/strony/monitorowanie/lista-wskaznikow-kluczowych/#/domyslne=1</w:t>
        </w:r>
      </w:hyperlink>
      <w:r w:rsidR="004618F3" w:rsidRPr="003A6407">
        <w:rPr>
          <w:rStyle w:val="Hipercze"/>
        </w:rPr>
        <w:t>.</w:t>
      </w:r>
      <w:r w:rsidR="004618F3" w:rsidRPr="003A6407">
        <w:t xml:space="preserve"> </w:t>
      </w:r>
    </w:p>
    <w:p w14:paraId="3CDBD9D7" w14:textId="20B8FC1B" w:rsidR="00714E6F" w:rsidRPr="003A6407" w:rsidRDefault="004618F3" w:rsidP="00714E6F">
      <w:pPr>
        <w:jc w:val="both"/>
      </w:pPr>
      <w:r w:rsidRPr="003A6407">
        <w:t xml:space="preserve">Monitorowanie postępu rzeczowego FEDS 2021-2027 odbywać się będzie </w:t>
      </w:r>
      <w:r w:rsidR="00714E6F" w:rsidRPr="003A6407">
        <w:t>na bieżąco – jest to proces ciągły. Dane sprawozdawcze będą przekazywane do KE przez SFC:</w:t>
      </w:r>
    </w:p>
    <w:p w14:paraId="5940DC14" w14:textId="7BF10207" w:rsidR="00714E6F" w:rsidRPr="003A6407" w:rsidRDefault="00714E6F" w:rsidP="00714E6F">
      <w:pPr>
        <w:jc w:val="both"/>
      </w:pPr>
      <w:r w:rsidRPr="003A6407">
        <w:t>- 2 razy w roku - przekazanie informacji o realizacji wskaźników i postępach we wdrażaniu IF, w terminach do 31 stycznia i 31 lipca,</w:t>
      </w:r>
    </w:p>
    <w:p w14:paraId="4FB988C5" w14:textId="2847D657" w:rsidR="00714E6F" w:rsidRPr="003A6407" w:rsidRDefault="00714E6F" w:rsidP="00714E6F">
      <w:pPr>
        <w:jc w:val="both"/>
      </w:pPr>
      <w:r w:rsidRPr="003A6407">
        <w:t>- 5 razy w roku (co 3 miesiące)  – przekazanie danych finansowych, w terminach do 31 stycznia, do 30 kwietnia, do 31 lipca, do 30 września i do 30 listopada.</w:t>
      </w:r>
    </w:p>
    <w:p w14:paraId="1D53DC20" w14:textId="38F314BE" w:rsidR="004618F3" w:rsidRPr="003A6407" w:rsidRDefault="004618F3" w:rsidP="00270B09">
      <w:pPr>
        <w:jc w:val="both"/>
      </w:pPr>
      <w:r w:rsidRPr="003A6407">
        <w:t>Istotne jest także, iż w poszczególnych obliczeniach wartości kosztów historycznych odnosiły się do wartości całkowitej projektów a mając na uwadze, iż w perspektywie 2021-2027 w województwie dolnośląskim maksymalny poziom dofinansowania ze środków UE będzie stanowił 70% kosztów kwalifikowalnych, dokonano odpowiednich przeliczeń.</w:t>
      </w:r>
    </w:p>
    <w:p w14:paraId="35307D89" w14:textId="0D06C989" w:rsidR="004618F3" w:rsidRPr="003A6407" w:rsidRDefault="004618F3" w:rsidP="00270B09">
      <w:pPr>
        <w:jc w:val="both"/>
      </w:pPr>
      <w:r w:rsidRPr="003A6407">
        <w:t>W przypadku wskaźników rezultatu jako wartość referencyjną (bazowy rok odniesienia) wskazano rok 2022 oraz głównie wartość 0. Powyższe wynika z faktu, iż zatwierdzenie programu FEDS 2021-2027 planowane jest na ten właśnie rok, a w przypadku wartości bazowej należy mieć na uwadze, iż to dopiero interwencja realizowana poprzez projekty pokaże efekt.</w:t>
      </w:r>
    </w:p>
    <w:p w14:paraId="204CB64E" w14:textId="5FFC648F" w:rsidR="004618F3" w:rsidRPr="003A6407" w:rsidRDefault="004618F3" w:rsidP="00270B09">
      <w:pPr>
        <w:jc w:val="both"/>
      </w:pPr>
      <w:r w:rsidRPr="003A6407">
        <w:t xml:space="preserve">Cele pośrednie dla wskaźników (kamienie milowe) ustanowiono biorąc pod uwagę tempo wdrażania w zbieżnych naborach i podobnych wskaźnikach w perspektywie 2014-2020 (wzięto pod uwagę ogłoszenie i rozpoczęcie naboru wniosków o dofinansowanie, czas oceny wniosków i podpisania umowy o dofinansowanie oraz właściwą realizację projektu i jego rozliczenie). </w:t>
      </w:r>
    </w:p>
    <w:p w14:paraId="39FA9764" w14:textId="70AAB988" w:rsidR="004618F3" w:rsidRPr="003A6407" w:rsidRDefault="004618F3" w:rsidP="00270B09">
      <w:pPr>
        <w:jc w:val="both"/>
      </w:pPr>
      <w:r w:rsidRPr="003A6407">
        <w:t xml:space="preserve">Dla przykładu w przypadku EFRR/FST wskaźnik pn. Szacowane emisje gazów cieplarnianych (RCR029) przeanalizowano dane historyczne z wdrażania RPO WD 2014-2020 (PI 4e), na podstawie Sprawozdania rocznego z 2021 r. - wskaźnika pn. Redukcja emisji gazów cieplarnianych: Szacowany roczny spadek emisji gazów cieplarnianych (CI 34), który w 2017 r. osiągnął wartość 0, co wobec wartości z wykonania na 2021 r. (5775,19) stanowi 0%. Mając na uwadze, że 2017 r. był już czwartym rokiem wdrażania programu RPO WD 2014-2020, </w:t>
      </w:r>
      <w:r w:rsidRPr="003A6407">
        <w:lastRenderedPageBreak/>
        <w:t>a rok 2024 będzie de facto dopiero drugim rokiem wdrażania FEDS, wartość pośrednią dla tego wskaźnika ustalono jako 0.</w:t>
      </w:r>
    </w:p>
    <w:p w14:paraId="5D8EB4FD" w14:textId="335058D6" w:rsidR="004618F3" w:rsidRPr="003A6407" w:rsidRDefault="004618F3" w:rsidP="00270B09">
      <w:pPr>
        <w:jc w:val="both"/>
      </w:pPr>
      <w:r w:rsidRPr="003A6407">
        <w:t>Natomiast w przypadku EFS+ np. wskaźnik pn. Liczba uczniów, którzy nabyli kompetencje lub umiejętności po opuszczeniu programu zestawiono z analizą danych historycznych z wdrażania RPO WD 2014-2020 (PI 10 i), na podstawie Sprawozdania rocznego z 2021 r. dla projektów o podobnym zakresie wsparcia. Zgodnie z danymi ze sprawozdania rocznego za 2021 rok z realizacji RPO WD 2014-2020 wskaźnik pn. Liczba uczniów objętych wsparciem w zakresie rozwijania kompetencji kluczowych lub umiejętności uniwersalnych w programie w 2016 r. osiągnął wartość 4 782, co wobec wartości z wykonania na 2021 r. (136 862) stanowi zaledwie 3,49 %. Mając na uwadze, że 2016 r. był już trzecim rokiem wdrażania programu RPO WD 2014-2020, a rok 2024 będzie de facto dopiero drugim rokiem wdrażania FEDS, wartość pośrednią dla tego wskaźnika ustalono jako 0.</w:t>
      </w:r>
    </w:p>
    <w:p w14:paraId="599629CD" w14:textId="764B2646" w:rsidR="004618F3" w:rsidRPr="003A6407" w:rsidRDefault="004618F3" w:rsidP="00C55073">
      <w:pPr>
        <w:jc w:val="both"/>
        <w:rPr>
          <w:spacing w:val="-4"/>
        </w:rPr>
      </w:pPr>
      <w:r w:rsidRPr="003A6407">
        <w:t xml:space="preserve">Dla każdego wskaźnika zastosowano indywidualne podejście w określeniu celu pośredniego i przedstawiono je w poszczególnych opisach metodologii tych wskaźników. </w:t>
      </w:r>
    </w:p>
    <w:p w14:paraId="03D61DAF" w14:textId="6D49764A" w:rsidR="00FB0462" w:rsidRDefault="00FB0462" w:rsidP="00C55073">
      <w:pPr>
        <w:jc w:val="both"/>
        <w:rPr>
          <w:spacing w:val="-4"/>
        </w:rPr>
      </w:pPr>
      <w:r w:rsidRPr="003A6407">
        <w:rPr>
          <w:spacing w:val="-4"/>
        </w:rPr>
        <w:t xml:space="preserve">Instytucja Zarządzająca będzie na bieżąco monitorować realizację wartości </w:t>
      </w:r>
      <w:r w:rsidR="00C55073" w:rsidRPr="003A6407">
        <w:rPr>
          <w:spacing w:val="-4"/>
        </w:rPr>
        <w:t>wskaźników</w:t>
      </w:r>
      <w:r w:rsidRPr="003A6407">
        <w:rPr>
          <w:spacing w:val="-4"/>
        </w:rPr>
        <w:t xml:space="preserve"> i na bieżąco reagować na zjawiska, które mogą mieć wpływ na realizację założonych wartości, jak również dokonywać</w:t>
      </w:r>
      <w:r w:rsidRPr="003A6407">
        <w:rPr>
          <w:spacing w:val="-4"/>
        </w:rPr>
        <w:br/>
        <w:t>odpowiednich korekt po przeprowadzeniu stosownych analiz.</w:t>
      </w:r>
    </w:p>
    <w:p w14:paraId="364BE6C6" w14:textId="50688B21" w:rsidR="00165530" w:rsidRPr="003A6407" w:rsidRDefault="00165530" w:rsidP="00C55073">
      <w:pPr>
        <w:jc w:val="both"/>
        <w:rPr>
          <w:spacing w:val="-4"/>
        </w:rPr>
      </w:pPr>
      <w:r>
        <w:rPr>
          <w:spacing w:val="-4"/>
        </w:rPr>
        <w:t xml:space="preserve">Ponadto </w:t>
      </w:r>
      <w:r w:rsidRPr="00165530">
        <w:rPr>
          <w:spacing w:val="-4"/>
        </w:rPr>
        <w:t xml:space="preserve">założenia w wyliczeniu wskaźników </w:t>
      </w:r>
      <w:r>
        <w:rPr>
          <w:spacing w:val="-4"/>
        </w:rPr>
        <w:t>opierały się w głównej mierze na</w:t>
      </w:r>
      <w:r w:rsidRPr="00165530">
        <w:rPr>
          <w:spacing w:val="-4"/>
        </w:rPr>
        <w:t xml:space="preserve"> historyczny</w:t>
      </w:r>
      <w:r>
        <w:rPr>
          <w:spacing w:val="-4"/>
        </w:rPr>
        <w:t>m</w:t>
      </w:r>
      <w:r w:rsidRPr="00165530">
        <w:rPr>
          <w:spacing w:val="-4"/>
        </w:rPr>
        <w:t xml:space="preserve"> kosz</w:t>
      </w:r>
      <w:r>
        <w:rPr>
          <w:spacing w:val="-4"/>
        </w:rPr>
        <w:t>cie</w:t>
      </w:r>
      <w:r w:rsidRPr="00165530">
        <w:rPr>
          <w:spacing w:val="-4"/>
        </w:rPr>
        <w:t xml:space="preserve"> jednostkowy</w:t>
      </w:r>
      <w:r>
        <w:rPr>
          <w:spacing w:val="-4"/>
        </w:rPr>
        <w:t>m</w:t>
      </w:r>
      <w:r w:rsidRPr="00165530">
        <w:rPr>
          <w:spacing w:val="-4"/>
        </w:rPr>
        <w:t xml:space="preserve"> z RPO WD 2014-2020</w:t>
      </w:r>
      <w:r>
        <w:rPr>
          <w:spacing w:val="-4"/>
        </w:rPr>
        <w:t>, który</w:t>
      </w:r>
      <w:r w:rsidRPr="00165530">
        <w:rPr>
          <w:spacing w:val="-4"/>
        </w:rPr>
        <w:t xml:space="preserve"> był wyliczany dla całego województwa, w związku z tym wartości wskaźników wyliczone dla poszczególnych celów FST mogą być zawyżone.</w:t>
      </w:r>
    </w:p>
    <w:p w14:paraId="483D85C9" w14:textId="4E4ABBAE" w:rsidR="00FB0462" w:rsidRPr="003A6407" w:rsidRDefault="00FB0462" w:rsidP="00FB0462">
      <w:pPr>
        <w:pStyle w:val="Nagwek2"/>
      </w:pPr>
      <w:bookmarkStart w:id="19" w:name="_Toc49249098"/>
      <w:bookmarkStart w:id="20" w:name="_Toc120464347"/>
      <w:r w:rsidRPr="003A6407">
        <w:t>Definicje i rodzaje wskaźników</w:t>
      </w:r>
      <w:bookmarkEnd w:id="19"/>
      <w:bookmarkEnd w:id="20"/>
      <w:r w:rsidRPr="003A6407">
        <w:t xml:space="preserve"> </w:t>
      </w:r>
    </w:p>
    <w:p w14:paraId="7B42473C" w14:textId="200131D0" w:rsidR="00FB0462" w:rsidRPr="003A6407" w:rsidRDefault="00FB0462" w:rsidP="00FB0462">
      <w:pPr>
        <w:jc w:val="both"/>
        <w:rPr>
          <w:color w:val="000000"/>
          <w:spacing w:val="-4"/>
        </w:rPr>
      </w:pPr>
      <w:r w:rsidRPr="003A6407">
        <w:rPr>
          <w:color w:val="000000"/>
          <w:spacing w:val="-4"/>
        </w:rPr>
        <w:t>Wskaźniki są głównym instrumentem monitorowania zarówno postępu finansowego, jak i produktów oraz efektów realizacji programu.</w:t>
      </w:r>
      <w:r w:rsidR="00E07B1B" w:rsidRPr="003A6407">
        <w:rPr>
          <w:color w:val="000000"/>
          <w:spacing w:val="-4"/>
        </w:rPr>
        <w:t xml:space="preserve"> </w:t>
      </w:r>
      <w:r w:rsidRPr="003A6407">
        <w:rPr>
          <w:color w:val="000000"/>
          <w:spacing w:val="-4"/>
        </w:rPr>
        <w:t xml:space="preserve">W przypadku </w:t>
      </w:r>
      <w:r w:rsidR="00A85B94" w:rsidRPr="003A6407">
        <w:rPr>
          <w:color w:val="000000"/>
          <w:spacing w:val="-4"/>
        </w:rPr>
        <w:t>FEDS</w:t>
      </w:r>
      <w:r w:rsidRPr="003A6407">
        <w:rPr>
          <w:color w:val="000000"/>
          <w:spacing w:val="-4"/>
        </w:rPr>
        <w:t xml:space="preserve"> zostały określone następujące rodzaje wskaźników:</w:t>
      </w:r>
    </w:p>
    <w:p w14:paraId="38B3B31F" w14:textId="0EB9075C" w:rsidR="00FB0462" w:rsidRPr="003A6407" w:rsidRDefault="00FB0462" w:rsidP="00FB0462">
      <w:pPr>
        <w:jc w:val="both"/>
        <w:rPr>
          <w:rFonts w:eastAsia="Times New Roman"/>
          <w:sz w:val="24"/>
          <w:szCs w:val="24"/>
          <w:lang w:eastAsia="pl-PL"/>
        </w:rPr>
      </w:pPr>
      <w:r w:rsidRPr="003A6407">
        <w:rPr>
          <w:b/>
          <w:color w:val="000000"/>
          <w:spacing w:val="-4"/>
        </w:rPr>
        <w:t>Wskaźniki produktu</w:t>
      </w:r>
      <w:r w:rsidR="00E07B1B" w:rsidRPr="003A6407">
        <w:rPr>
          <w:color w:val="000000"/>
          <w:spacing w:val="-4"/>
        </w:rPr>
        <w:t xml:space="preserve"> </w:t>
      </w:r>
      <w:r w:rsidR="00AF3316" w:rsidRPr="003A6407">
        <w:rPr>
          <w:color w:val="000000"/>
          <w:spacing w:val="-4"/>
        </w:rPr>
        <w:t>- „Wskaźnik produktu” oznacza wskaźnik służący do pomiaru konkretnych zakładanych wyników danej interwencji. – art. 2 CPR. Wskaźniki produktu odzwierciedlają materialne efekty poniesionych nakładów finansowych, a nie cele programu lub polityki regionalnej.</w:t>
      </w:r>
    </w:p>
    <w:p w14:paraId="60EB7C82" w14:textId="44ECD11F" w:rsidR="00FB0462" w:rsidRPr="003A6407" w:rsidRDefault="00FB0462" w:rsidP="00FB0462">
      <w:pPr>
        <w:jc w:val="both"/>
      </w:pPr>
      <w:r w:rsidRPr="003A6407">
        <w:rPr>
          <w:b/>
          <w:color w:val="000000"/>
          <w:spacing w:val="-4"/>
        </w:rPr>
        <w:t xml:space="preserve">Wskaźniki rezultatu </w:t>
      </w:r>
      <w:r w:rsidR="00AF3316" w:rsidRPr="003A6407">
        <w:rPr>
          <w:color w:val="000000"/>
          <w:spacing w:val="-4"/>
        </w:rPr>
        <w:t>-</w:t>
      </w:r>
      <w:r w:rsidR="00E07B1B" w:rsidRPr="003A6407">
        <w:rPr>
          <w:color w:val="000000"/>
          <w:spacing w:val="-4"/>
        </w:rPr>
        <w:t xml:space="preserve"> </w:t>
      </w:r>
      <w:r w:rsidR="00AF3316" w:rsidRPr="003A6407">
        <w:t>„Wskaźnik rezultatu” oznacza wskaźnik służący do pomiaru efektów wspieranych interwencji, szczególnie w odniesieniu do bezpośrednich adresatów, populacji docelowej lub użytkowników infrastruktury. – art. 2 CPR. Wskaźniki rezultatu w latach 2021-2027 są bezpośrednio powiązane ze wspieranymi działaniami i mogą dostarczać bardziej bezpośrednich dowodów, które można bezpośrednio przypisać wspieranym działaniom. Monitorowanie wskaźników rezultatu (rezultatów dla beneficjentów) pozwala na obserwację bezpośrednich wyników w trakcie realizacji, a nie tylko pod koniec okresu realizacji. Dzięki monitorowaniu bezpośrednich wskaźników rezultatu system monitorowania zapewni silniejszą podstawę dla późniejszych działań w zakresie ewaluacji.</w:t>
      </w:r>
    </w:p>
    <w:p w14:paraId="4A6589B5" w14:textId="77777777" w:rsidR="002E57BF" w:rsidRPr="003A6407" w:rsidRDefault="002E57BF" w:rsidP="00FB0462">
      <w:pPr>
        <w:pStyle w:val="Nagwek1"/>
        <w:sectPr w:rsidR="002E57BF" w:rsidRPr="003A6407" w:rsidSect="000F58CA">
          <w:pgSz w:w="11906" w:h="16838"/>
          <w:pgMar w:top="1417" w:right="1417" w:bottom="1417" w:left="1417" w:header="142" w:footer="708" w:gutter="0"/>
          <w:cols w:space="708"/>
          <w:titlePg/>
          <w:docGrid w:linePitch="360"/>
        </w:sectPr>
      </w:pPr>
      <w:bookmarkStart w:id="21" w:name="_Toc49249099"/>
    </w:p>
    <w:p w14:paraId="54D11027" w14:textId="0477D58B" w:rsidR="00FB0462" w:rsidRPr="003A6407" w:rsidRDefault="00FB0462" w:rsidP="00FB0462">
      <w:pPr>
        <w:pStyle w:val="Nagwek1"/>
      </w:pPr>
      <w:bookmarkStart w:id="22" w:name="_Toc120464348"/>
      <w:r w:rsidRPr="003A6407">
        <w:lastRenderedPageBreak/>
        <w:t>Część ogólna dotycząca całego programu</w:t>
      </w:r>
      <w:bookmarkEnd w:id="21"/>
      <w:bookmarkEnd w:id="22"/>
    </w:p>
    <w:p w14:paraId="736590B1" w14:textId="7E898E9C" w:rsidR="00FB0462" w:rsidRPr="003A6407" w:rsidRDefault="00FB0462" w:rsidP="00FB0462">
      <w:pPr>
        <w:jc w:val="both"/>
      </w:pPr>
      <w:r w:rsidRPr="003A6407">
        <w:t xml:space="preserve">Wskaźniki do </w:t>
      </w:r>
      <w:r w:rsidR="00AF3316" w:rsidRPr="003A6407">
        <w:t>FEDS</w:t>
      </w:r>
      <w:r w:rsidRPr="003A6407">
        <w:t xml:space="preserve"> zostały opracowane z uwzględnieniem </w:t>
      </w:r>
      <w:r w:rsidR="00DA0AEE" w:rsidRPr="003A6407">
        <w:t xml:space="preserve">następujących </w:t>
      </w:r>
      <w:r w:rsidRPr="003A6407">
        <w:t>mechanizmów, tzn.:</w:t>
      </w:r>
    </w:p>
    <w:p w14:paraId="1A6CBF0E" w14:textId="25693CF1" w:rsidR="00FB0462" w:rsidRPr="003A6407" w:rsidRDefault="00FB0462" w:rsidP="00F20BCD">
      <w:pPr>
        <w:numPr>
          <w:ilvl w:val="0"/>
          <w:numId w:val="7"/>
        </w:numPr>
        <w:ind w:left="284" w:hanging="284"/>
        <w:jc w:val="both"/>
      </w:pPr>
      <w:r w:rsidRPr="003A6407">
        <w:t>Informacje dotyczące wyboru wskaźników, szacowania ich wartości oraz innych czynników mających wpływ na osiągnięcie celów pośrednich i końcowych zostały przedstawione w niniejszym dokumencie.</w:t>
      </w:r>
    </w:p>
    <w:p w14:paraId="095E5473" w14:textId="4B41283B" w:rsidR="008440AC" w:rsidRPr="003A6407" w:rsidRDefault="008440AC" w:rsidP="00F20BCD">
      <w:pPr>
        <w:numPr>
          <w:ilvl w:val="0"/>
          <w:numId w:val="7"/>
        </w:numPr>
        <w:ind w:left="284" w:hanging="284"/>
        <w:jc w:val="both"/>
      </w:pPr>
      <w:r w:rsidRPr="003A6407">
        <w:t>W</w:t>
      </w:r>
      <w:r w:rsidR="00FB0462" w:rsidRPr="003A6407">
        <w:t>szystkie wskaźniki zostały zaczerpnięte z Listy Wskaźników Kluczowych</w:t>
      </w:r>
      <w:r w:rsidR="00AF3316" w:rsidRPr="003A6407">
        <w:t xml:space="preserve"> i/lub zał. do CPR</w:t>
      </w:r>
      <w:r w:rsidR="00FB0462" w:rsidRPr="003A6407">
        <w:t xml:space="preserve">, dzięki czemu zapewniona została spójność systemu </w:t>
      </w:r>
      <w:r w:rsidR="00DA0AEE" w:rsidRPr="003A6407">
        <w:t>wskaźników</w:t>
      </w:r>
      <w:r w:rsidR="00FB0462" w:rsidRPr="003A6407">
        <w:t xml:space="preserve"> z systemem programowania i monitorowania postępów we wdrażaniu dla wszystkich programów operacyjnych. </w:t>
      </w:r>
    </w:p>
    <w:p w14:paraId="3C845201" w14:textId="67A54B28" w:rsidR="002A39E2" w:rsidRPr="003A6407" w:rsidRDefault="006C0892" w:rsidP="00F20BCD">
      <w:pPr>
        <w:numPr>
          <w:ilvl w:val="0"/>
          <w:numId w:val="7"/>
        </w:numPr>
        <w:ind w:left="284" w:hanging="284"/>
        <w:jc w:val="both"/>
      </w:pPr>
      <w:r w:rsidRPr="003A6407">
        <w:rPr>
          <w:bCs/>
        </w:rPr>
        <w:t>Szacując wartość</w:t>
      </w:r>
      <w:r w:rsidR="005B2B69" w:rsidRPr="003A6407">
        <w:rPr>
          <w:bCs/>
        </w:rPr>
        <w:t xml:space="preserve"> </w:t>
      </w:r>
      <w:r w:rsidR="008440AC" w:rsidRPr="003A6407">
        <w:rPr>
          <w:bCs/>
        </w:rPr>
        <w:t>wskaźników</w:t>
      </w:r>
      <w:r w:rsidR="00FB0462" w:rsidRPr="003A6407">
        <w:rPr>
          <w:bCs/>
        </w:rPr>
        <w:t xml:space="preserve"> </w:t>
      </w:r>
      <w:r w:rsidRPr="003A6407">
        <w:rPr>
          <w:bCs/>
        </w:rPr>
        <w:t xml:space="preserve">bazowano na </w:t>
      </w:r>
      <w:r w:rsidR="005B2B69" w:rsidRPr="003A6407">
        <w:rPr>
          <w:bCs/>
        </w:rPr>
        <w:t>poniższy</w:t>
      </w:r>
      <w:r w:rsidRPr="003A6407">
        <w:rPr>
          <w:bCs/>
        </w:rPr>
        <w:t>m</w:t>
      </w:r>
      <w:r w:rsidR="002A39E2" w:rsidRPr="003A6407">
        <w:rPr>
          <w:bCs/>
        </w:rPr>
        <w:t xml:space="preserve"> schema</w:t>
      </w:r>
      <w:r w:rsidRPr="003A6407">
        <w:rPr>
          <w:bCs/>
        </w:rPr>
        <w:t>cie</w:t>
      </w:r>
      <w:r w:rsidR="002A39E2" w:rsidRPr="003A6407">
        <w:rPr>
          <w:bCs/>
        </w:rPr>
        <w:t xml:space="preserve"> </w:t>
      </w:r>
      <w:r w:rsidRPr="003A6407">
        <w:rPr>
          <w:bCs/>
        </w:rPr>
        <w:t>(z wyjątkiem przypadków wymagających bardziej indywidualnego podejścia metodologicznego</w:t>
      </w:r>
      <w:r w:rsidR="00EB14F0" w:rsidRPr="003A6407">
        <w:rPr>
          <w:bCs/>
        </w:rPr>
        <w:t>)</w:t>
      </w:r>
      <w:r w:rsidR="002A39E2" w:rsidRPr="003A6407">
        <w:rPr>
          <w:bCs/>
        </w:rPr>
        <w:t>:</w:t>
      </w:r>
    </w:p>
    <w:p w14:paraId="313AA921" w14:textId="235E3039" w:rsidR="004C35F5" w:rsidRPr="003A6407" w:rsidRDefault="002F0424" w:rsidP="00F20BCD">
      <w:pPr>
        <w:pStyle w:val="Akapitzlist"/>
        <w:numPr>
          <w:ilvl w:val="0"/>
          <w:numId w:val="11"/>
        </w:numPr>
        <w:jc w:val="both"/>
      </w:pPr>
      <w:r w:rsidRPr="003A6407">
        <w:t>W pierwszej kolejności dokonano przydziału alokacji w EUR</w:t>
      </w:r>
      <w:r w:rsidR="00284394" w:rsidRPr="003A6407">
        <w:t>,</w:t>
      </w:r>
      <w:r w:rsidRPr="003A6407">
        <w:t xml:space="preserve"> która będzie realizowała </w:t>
      </w:r>
      <w:r w:rsidR="004C35F5" w:rsidRPr="003A6407">
        <w:t>dany wskaźnik (np. jako alokacja na dany kod interwencji, procent realizacji danego kodu interwencji itp.);</w:t>
      </w:r>
    </w:p>
    <w:p w14:paraId="730D4315" w14:textId="6F6CBFCA" w:rsidR="004C35F5" w:rsidRPr="003A6407" w:rsidRDefault="004C35F5" w:rsidP="00F20BCD">
      <w:pPr>
        <w:pStyle w:val="Akapitzlist"/>
        <w:numPr>
          <w:ilvl w:val="0"/>
          <w:numId w:val="11"/>
        </w:numPr>
        <w:jc w:val="both"/>
      </w:pPr>
      <w:r w:rsidRPr="003A6407">
        <w:t xml:space="preserve">Następnie przewalutowano wartość alokacji z EUR na PLN. Przy tej operacji opierano się </w:t>
      </w:r>
      <w:r w:rsidR="00A45530" w:rsidRPr="003A6407">
        <w:t xml:space="preserve">na </w:t>
      </w:r>
      <w:r w:rsidR="003655C1" w:rsidRPr="003A6407">
        <w:t>wskazaniu Wytycznych dotyczących stosowania jednolitych wskaźników makroekonomicznych będących podstawą oszacowania skutków finansowych projektowanych ustaw (aktualizacja – lipiec 2020 r.)</w:t>
      </w:r>
      <w:r w:rsidR="00353240" w:rsidRPr="003A6407">
        <w:t xml:space="preserve">, opracowanych przez Ministerstwo Finansów, </w:t>
      </w:r>
      <w:r w:rsidR="00575E79" w:rsidRPr="003A6407">
        <w:t>tj.</w:t>
      </w:r>
      <w:r w:rsidR="00E95DE5" w:rsidRPr="003A6407">
        <w:t xml:space="preserve"> na</w:t>
      </w:r>
      <w:r w:rsidR="00575E79" w:rsidRPr="003A6407">
        <w:t xml:space="preserve"> </w:t>
      </w:r>
      <w:r w:rsidRPr="003A6407">
        <w:t>kursie EUR/PLN wynoszącym 1 EUR =</w:t>
      </w:r>
      <w:r w:rsidR="00575E79" w:rsidRPr="003A6407">
        <w:t xml:space="preserve"> 4,</w:t>
      </w:r>
      <w:r w:rsidR="003655C1" w:rsidRPr="003A6407">
        <w:t>45</w:t>
      </w:r>
      <w:r w:rsidR="003E632A" w:rsidRPr="003A6407">
        <w:t xml:space="preserve"> PLN.</w:t>
      </w:r>
    </w:p>
    <w:p w14:paraId="7A422D93" w14:textId="179CE649" w:rsidR="004C35F5" w:rsidRPr="003A6407" w:rsidRDefault="004C35F5" w:rsidP="00F20BCD">
      <w:pPr>
        <w:pStyle w:val="Akapitzlist"/>
        <w:numPr>
          <w:ilvl w:val="0"/>
          <w:numId w:val="11"/>
        </w:numPr>
        <w:jc w:val="both"/>
      </w:pPr>
      <w:r w:rsidRPr="003A6407">
        <w:t>Otrzyman</w:t>
      </w:r>
      <w:r w:rsidR="00C23DF9" w:rsidRPr="003A6407">
        <w:t>ą</w:t>
      </w:r>
      <w:r w:rsidRPr="003A6407">
        <w:t xml:space="preserve"> alokację podzielono przez koszt jednostkowy produktu/działania/zakresu wsparcia, który odpowiada danemu wskaźnikowi. Koszt jednostkowy został obliczony </w:t>
      </w:r>
      <w:r w:rsidR="00B83A86" w:rsidRPr="003A6407">
        <w:t>w oparciu o</w:t>
      </w:r>
      <w:r w:rsidRPr="003A6407">
        <w:t xml:space="preserve"> dan</w:t>
      </w:r>
      <w:r w:rsidR="00B83A86" w:rsidRPr="003A6407">
        <w:t>e</w:t>
      </w:r>
      <w:r w:rsidRPr="003A6407">
        <w:t xml:space="preserve"> historyczn</w:t>
      </w:r>
      <w:r w:rsidR="00B83A86" w:rsidRPr="003A6407">
        <w:t>e</w:t>
      </w:r>
      <w:r w:rsidR="003655C1" w:rsidRPr="003A6407">
        <w:t xml:space="preserve"> (jeśli są takie dostępne)</w:t>
      </w:r>
      <w:r w:rsidRPr="003A6407">
        <w:t xml:space="preserve"> i doświadcze</w:t>
      </w:r>
      <w:r w:rsidR="00B83A86" w:rsidRPr="003A6407">
        <w:t>nia</w:t>
      </w:r>
      <w:r w:rsidRPr="003A6407">
        <w:t xml:space="preserve"> płynąc</w:t>
      </w:r>
      <w:r w:rsidR="00B83A86" w:rsidRPr="003A6407">
        <w:t>e</w:t>
      </w:r>
      <w:r w:rsidRPr="003A6407">
        <w:t xml:space="preserve"> z perspektywy finansowej 2014-2020</w:t>
      </w:r>
      <w:r w:rsidR="00B83A86" w:rsidRPr="003A6407">
        <w:t xml:space="preserve">, na podstawie wydatków kwalifikowalnych </w:t>
      </w:r>
      <w:r w:rsidR="00655CD1" w:rsidRPr="003A6407">
        <w:t xml:space="preserve">do wsparcia ze środków UE, </w:t>
      </w:r>
      <w:r w:rsidR="00B83A86" w:rsidRPr="003A6407">
        <w:t>pochodzących z projektów wdrażanych w</w:t>
      </w:r>
      <w:r w:rsidR="00E07B1B" w:rsidRPr="003A6407">
        <w:t> </w:t>
      </w:r>
      <w:r w:rsidR="00B83A86" w:rsidRPr="003A6407">
        <w:t>ramach RPO WD 2014-2020</w:t>
      </w:r>
      <w:r w:rsidRPr="003A6407">
        <w:t>. Szczególnie istotne były tutaj dane pozyskane z systemu teleinformatycznego SL2014</w:t>
      </w:r>
      <w:r w:rsidR="00A371BE" w:rsidRPr="003A6407">
        <w:t>. W przypadku braku odpowiedniego/adekwatnego wsparcia z</w:t>
      </w:r>
      <w:r w:rsidR="00E07B1B" w:rsidRPr="003A6407">
        <w:t> </w:t>
      </w:r>
      <w:r w:rsidR="00A371BE" w:rsidRPr="003A6407">
        <w:t xml:space="preserve">perspektywy </w:t>
      </w:r>
      <w:r w:rsidR="00856F2B" w:rsidRPr="003A6407">
        <w:t>2014</w:t>
      </w:r>
      <w:r w:rsidR="00A371BE" w:rsidRPr="003A6407">
        <w:t xml:space="preserve">-2020 opierano się na innych źródłach/danych wskazanych bezpośrednio przy omawianej metodologii danego wskaźnika. </w:t>
      </w:r>
    </w:p>
    <w:p w14:paraId="36D5D92B" w14:textId="682ED7CE" w:rsidR="00A371BE" w:rsidRPr="003A6407" w:rsidRDefault="00A371BE" w:rsidP="00F20BCD">
      <w:pPr>
        <w:pStyle w:val="Akapitzlist"/>
        <w:numPr>
          <w:ilvl w:val="0"/>
          <w:numId w:val="11"/>
        </w:numPr>
        <w:jc w:val="both"/>
      </w:pPr>
      <w:r w:rsidRPr="003A6407">
        <w:t>Otrzymaną wartość końcową wskaźnika mnożono przez wskaźnik kompensacji ryzyka otrzymując jego finalną wartość.</w:t>
      </w:r>
    </w:p>
    <w:p w14:paraId="5FDDE6AE" w14:textId="57C4CBAC" w:rsidR="00FB0462" w:rsidRPr="003A6407" w:rsidRDefault="00FB0462" w:rsidP="00FB0462">
      <w:pPr>
        <w:pStyle w:val="Nagwek2"/>
      </w:pPr>
      <w:bookmarkStart w:id="23" w:name="_Toc49249100"/>
      <w:bookmarkStart w:id="24" w:name="_Toc120464349"/>
      <w:r w:rsidRPr="003A6407">
        <w:t xml:space="preserve">Analiza </w:t>
      </w:r>
      <w:proofErr w:type="spellStart"/>
      <w:r w:rsidRPr="003A6407">
        <w:t>ryzyk</w:t>
      </w:r>
      <w:bookmarkEnd w:id="23"/>
      <w:bookmarkEnd w:id="24"/>
      <w:proofErr w:type="spellEnd"/>
    </w:p>
    <w:p w14:paraId="5EE782D7" w14:textId="644CB488" w:rsidR="00FB0462" w:rsidRPr="003A6407" w:rsidRDefault="00FB0462" w:rsidP="00FB0462">
      <w:pPr>
        <w:autoSpaceDE w:val="0"/>
        <w:autoSpaceDN w:val="0"/>
        <w:adjustRightInd w:val="0"/>
        <w:spacing w:after="0"/>
        <w:jc w:val="both"/>
      </w:pPr>
      <w:r w:rsidRPr="003A6407">
        <w:t>Zaprogramowanie wszelkich podejmowanych działań w ramach perspektywy finansowej 2021-2027 jest niezwykle trudne oraz złożone</w:t>
      </w:r>
      <w:r w:rsidR="00054D38" w:rsidRPr="003A6407">
        <w:t xml:space="preserve">, zwłaszcza w kontekście </w:t>
      </w:r>
      <w:r w:rsidR="00036FFB" w:rsidRPr="003A6407">
        <w:t xml:space="preserve">skutków </w:t>
      </w:r>
      <w:r w:rsidR="00054D38" w:rsidRPr="003A6407">
        <w:t>pandemii koronawirusa SARS-CoV-2</w:t>
      </w:r>
      <w:r w:rsidRPr="003A6407">
        <w:t>. Teraz podjęte decyzje będą miały ogromny wpływ na podejmowane decyzje w zakresie</w:t>
      </w:r>
      <w:r w:rsidR="00054D38" w:rsidRPr="003A6407">
        <w:t xml:space="preserve"> wychodzenia z kryzysu gospodarczego spowodowanego pandemią oraz w dalszej kolejności</w:t>
      </w:r>
      <w:r w:rsidRPr="003A6407">
        <w:t xml:space="preserve"> rozwoju województwa dolnośląskiego przez najbliższe siedem lat. Dlatego też, planując produkty oraz rezultaty jakie zakłada się osiągnąć w wyniku udzielonego wsparcia, należy wziąć pod uwagę szereg czynników oraz oddziaływań, które mogą mieć wpływ na poziom osiągniętych wartości docelowych. Przy określaniu wartości docelowych wskaźników produktu oraz rezultatu w </w:t>
      </w:r>
      <w:r w:rsidR="00AF3316" w:rsidRPr="003A6407">
        <w:t>FEDS</w:t>
      </w:r>
      <w:r w:rsidRPr="003A6407">
        <w:t xml:space="preserve"> postanowiono wziąć pod uwagę tzw. „wskaźnik kompensacji ryzyka”. Najogólniej, ryzyko jest wskaźnikiem stanu lub zdarzenia, które może doprowadzić do strat, w tym przypadku, do nieosiągnięcia wartości docelowej wskaźnika. Jest ono proporcjonalne do prawdopodobieństwa wystąpienia tego zdarzenia i do wielkości strat, które może spowodować. </w:t>
      </w:r>
    </w:p>
    <w:p w14:paraId="729365F1" w14:textId="77777777" w:rsidR="00FB0462" w:rsidRPr="003A6407" w:rsidRDefault="00FB0462" w:rsidP="00FB0462">
      <w:pPr>
        <w:autoSpaceDE w:val="0"/>
        <w:autoSpaceDN w:val="0"/>
        <w:adjustRightInd w:val="0"/>
        <w:spacing w:after="0" w:line="240" w:lineRule="auto"/>
        <w:rPr>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46"/>
      </w:tblGrid>
      <w:tr w:rsidR="00FB0462" w:rsidRPr="003A6407" w14:paraId="678C6004" w14:textId="77777777" w:rsidTr="00175EA5">
        <w:trPr>
          <w:jc w:val="center"/>
        </w:trPr>
        <w:tc>
          <w:tcPr>
            <w:tcW w:w="8999" w:type="dxa"/>
            <w:gridSpan w:val="2"/>
            <w:shd w:val="clear" w:color="auto" w:fill="D9D9D9"/>
          </w:tcPr>
          <w:p w14:paraId="1BBAC7B6" w14:textId="77777777" w:rsidR="00FB0462" w:rsidRPr="003A6407" w:rsidRDefault="00FB0462" w:rsidP="0083186A">
            <w:pPr>
              <w:tabs>
                <w:tab w:val="left" w:pos="838"/>
                <w:tab w:val="center" w:pos="4498"/>
              </w:tabs>
              <w:spacing w:after="0" w:line="240" w:lineRule="auto"/>
              <w:rPr>
                <w:b/>
              </w:rPr>
            </w:pPr>
            <w:r w:rsidRPr="003A6407">
              <w:tab/>
            </w:r>
            <w:r w:rsidRPr="003A6407">
              <w:tab/>
            </w:r>
            <w:r w:rsidRPr="003A6407">
              <w:rPr>
                <w:b/>
              </w:rPr>
              <w:t>Zasada oceny wagi ryzyka:</w:t>
            </w:r>
          </w:p>
        </w:tc>
      </w:tr>
      <w:tr w:rsidR="00FB0462" w:rsidRPr="003A6407" w14:paraId="51E3FCC8" w14:textId="77777777" w:rsidTr="00175EA5">
        <w:trPr>
          <w:jc w:val="center"/>
        </w:trPr>
        <w:tc>
          <w:tcPr>
            <w:tcW w:w="4253" w:type="dxa"/>
            <w:shd w:val="clear" w:color="auto" w:fill="D9D9D9"/>
            <w:vAlign w:val="center"/>
          </w:tcPr>
          <w:p w14:paraId="0F4C5D90" w14:textId="77777777" w:rsidR="00FB0462" w:rsidRPr="003A6407" w:rsidRDefault="00FB0462" w:rsidP="0083186A">
            <w:pPr>
              <w:spacing w:after="0" w:line="240" w:lineRule="auto"/>
              <w:jc w:val="center"/>
              <w:rPr>
                <w:rFonts w:eastAsia="Times New Roman"/>
                <w:b/>
                <w:bCs/>
                <w:color w:val="000000"/>
                <w:lang w:eastAsia="pl-PL"/>
              </w:rPr>
            </w:pPr>
            <w:r w:rsidRPr="003A6407">
              <w:rPr>
                <w:rFonts w:eastAsia="Times New Roman"/>
                <w:b/>
                <w:bCs/>
                <w:color w:val="000000"/>
                <w:lang w:eastAsia="pl-PL"/>
              </w:rPr>
              <w:t>Waga ryzyka (istotność)</w:t>
            </w:r>
          </w:p>
        </w:tc>
        <w:tc>
          <w:tcPr>
            <w:tcW w:w="4746" w:type="dxa"/>
            <w:shd w:val="clear" w:color="auto" w:fill="D9D9D9"/>
            <w:vAlign w:val="center"/>
          </w:tcPr>
          <w:p w14:paraId="7FAE0432" w14:textId="77777777" w:rsidR="00FB0462" w:rsidRPr="003A6407" w:rsidRDefault="00FB0462" w:rsidP="0083186A">
            <w:pPr>
              <w:spacing w:after="0" w:line="240" w:lineRule="auto"/>
              <w:jc w:val="center"/>
              <w:rPr>
                <w:rFonts w:eastAsia="Times New Roman"/>
                <w:b/>
                <w:bCs/>
                <w:color w:val="000000"/>
                <w:lang w:eastAsia="pl-PL"/>
              </w:rPr>
            </w:pPr>
            <w:r w:rsidRPr="003A6407">
              <w:rPr>
                <w:rFonts w:eastAsia="Times New Roman"/>
                <w:b/>
                <w:bCs/>
                <w:color w:val="000000"/>
                <w:lang w:eastAsia="pl-PL"/>
              </w:rPr>
              <w:t>Przesłanki</w:t>
            </w:r>
          </w:p>
        </w:tc>
      </w:tr>
      <w:tr w:rsidR="00FB0462" w:rsidRPr="003A6407" w14:paraId="5770C767" w14:textId="77777777" w:rsidTr="00175EA5">
        <w:trPr>
          <w:trHeight w:val="1477"/>
          <w:jc w:val="center"/>
        </w:trPr>
        <w:tc>
          <w:tcPr>
            <w:tcW w:w="4253" w:type="dxa"/>
            <w:shd w:val="clear" w:color="auto" w:fill="auto"/>
            <w:vAlign w:val="center"/>
          </w:tcPr>
          <w:p w14:paraId="32655FFF" w14:textId="77777777" w:rsidR="00FB0462" w:rsidRPr="003A6407" w:rsidRDefault="00FB0462" w:rsidP="0083186A">
            <w:pPr>
              <w:spacing w:after="0" w:line="240" w:lineRule="auto"/>
              <w:jc w:val="center"/>
              <w:rPr>
                <w:rFonts w:eastAsia="Times New Roman"/>
                <w:b/>
                <w:color w:val="000000"/>
                <w:lang w:eastAsia="pl-PL"/>
              </w:rPr>
            </w:pPr>
            <w:r w:rsidRPr="003A6407">
              <w:rPr>
                <w:rFonts w:eastAsia="Times New Roman"/>
                <w:b/>
                <w:color w:val="000000"/>
                <w:lang w:eastAsia="pl-PL"/>
              </w:rPr>
              <w:lastRenderedPageBreak/>
              <w:t>niska</w:t>
            </w:r>
          </w:p>
        </w:tc>
        <w:tc>
          <w:tcPr>
            <w:tcW w:w="4746" w:type="dxa"/>
            <w:shd w:val="clear" w:color="auto" w:fill="auto"/>
            <w:vAlign w:val="center"/>
          </w:tcPr>
          <w:p w14:paraId="76207D38" w14:textId="77777777" w:rsidR="00FB0462" w:rsidRPr="003A6407" w:rsidRDefault="00FB0462" w:rsidP="0083186A">
            <w:pPr>
              <w:spacing w:after="0" w:line="240" w:lineRule="auto"/>
              <w:ind w:left="214"/>
              <w:rPr>
                <w:rFonts w:eastAsia="Times New Roman"/>
                <w:color w:val="000000"/>
                <w:lang w:eastAsia="pl-PL"/>
              </w:rPr>
            </w:pPr>
            <w:r w:rsidRPr="003A6407">
              <w:rPr>
                <w:rFonts w:eastAsia="Times New Roman"/>
                <w:color w:val="000000"/>
                <w:lang w:eastAsia="pl-PL"/>
              </w:rPr>
              <w:t xml:space="preserve">Zdarzenia o </w:t>
            </w:r>
            <w:r w:rsidRPr="003A6407">
              <w:rPr>
                <w:rFonts w:eastAsia="Times New Roman"/>
                <w:b/>
                <w:color w:val="000000"/>
                <w:u w:val="single"/>
                <w:lang w:eastAsia="pl-PL"/>
              </w:rPr>
              <w:t>małej częstotliwości</w:t>
            </w:r>
            <w:r w:rsidRPr="003A6407">
              <w:rPr>
                <w:rFonts w:eastAsia="Times New Roman"/>
                <w:color w:val="000000"/>
                <w:lang w:eastAsia="pl-PL"/>
              </w:rPr>
              <w:t xml:space="preserve"> oraz prawdopodobieństwie wystąpienia, powodujące nieznaczne, bądź niewielkie opóźnienie w realizacji części zadań projektów, o ograniczonym wpływie na osiągnięcie wartości docelowych wskaźników.</w:t>
            </w:r>
          </w:p>
        </w:tc>
      </w:tr>
      <w:tr w:rsidR="00FB0462" w:rsidRPr="003A6407" w14:paraId="062F589A" w14:textId="77777777" w:rsidTr="00175EA5">
        <w:trPr>
          <w:trHeight w:val="1411"/>
          <w:jc w:val="center"/>
        </w:trPr>
        <w:tc>
          <w:tcPr>
            <w:tcW w:w="4253" w:type="dxa"/>
            <w:shd w:val="clear" w:color="auto" w:fill="auto"/>
            <w:vAlign w:val="center"/>
          </w:tcPr>
          <w:p w14:paraId="1C9E9037" w14:textId="77777777" w:rsidR="00FB0462" w:rsidRPr="003A6407" w:rsidRDefault="00FB0462" w:rsidP="0083186A">
            <w:pPr>
              <w:spacing w:after="0" w:line="240" w:lineRule="auto"/>
              <w:jc w:val="center"/>
              <w:rPr>
                <w:rFonts w:eastAsia="Times New Roman"/>
                <w:b/>
                <w:color w:val="000000"/>
                <w:lang w:eastAsia="pl-PL"/>
              </w:rPr>
            </w:pPr>
            <w:r w:rsidRPr="003A6407">
              <w:rPr>
                <w:rFonts w:eastAsia="Times New Roman"/>
                <w:b/>
                <w:color w:val="000000"/>
                <w:lang w:eastAsia="pl-PL"/>
              </w:rPr>
              <w:t>umiarkowana</w:t>
            </w:r>
          </w:p>
        </w:tc>
        <w:tc>
          <w:tcPr>
            <w:tcW w:w="4746" w:type="dxa"/>
            <w:shd w:val="clear" w:color="auto" w:fill="auto"/>
            <w:vAlign w:val="center"/>
          </w:tcPr>
          <w:p w14:paraId="0A0F40A3" w14:textId="77777777" w:rsidR="00FB0462" w:rsidRPr="003A6407" w:rsidRDefault="00FB0462" w:rsidP="0083186A">
            <w:pPr>
              <w:spacing w:after="0" w:line="240" w:lineRule="auto"/>
              <w:ind w:left="214"/>
              <w:rPr>
                <w:rFonts w:eastAsia="Times New Roman"/>
                <w:color w:val="000000"/>
                <w:lang w:eastAsia="pl-PL"/>
              </w:rPr>
            </w:pPr>
            <w:r w:rsidRPr="003A6407">
              <w:rPr>
                <w:rFonts w:eastAsia="Times New Roman"/>
                <w:color w:val="000000"/>
                <w:lang w:eastAsia="pl-PL"/>
              </w:rPr>
              <w:t xml:space="preserve">Zdarzenia o </w:t>
            </w:r>
            <w:r w:rsidRPr="003A6407">
              <w:rPr>
                <w:rFonts w:eastAsia="Times New Roman"/>
                <w:b/>
                <w:color w:val="000000"/>
                <w:u w:val="single"/>
                <w:lang w:eastAsia="pl-PL"/>
              </w:rPr>
              <w:t>średniej częstotliwości</w:t>
            </w:r>
            <w:r w:rsidRPr="003A6407">
              <w:rPr>
                <w:rFonts w:eastAsia="Times New Roman"/>
                <w:color w:val="000000"/>
                <w:lang w:eastAsia="pl-PL"/>
              </w:rPr>
              <w:t xml:space="preserve"> oraz prawdopodobieństwie wystąpienia, powodujące opóźnienie w realizacji projektów a także ograniczające w pewnym stopniu możliwość wykonania wskaźnika.</w:t>
            </w:r>
          </w:p>
        </w:tc>
      </w:tr>
      <w:tr w:rsidR="00FB0462" w:rsidRPr="003A6407" w14:paraId="12559129" w14:textId="77777777" w:rsidTr="00175EA5">
        <w:trPr>
          <w:trHeight w:val="1687"/>
          <w:jc w:val="center"/>
        </w:trPr>
        <w:tc>
          <w:tcPr>
            <w:tcW w:w="4253" w:type="dxa"/>
            <w:shd w:val="clear" w:color="auto" w:fill="auto"/>
            <w:vAlign w:val="center"/>
          </w:tcPr>
          <w:p w14:paraId="6166C5F0" w14:textId="77777777" w:rsidR="00FB0462" w:rsidRPr="003A6407" w:rsidRDefault="00FB0462" w:rsidP="0083186A">
            <w:pPr>
              <w:spacing w:after="0" w:line="240" w:lineRule="auto"/>
              <w:jc w:val="center"/>
              <w:rPr>
                <w:rFonts w:eastAsia="Times New Roman"/>
                <w:b/>
                <w:color w:val="000000"/>
                <w:lang w:eastAsia="pl-PL"/>
              </w:rPr>
            </w:pPr>
            <w:r w:rsidRPr="003A6407">
              <w:rPr>
                <w:rFonts w:eastAsia="Times New Roman"/>
                <w:b/>
                <w:color w:val="000000"/>
                <w:lang w:eastAsia="pl-PL"/>
              </w:rPr>
              <w:t>poważna</w:t>
            </w:r>
          </w:p>
        </w:tc>
        <w:tc>
          <w:tcPr>
            <w:tcW w:w="4746" w:type="dxa"/>
            <w:shd w:val="clear" w:color="auto" w:fill="auto"/>
            <w:vAlign w:val="center"/>
          </w:tcPr>
          <w:p w14:paraId="3EC478A8" w14:textId="77777777" w:rsidR="00FB0462" w:rsidRPr="003A6407" w:rsidRDefault="00FB0462" w:rsidP="0083186A">
            <w:pPr>
              <w:spacing w:after="0" w:line="240" w:lineRule="auto"/>
              <w:ind w:left="214"/>
              <w:rPr>
                <w:rFonts w:eastAsia="Times New Roman"/>
                <w:color w:val="000000"/>
                <w:lang w:eastAsia="pl-PL"/>
              </w:rPr>
            </w:pPr>
            <w:r w:rsidRPr="003A6407">
              <w:rPr>
                <w:rFonts w:eastAsia="Times New Roman"/>
                <w:color w:val="000000"/>
                <w:lang w:eastAsia="pl-PL"/>
              </w:rPr>
              <w:t xml:space="preserve">Zdarzenia o stosunkowo </w:t>
            </w:r>
            <w:r w:rsidRPr="003A6407">
              <w:rPr>
                <w:rFonts w:eastAsia="Times New Roman"/>
                <w:b/>
                <w:color w:val="000000"/>
                <w:u w:val="single"/>
                <w:lang w:eastAsia="pl-PL"/>
              </w:rPr>
              <w:t>wysokiej częstotliwości</w:t>
            </w:r>
            <w:r w:rsidRPr="003A6407">
              <w:rPr>
                <w:rFonts w:eastAsia="Times New Roman"/>
                <w:color w:val="000000"/>
                <w:lang w:eastAsia="pl-PL"/>
              </w:rPr>
              <w:t xml:space="preserve"> oraz prawdopodobieństwie wystąpienia, powodujące znaczne opóźnienie w realizacji projektów bądź uniemożliwiające realizację projektów, ograniczające całkowicie lub w dużej części możliwość wykonania wskaźnika.</w:t>
            </w:r>
          </w:p>
        </w:tc>
      </w:tr>
    </w:tbl>
    <w:p w14:paraId="77AE9A59" w14:textId="497A27DF" w:rsidR="00FB0462" w:rsidRPr="003A6407" w:rsidRDefault="00FB0462" w:rsidP="00FB0462">
      <w:pPr>
        <w:jc w:val="both"/>
      </w:pPr>
      <w:r w:rsidRPr="003A6407">
        <w:t>Wpływ na określenie poziomu wskaźnika kompensacji ryzyka miały ogólne doświadczenia wynikające z</w:t>
      </w:r>
      <w:r w:rsidR="00882F3A">
        <w:t> </w:t>
      </w:r>
      <w:r w:rsidRPr="003A6407">
        <w:t>wdrażania interwencji w okresie programowania 20</w:t>
      </w:r>
      <w:r w:rsidR="00036FFB" w:rsidRPr="003A6407">
        <w:t>07</w:t>
      </w:r>
      <w:r w:rsidRPr="003A6407">
        <w:t>-2013</w:t>
      </w:r>
      <w:r w:rsidR="00036FFB" w:rsidRPr="003A6407">
        <w:t xml:space="preserve"> oraz 2014-2020</w:t>
      </w:r>
      <w:r w:rsidRPr="003A6407">
        <w:t>, do których należą m.in.:</w:t>
      </w:r>
    </w:p>
    <w:p w14:paraId="00643AFA" w14:textId="32E16FC5" w:rsidR="00FB0462" w:rsidRPr="003A6407" w:rsidRDefault="00FB0462" w:rsidP="00FB0462">
      <w:pPr>
        <w:spacing w:after="0" w:line="240" w:lineRule="auto"/>
        <w:jc w:val="both"/>
        <w:rPr>
          <w:b/>
        </w:rPr>
      </w:pPr>
      <w:r w:rsidRPr="003A6407">
        <w:rPr>
          <w:b/>
        </w:rPr>
        <w:t>Ogólne</w:t>
      </w:r>
      <w:r w:rsidR="00AF3316" w:rsidRPr="003A6407">
        <w:rPr>
          <w:b/>
        </w:rPr>
        <w:t xml:space="preserve"> (przykładowe)</w:t>
      </w:r>
      <w:r w:rsidRPr="003A6407">
        <w:rPr>
          <w:b/>
        </w:rPr>
        <w:t xml:space="preserve"> kategorie ryzyka:</w:t>
      </w:r>
    </w:p>
    <w:p w14:paraId="20373900" w14:textId="02A1740C" w:rsidR="00FB0462" w:rsidRPr="003A6407" w:rsidRDefault="00FB0462" w:rsidP="00F20BCD">
      <w:pPr>
        <w:numPr>
          <w:ilvl w:val="0"/>
          <w:numId w:val="6"/>
        </w:numPr>
        <w:autoSpaceDE w:val="0"/>
        <w:autoSpaceDN w:val="0"/>
        <w:adjustRightInd w:val="0"/>
        <w:spacing w:after="0"/>
        <w:contextualSpacing/>
        <w:jc w:val="both"/>
      </w:pPr>
      <w:r w:rsidRPr="003A6407">
        <w:rPr>
          <w:b/>
        </w:rPr>
        <w:t>ryzyko zmieniającej się ceny</w:t>
      </w:r>
      <w:r w:rsidRPr="003A6407">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6A252AB" w14:textId="77777777" w:rsidR="00412D9C" w:rsidRPr="003A6407" w:rsidRDefault="00FB0462" w:rsidP="00270B09">
      <w:pPr>
        <w:numPr>
          <w:ilvl w:val="0"/>
          <w:numId w:val="6"/>
        </w:numPr>
        <w:autoSpaceDE w:val="0"/>
        <w:autoSpaceDN w:val="0"/>
        <w:adjustRightInd w:val="0"/>
        <w:spacing w:before="120" w:after="120"/>
        <w:contextualSpacing/>
        <w:jc w:val="both"/>
      </w:pP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w:t>
      </w:r>
      <w:r w:rsidR="00D853F4" w:rsidRPr="003A6407">
        <w:t xml:space="preserve"> </w:t>
      </w:r>
      <w:r w:rsidRPr="003A6407">
        <w:t>– waga ryzyka (istotność): umiarkowana;</w:t>
      </w:r>
    </w:p>
    <w:p w14:paraId="6D50DBBE" w14:textId="507C2B9F" w:rsidR="00FB0462" w:rsidRPr="003A6407" w:rsidRDefault="00FB0462" w:rsidP="00270B09">
      <w:pPr>
        <w:numPr>
          <w:ilvl w:val="0"/>
          <w:numId w:val="6"/>
        </w:numPr>
        <w:autoSpaceDE w:val="0"/>
        <w:autoSpaceDN w:val="0"/>
        <w:adjustRightInd w:val="0"/>
        <w:spacing w:before="120" w:after="120"/>
        <w:contextualSpacing/>
        <w:jc w:val="both"/>
      </w:pPr>
      <w:r w:rsidRPr="003A6407">
        <w:rPr>
          <w:b/>
        </w:rPr>
        <w:t>zawieszenie płatności przez KE dla danej osi priorytetowej</w:t>
      </w:r>
      <w:r w:rsidRPr="003A6407">
        <w:t xml:space="preserve"> – waga ryzyka (istotność): umiarkowana;</w:t>
      </w:r>
    </w:p>
    <w:p w14:paraId="4BA070D6" w14:textId="77777777" w:rsidR="00412D9C" w:rsidRPr="003A6407" w:rsidRDefault="00FB0462" w:rsidP="00412D9C">
      <w:pPr>
        <w:numPr>
          <w:ilvl w:val="0"/>
          <w:numId w:val="6"/>
        </w:numPr>
        <w:spacing w:before="120" w:after="0"/>
        <w:jc w:val="both"/>
      </w:pPr>
      <w:r w:rsidRPr="003A6407">
        <w:t xml:space="preserve">czynniki które mogą wpłynąć na harmonogram realizacji planów działania dot. spełnienia </w:t>
      </w:r>
      <w:r w:rsidRPr="003A6407">
        <w:rPr>
          <w:b/>
        </w:rPr>
        <w:t xml:space="preserve">warunków wstępnych (ex </w:t>
      </w:r>
      <w:proofErr w:type="spellStart"/>
      <w:r w:rsidRPr="003A6407">
        <w:rPr>
          <w:b/>
        </w:rPr>
        <w:t>ante</w:t>
      </w:r>
      <w:proofErr w:type="spellEnd"/>
      <w:r w:rsidRPr="003A6407">
        <w:rPr>
          <w:b/>
        </w:rPr>
        <w:t>),</w:t>
      </w:r>
      <w:r w:rsidRPr="003A6407">
        <w:t xml:space="preserve"> a które są poza kompetencjami IZ oraz instytucji odpowiedzialnych za spełnienie tych warunków– waga ryzyka (istotność): umiarkowana;</w:t>
      </w:r>
    </w:p>
    <w:p w14:paraId="28C6F077" w14:textId="51232071" w:rsidR="0017174B" w:rsidRPr="003A6407" w:rsidRDefault="0017174B" w:rsidP="00412D9C">
      <w:pPr>
        <w:numPr>
          <w:ilvl w:val="0"/>
          <w:numId w:val="6"/>
        </w:numPr>
        <w:spacing w:after="120"/>
        <w:jc w:val="both"/>
      </w:pPr>
      <w:r w:rsidRPr="003A6407">
        <w:rPr>
          <w:b/>
          <w:bCs/>
        </w:rPr>
        <w:t>wpływ pandemii koronawirusa SARS-CoV-2</w:t>
      </w:r>
      <w:r w:rsidR="0065378A" w:rsidRPr="003A6407">
        <w:t xml:space="preserve"> na gospodarkę regionalną, potencjalne możliwości realizacji projektów</w:t>
      </w:r>
      <w:r w:rsidR="00EB6499" w:rsidRPr="003A6407">
        <w:t>, na zdolności inwestycyjne i nastroje przedsiębiorstw oraz innych beneficjentów do inwestowania</w:t>
      </w:r>
      <w:r w:rsidR="0065378A" w:rsidRPr="003A6407">
        <w:t>, zdolność administracyjną i kadrową – waga ryzyka (istotność)</w:t>
      </w:r>
      <w:r w:rsidR="003655C1" w:rsidRPr="003A6407">
        <w:t xml:space="preserve"> - poważna</w:t>
      </w:r>
      <w:r w:rsidR="00105B6B" w:rsidRPr="003A6407">
        <w:t>. Obecna kondycja gospodarki regionu znacząco odbiega od założeń przyjmowanych zarówno przez instytucje w Polsce, w regionie, jak i Komisję Europejską przed pandemią COVID–19. Kryzys gospodarczy będący następstwem pandemii stanowi nowe wyzwanie, które powoduje konieczność podjęcia działań zarówno krótko- jak i długookresowych niemal we wszystkich obszarach wsparcia europejskich funduszy strukturalnych i inwestycyjnych (EFSI) mających na celu budowę odporności na zdarzenia kryzysowe w przyszłości.</w:t>
      </w:r>
      <w:r w:rsidR="00EC0DB5" w:rsidRPr="003A6407">
        <w:t xml:space="preserve"> Na</w:t>
      </w:r>
      <w:r w:rsidR="00716C4E" w:rsidRPr="003A6407">
        <w:t>s</w:t>
      </w:r>
      <w:r w:rsidR="00EC0DB5" w:rsidRPr="003A6407">
        <w:t>tępstwa pandemii COVID-19 uwypukliły znaczenie – identyfikowanych już wcześniej - wyzwań w obszarze systemu ochrony zdrowia (w tym potrzebę jego cyfryzacji) oraz systemu edukacji (zwłaszcza szkolnictwa wyższego i zawodowego) i nauki. Pandemia COVID-19 uwidoczniła istotne wady modelu gospodarki opartego na globalnych łańcuchach dostaw. Jak i w</w:t>
      </w:r>
      <w:r w:rsidR="00716C4E" w:rsidRPr="003A6407">
        <w:t>ymusiła zmiany</w:t>
      </w:r>
      <w:r w:rsidR="00EC0DB5" w:rsidRPr="003A6407">
        <w:t xml:space="preserve"> sposobu funkcjonowania wielu przedsiębiorstw, instytucji publicznych, placówek edukacyjnych i akademickich, </w:t>
      </w:r>
      <w:r w:rsidR="00EC0DB5" w:rsidRPr="003A6407">
        <w:lastRenderedPageBreak/>
        <w:t>czy podmiotów leczniczych</w:t>
      </w:r>
      <w:r w:rsidR="00716C4E" w:rsidRPr="003A6407">
        <w:t>.</w:t>
      </w:r>
      <w:r w:rsidR="00EC0DB5" w:rsidRPr="003A6407">
        <w:t xml:space="preserve"> </w:t>
      </w:r>
      <w:r w:rsidR="00716C4E" w:rsidRPr="003A6407">
        <w:t xml:space="preserve">Pandemia Covid-19 w 2020 r. powoduje obawę o dodatkowe ilości wytwarzanych odpadów. Zdarzenia wywołane pandemią COVID jeszcze mocniej unaoczniły skalę problemów na obszarach o najtrudniejszej sytuacji ekonomicznej (utrudniony dostęp do podstawowych usług publicznych w szczególności zdrowotnych i edukacyjnych, brak dostępu do szerokopasmowego Internetu). Kryzys dotknął zwłaszcza te </w:t>
      </w:r>
      <w:proofErr w:type="spellStart"/>
      <w:r w:rsidR="00716C4E" w:rsidRPr="003A6407">
        <w:t>jst</w:t>
      </w:r>
      <w:proofErr w:type="spellEnd"/>
      <w:r w:rsidR="00716C4E" w:rsidRPr="003A6407">
        <w:t>, w których dochody, zarówno samorządów, jak i lokalnych przedsiębiorców, opierają się na usługach</w:t>
      </w:r>
      <w:r w:rsidR="00203455" w:rsidRPr="003A6407">
        <w:t xml:space="preserve">, w szczególności </w:t>
      </w:r>
      <w:r w:rsidR="00716C4E" w:rsidRPr="003A6407">
        <w:t>z</w:t>
      </w:r>
      <w:r w:rsidR="00203455" w:rsidRPr="003A6407">
        <w:t xml:space="preserve"> branż dotkniętych lockdownem, restrykcjami związanymi ze stanem pandemii, z</w:t>
      </w:r>
      <w:r w:rsidR="00716C4E" w:rsidRPr="003A6407">
        <w:t xml:space="preserve"> branży turystycznej i związanych z kulturą.</w:t>
      </w:r>
      <w:r w:rsidR="00E95DE5" w:rsidRPr="003A6407">
        <w:t xml:space="preserve"> </w:t>
      </w:r>
    </w:p>
    <w:p w14:paraId="07598F0F" w14:textId="257A8EFC" w:rsidR="00FB0462" w:rsidRPr="003A6407" w:rsidRDefault="00FB0462" w:rsidP="00FB0462">
      <w:pPr>
        <w:jc w:val="both"/>
      </w:pPr>
      <w:r w:rsidRPr="003A6407">
        <w:t>Oprócz ogólnych uwarunkowań wpływających na wartości docelowe wskaźników, mogą się również pojawić specyficzne ryzyka występujące jedynie w określonym obszarze interwencji.</w:t>
      </w:r>
      <w:r w:rsidR="00E07B1B" w:rsidRPr="003A6407">
        <w:t xml:space="preserve"> </w:t>
      </w:r>
    </w:p>
    <w:p w14:paraId="11D1EA80" w14:textId="77777777" w:rsidR="00FB0462" w:rsidRPr="003A6407" w:rsidRDefault="00FB0462" w:rsidP="00FB0462">
      <w:pPr>
        <w:jc w:val="both"/>
        <w:rPr>
          <w:b/>
        </w:rPr>
      </w:pPr>
      <w:r w:rsidRPr="003A6407">
        <w:rPr>
          <w:b/>
        </w:rPr>
        <w:t xml:space="preserve">Koncepcja ilościowego pomiaru możliwych konsekwencji dla projektu (w tym wypadku nieosiągnięcia zakładanych wskaźników produktu, rezultatu) wynikających ze zidentyfikowanych </w:t>
      </w:r>
      <w:proofErr w:type="spellStart"/>
      <w:r w:rsidRPr="003A6407">
        <w:rPr>
          <w:b/>
        </w:rPr>
        <w:t>ryzyk</w:t>
      </w:r>
      <w:proofErr w:type="spellEnd"/>
      <w:r w:rsidRPr="003A6407">
        <w:rPr>
          <w:b/>
        </w:rPr>
        <w:t xml:space="preserve"> oraz ich jakościowej analizy.</w:t>
      </w:r>
    </w:p>
    <w:p w14:paraId="3D1DDEE2" w14:textId="77777777" w:rsidR="00FB0462" w:rsidRPr="003A6407" w:rsidRDefault="00FB0462" w:rsidP="00FB0462">
      <w:pPr>
        <w:spacing w:after="0" w:line="360" w:lineRule="auto"/>
        <w:jc w:val="both"/>
        <w:rPr>
          <w:b/>
        </w:rPr>
      </w:pPr>
      <w:r w:rsidRPr="003A6407">
        <w:rPr>
          <w:b/>
        </w:rPr>
        <w:t>Etapy:</w:t>
      </w:r>
    </w:p>
    <w:p w14:paraId="3DFC4849" w14:textId="77777777" w:rsidR="00FB0462" w:rsidRPr="003A6407" w:rsidRDefault="00FB0462" w:rsidP="00FB0462">
      <w:pPr>
        <w:numPr>
          <w:ilvl w:val="0"/>
          <w:numId w:val="1"/>
        </w:numPr>
        <w:spacing w:after="0" w:line="360" w:lineRule="auto"/>
        <w:jc w:val="both"/>
      </w:pPr>
      <w:r w:rsidRPr="003A6407">
        <w:t xml:space="preserve">Przypisanie poszczególnym prawdopodobieństwom wystąpienia ryzyka wartości liczbowych: </w:t>
      </w:r>
    </w:p>
    <w:p w14:paraId="126DFD9A" w14:textId="004388F0" w:rsidR="00FB0462" w:rsidRPr="003A6407" w:rsidRDefault="00FB0462" w:rsidP="00FB0462">
      <w:pPr>
        <w:numPr>
          <w:ilvl w:val="0"/>
          <w:numId w:val="2"/>
        </w:numPr>
        <w:spacing w:after="0" w:line="360" w:lineRule="auto"/>
        <w:jc w:val="both"/>
      </w:pPr>
      <w:r w:rsidRPr="003A6407">
        <w:t xml:space="preserve">wysokie – </w:t>
      </w:r>
      <w:r w:rsidR="00203455" w:rsidRPr="003A6407">
        <w:t xml:space="preserve">od ˃ </w:t>
      </w:r>
      <w:r w:rsidRPr="003A6407">
        <w:t>0,7</w:t>
      </w:r>
      <w:r w:rsidR="00203455" w:rsidRPr="003A6407">
        <w:t xml:space="preserve"> do = </w:t>
      </w:r>
      <w:r w:rsidRPr="003A6407">
        <w:t>1</w:t>
      </w:r>
    </w:p>
    <w:p w14:paraId="20A6B1B2" w14:textId="36C565FA" w:rsidR="00FB0462" w:rsidRPr="003A6407" w:rsidRDefault="00FB0462" w:rsidP="00FB0462">
      <w:pPr>
        <w:numPr>
          <w:ilvl w:val="0"/>
          <w:numId w:val="2"/>
        </w:numPr>
        <w:spacing w:after="0" w:line="360" w:lineRule="auto"/>
        <w:jc w:val="both"/>
      </w:pPr>
      <w:r w:rsidRPr="003A6407">
        <w:t xml:space="preserve">średnie – </w:t>
      </w:r>
      <w:r w:rsidR="00203455" w:rsidRPr="003A6407">
        <w:t xml:space="preserve">od ˃ </w:t>
      </w:r>
      <w:r w:rsidRPr="003A6407">
        <w:t>0,3</w:t>
      </w:r>
      <w:r w:rsidR="00203455" w:rsidRPr="003A6407">
        <w:t xml:space="preserve"> do ≤ </w:t>
      </w:r>
      <w:r w:rsidRPr="003A6407">
        <w:t>0,7</w:t>
      </w:r>
    </w:p>
    <w:p w14:paraId="35FBCEB5" w14:textId="2E5D597C" w:rsidR="00FB0462" w:rsidRPr="003A6407" w:rsidRDefault="00FB0462" w:rsidP="00FB0462">
      <w:pPr>
        <w:numPr>
          <w:ilvl w:val="0"/>
          <w:numId w:val="2"/>
        </w:numPr>
        <w:spacing w:after="0" w:line="360" w:lineRule="auto"/>
        <w:jc w:val="both"/>
      </w:pPr>
      <w:r w:rsidRPr="003A6407">
        <w:t xml:space="preserve">małe – </w:t>
      </w:r>
      <w:r w:rsidR="00203455" w:rsidRPr="003A6407">
        <w:t xml:space="preserve">od ≥ </w:t>
      </w:r>
      <w:r w:rsidRPr="003A6407">
        <w:t>0</w:t>
      </w:r>
      <w:r w:rsidR="00203455" w:rsidRPr="003A6407">
        <w:t xml:space="preserve"> do ≤ </w:t>
      </w:r>
      <w:r w:rsidRPr="003A6407">
        <w:t>0,3</w:t>
      </w:r>
    </w:p>
    <w:p w14:paraId="1835D5D1" w14:textId="77777777" w:rsidR="00FB0462" w:rsidRPr="003A6407" w:rsidRDefault="00FB0462" w:rsidP="00FB0462">
      <w:pPr>
        <w:numPr>
          <w:ilvl w:val="0"/>
          <w:numId w:val="1"/>
        </w:numPr>
        <w:spacing w:after="0" w:line="360" w:lineRule="auto"/>
        <w:jc w:val="both"/>
      </w:pPr>
      <w:r w:rsidRPr="003A6407">
        <w:t>Określenie wag dla skutków zagrożeń w wymiarze procentowym:</w:t>
      </w:r>
    </w:p>
    <w:p w14:paraId="64586128" w14:textId="77777777" w:rsidR="00FB0462" w:rsidRPr="003A6407" w:rsidRDefault="00FB0462" w:rsidP="00FB0462">
      <w:pPr>
        <w:numPr>
          <w:ilvl w:val="0"/>
          <w:numId w:val="3"/>
        </w:numPr>
        <w:spacing w:after="0" w:line="360" w:lineRule="auto"/>
        <w:jc w:val="both"/>
      </w:pPr>
      <w:r w:rsidRPr="003A6407">
        <w:t>duży – 80%</w:t>
      </w:r>
    </w:p>
    <w:p w14:paraId="2D941825" w14:textId="77777777" w:rsidR="00FB0462" w:rsidRPr="003A6407" w:rsidRDefault="00FB0462" w:rsidP="00FB0462">
      <w:pPr>
        <w:numPr>
          <w:ilvl w:val="0"/>
          <w:numId w:val="3"/>
        </w:numPr>
        <w:spacing w:after="0" w:line="360" w:lineRule="auto"/>
        <w:jc w:val="both"/>
      </w:pPr>
      <w:r w:rsidRPr="003A6407">
        <w:t>średni – 50%</w:t>
      </w:r>
    </w:p>
    <w:p w14:paraId="256F0A67" w14:textId="77777777" w:rsidR="00FB0462" w:rsidRPr="003A6407" w:rsidRDefault="00FB0462" w:rsidP="00FB0462">
      <w:pPr>
        <w:numPr>
          <w:ilvl w:val="0"/>
          <w:numId w:val="3"/>
        </w:numPr>
        <w:spacing w:after="0" w:line="360" w:lineRule="auto"/>
        <w:jc w:val="both"/>
      </w:pPr>
      <w:r w:rsidRPr="003A6407">
        <w:t>niewielki – 20%</w:t>
      </w:r>
    </w:p>
    <w:p w14:paraId="2FEEC56B" w14:textId="77777777" w:rsidR="00FB0462" w:rsidRPr="003A6407" w:rsidRDefault="00FB0462" w:rsidP="00FB0462">
      <w:pPr>
        <w:numPr>
          <w:ilvl w:val="0"/>
          <w:numId w:val="1"/>
        </w:numPr>
        <w:spacing w:after="0" w:line="360" w:lineRule="auto"/>
        <w:jc w:val="both"/>
      </w:pPr>
      <w:r w:rsidRPr="003A6407">
        <w:t>Konstrukcja macierzy prawdopodobieństwa i skutków zagrożeń w ujęciu ilościowym: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031"/>
        <w:gridCol w:w="2020"/>
        <w:gridCol w:w="2013"/>
      </w:tblGrid>
      <w:tr w:rsidR="00FB0462" w:rsidRPr="003A6407" w14:paraId="6B7F2D7D" w14:textId="77777777" w:rsidTr="00175EA5">
        <w:tc>
          <w:tcPr>
            <w:tcW w:w="2292" w:type="dxa"/>
            <w:vMerge w:val="restart"/>
            <w:vAlign w:val="center"/>
          </w:tcPr>
          <w:p w14:paraId="761875F4" w14:textId="77777777" w:rsidR="00FB0462" w:rsidRPr="003A6407" w:rsidRDefault="00FB0462" w:rsidP="0083186A">
            <w:pPr>
              <w:spacing w:after="0" w:line="360" w:lineRule="auto"/>
            </w:pPr>
            <w:r w:rsidRPr="003A6407">
              <w:t>Prawdopodobieństwo</w:t>
            </w:r>
          </w:p>
        </w:tc>
        <w:tc>
          <w:tcPr>
            <w:tcW w:w="6276" w:type="dxa"/>
            <w:gridSpan w:val="3"/>
            <w:vAlign w:val="center"/>
          </w:tcPr>
          <w:p w14:paraId="23721AE9" w14:textId="77777777" w:rsidR="00FB0462" w:rsidRPr="003A6407" w:rsidRDefault="00FB0462" w:rsidP="0083186A">
            <w:pPr>
              <w:spacing w:after="0" w:line="360" w:lineRule="auto"/>
              <w:jc w:val="center"/>
            </w:pPr>
            <w:r w:rsidRPr="003A6407">
              <w:t>Skutek</w:t>
            </w:r>
          </w:p>
        </w:tc>
      </w:tr>
      <w:tr w:rsidR="00FB0462" w:rsidRPr="003A6407" w14:paraId="63C28D65" w14:textId="77777777" w:rsidTr="00175EA5">
        <w:trPr>
          <w:trHeight w:val="608"/>
        </w:trPr>
        <w:tc>
          <w:tcPr>
            <w:tcW w:w="2292" w:type="dxa"/>
            <w:vMerge/>
          </w:tcPr>
          <w:p w14:paraId="0901143E" w14:textId="77777777" w:rsidR="00FB0462" w:rsidRPr="003A6407" w:rsidRDefault="00FB0462" w:rsidP="0083186A">
            <w:pPr>
              <w:spacing w:after="0" w:line="360" w:lineRule="auto"/>
              <w:jc w:val="both"/>
            </w:pPr>
          </w:p>
        </w:tc>
        <w:tc>
          <w:tcPr>
            <w:tcW w:w="2092" w:type="dxa"/>
          </w:tcPr>
          <w:p w14:paraId="09723D82" w14:textId="77777777" w:rsidR="00FB0462" w:rsidRPr="003A6407" w:rsidRDefault="00FB0462" w:rsidP="0083186A">
            <w:pPr>
              <w:spacing w:after="0" w:line="360" w:lineRule="auto"/>
              <w:jc w:val="center"/>
            </w:pPr>
            <w:r w:rsidRPr="003A6407">
              <w:t>niewielki</w:t>
            </w:r>
          </w:p>
          <w:p w14:paraId="7EAE536E" w14:textId="77777777" w:rsidR="00FB0462" w:rsidRPr="003A6407" w:rsidRDefault="00FB0462" w:rsidP="0083186A">
            <w:pPr>
              <w:spacing w:after="0" w:line="360" w:lineRule="auto"/>
              <w:jc w:val="center"/>
            </w:pPr>
            <w:r w:rsidRPr="003A6407">
              <w:t>20</w:t>
            </w:r>
          </w:p>
        </w:tc>
        <w:tc>
          <w:tcPr>
            <w:tcW w:w="2092" w:type="dxa"/>
          </w:tcPr>
          <w:p w14:paraId="00C38D70" w14:textId="77777777" w:rsidR="00FB0462" w:rsidRPr="003A6407" w:rsidRDefault="00FB0462" w:rsidP="0083186A">
            <w:pPr>
              <w:spacing w:after="0" w:line="360" w:lineRule="auto"/>
              <w:jc w:val="center"/>
            </w:pPr>
            <w:r w:rsidRPr="003A6407">
              <w:t>średni</w:t>
            </w:r>
          </w:p>
          <w:p w14:paraId="6915B982" w14:textId="77777777" w:rsidR="00FB0462" w:rsidRPr="003A6407" w:rsidRDefault="00FB0462" w:rsidP="0083186A">
            <w:pPr>
              <w:spacing w:after="0" w:line="360" w:lineRule="auto"/>
              <w:jc w:val="center"/>
            </w:pPr>
            <w:r w:rsidRPr="003A6407">
              <w:t>50</w:t>
            </w:r>
          </w:p>
        </w:tc>
        <w:tc>
          <w:tcPr>
            <w:tcW w:w="2092" w:type="dxa"/>
          </w:tcPr>
          <w:p w14:paraId="017A966F" w14:textId="77777777" w:rsidR="00FB0462" w:rsidRPr="003A6407" w:rsidRDefault="00FB0462" w:rsidP="0083186A">
            <w:pPr>
              <w:spacing w:after="0" w:line="360" w:lineRule="auto"/>
              <w:jc w:val="center"/>
            </w:pPr>
            <w:r w:rsidRPr="003A6407">
              <w:t>duży</w:t>
            </w:r>
          </w:p>
          <w:p w14:paraId="56E9D5F9" w14:textId="77777777" w:rsidR="00FB0462" w:rsidRPr="003A6407" w:rsidRDefault="00FB0462" w:rsidP="0083186A">
            <w:pPr>
              <w:spacing w:after="0" w:line="360" w:lineRule="auto"/>
              <w:jc w:val="center"/>
            </w:pPr>
            <w:r w:rsidRPr="003A6407">
              <w:t>80</w:t>
            </w:r>
          </w:p>
        </w:tc>
      </w:tr>
      <w:tr w:rsidR="00191FE2" w:rsidRPr="003A6407" w14:paraId="71BAC333" w14:textId="77777777" w:rsidTr="0083186A">
        <w:tc>
          <w:tcPr>
            <w:tcW w:w="2292" w:type="dxa"/>
          </w:tcPr>
          <w:p w14:paraId="39B73C20" w14:textId="77777777" w:rsidR="00FB0462" w:rsidRPr="003A6407" w:rsidRDefault="00FB0462" w:rsidP="0083186A">
            <w:pPr>
              <w:spacing w:after="0" w:line="360" w:lineRule="auto"/>
              <w:jc w:val="both"/>
            </w:pPr>
            <w:r w:rsidRPr="003A6407">
              <w:t>Wysokie (0,85)</w:t>
            </w:r>
          </w:p>
        </w:tc>
        <w:tc>
          <w:tcPr>
            <w:tcW w:w="2092" w:type="dxa"/>
          </w:tcPr>
          <w:p w14:paraId="458A68B3" w14:textId="77777777" w:rsidR="00FB0462" w:rsidRPr="003A6407" w:rsidRDefault="00FB0462" w:rsidP="0083186A">
            <w:pPr>
              <w:spacing w:after="0" w:line="360" w:lineRule="auto"/>
              <w:jc w:val="center"/>
            </w:pPr>
            <w:r w:rsidRPr="003A6407">
              <w:t>17</w:t>
            </w:r>
          </w:p>
        </w:tc>
        <w:tc>
          <w:tcPr>
            <w:tcW w:w="2092" w:type="dxa"/>
          </w:tcPr>
          <w:p w14:paraId="69DF6308" w14:textId="77777777" w:rsidR="00FB0462" w:rsidRPr="003A6407" w:rsidRDefault="00FB0462" w:rsidP="0083186A">
            <w:pPr>
              <w:spacing w:after="0" w:line="360" w:lineRule="auto"/>
              <w:jc w:val="center"/>
            </w:pPr>
            <w:r w:rsidRPr="003A6407">
              <w:t>43</w:t>
            </w:r>
          </w:p>
        </w:tc>
        <w:tc>
          <w:tcPr>
            <w:tcW w:w="2092" w:type="dxa"/>
            <w:shd w:val="clear" w:color="auto" w:fill="A6A6A6"/>
          </w:tcPr>
          <w:p w14:paraId="39E7191A" w14:textId="77777777" w:rsidR="00FB0462" w:rsidRPr="003A6407" w:rsidRDefault="00FB0462" w:rsidP="0083186A">
            <w:pPr>
              <w:spacing w:after="0" w:line="360" w:lineRule="auto"/>
              <w:jc w:val="center"/>
            </w:pPr>
            <w:r w:rsidRPr="003A6407">
              <w:t>68</w:t>
            </w:r>
          </w:p>
        </w:tc>
      </w:tr>
      <w:tr w:rsidR="00FB0462" w:rsidRPr="003A6407" w14:paraId="395B2266" w14:textId="77777777" w:rsidTr="00175EA5">
        <w:tc>
          <w:tcPr>
            <w:tcW w:w="2292" w:type="dxa"/>
          </w:tcPr>
          <w:p w14:paraId="24DF63AE" w14:textId="77777777" w:rsidR="00FB0462" w:rsidRPr="003A6407" w:rsidRDefault="00FB0462" w:rsidP="0083186A">
            <w:pPr>
              <w:spacing w:after="0" w:line="360" w:lineRule="auto"/>
              <w:jc w:val="both"/>
            </w:pPr>
            <w:r w:rsidRPr="003A6407">
              <w:t>Średnie (0,50)</w:t>
            </w:r>
          </w:p>
        </w:tc>
        <w:tc>
          <w:tcPr>
            <w:tcW w:w="2092" w:type="dxa"/>
          </w:tcPr>
          <w:p w14:paraId="28FFD045" w14:textId="77777777" w:rsidR="00FB0462" w:rsidRPr="003A6407" w:rsidRDefault="00FB0462" w:rsidP="0083186A">
            <w:pPr>
              <w:spacing w:after="0" w:line="360" w:lineRule="auto"/>
              <w:jc w:val="center"/>
            </w:pPr>
            <w:r w:rsidRPr="003A6407">
              <w:t>10</w:t>
            </w:r>
          </w:p>
        </w:tc>
        <w:tc>
          <w:tcPr>
            <w:tcW w:w="2092" w:type="dxa"/>
            <w:shd w:val="clear" w:color="auto" w:fill="A6A6A6"/>
          </w:tcPr>
          <w:p w14:paraId="78E5BA89" w14:textId="77777777" w:rsidR="00FB0462" w:rsidRPr="003A6407" w:rsidRDefault="00FB0462" w:rsidP="0083186A">
            <w:pPr>
              <w:spacing w:after="0" w:line="360" w:lineRule="auto"/>
              <w:jc w:val="center"/>
            </w:pPr>
            <w:r w:rsidRPr="003A6407">
              <w:t>25</w:t>
            </w:r>
          </w:p>
        </w:tc>
        <w:tc>
          <w:tcPr>
            <w:tcW w:w="2092" w:type="dxa"/>
          </w:tcPr>
          <w:p w14:paraId="203200F3" w14:textId="77777777" w:rsidR="00FB0462" w:rsidRPr="003A6407" w:rsidRDefault="00FB0462" w:rsidP="0083186A">
            <w:pPr>
              <w:spacing w:after="0" w:line="360" w:lineRule="auto"/>
              <w:jc w:val="center"/>
            </w:pPr>
            <w:r w:rsidRPr="003A6407">
              <w:t>40</w:t>
            </w:r>
          </w:p>
        </w:tc>
      </w:tr>
      <w:tr w:rsidR="00FB0462" w:rsidRPr="003A6407" w14:paraId="11C8DAC7" w14:textId="77777777" w:rsidTr="00175EA5">
        <w:tc>
          <w:tcPr>
            <w:tcW w:w="2292" w:type="dxa"/>
          </w:tcPr>
          <w:p w14:paraId="78437EC4" w14:textId="77777777" w:rsidR="00FB0462" w:rsidRPr="003A6407" w:rsidRDefault="00FB0462" w:rsidP="0083186A">
            <w:pPr>
              <w:spacing w:after="0" w:line="360" w:lineRule="auto"/>
              <w:jc w:val="both"/>
            </w:pPr>
            <w:r w:rsidRPr="003A6407">
              <w:t>Małe (0,15)</w:t>
            </w:r>
          </w:p>
        </w:tc>
        <w:tc>
          <w:tcPr>
            <w:tcW w:w="2092" w:type="dxa"/>
            <w:shd w:val="clear" w:color="auto" w:fill="A6A6A6"/>
          </w:tcPr>
          <w:p w14:paraId="50630BA1" w14:textId="77777777" w:rsidR="00FB0462" w:rsidRPr="003A6407" w:rsidRDefault="00FB0462" w:rsidP="0083186A">
            <w:pPr>
              <w:spacing w:after="0" w:line="360" w:lineRule="auto"/>
              <w:jc w:val="center"/>
            </w:pPr>
            <w:r w:rsidRPr="003A6407">
              <w:t>3</w:t>
            </w:r>
          </w:p>
        </w:tc>
        <w:tc>
          <w:tcPr>
            <w:tcW w:w="2092" w:type="dxa"/>
          </w:tcPr>
          <w:p w14:paraId="02C20505" w14:textId="77777777" w:rsidR="00FB0462" w:rsidRPr="003A6407" w:rsidRDefault="00FB0462" w:rsidP="0083186A">
            <w:pPr>
              <w:spacing w:after="0" w:line="360" w:lineRule="auto"/>
              <w:jc w:val="center"/>
            </w:pPr>
            <w:r w:rsidRPr="003A6407">
              <w:t>8</w:t>
            </w:r>
          </w:p>
        </w:tc>
        <w:tc>
          <w:tcPr>
            <w:tcW w:w="2092" w:type="dxa"/>
          </w:tcPr>
          <w:p w14:paraId="68474903" w14:textId="77777777" w:rsidR="00FB0462" w:rsidRPr="003A6407" w:rsidRDefault="00FB0462" w:rsidP="0083186A">
            <w:pPr>
              <w:spacing w:after="0" w:line="360" w:lineRule="auto"/>
              <w:jc w:val="center"/>
            </w:pPr>
            <w:r w:rsidRPr="003A6407">
              <w:t>12</w:t>
            </w:r>
          </w:p>
        </w:tc>
      </w:tr>
    </w:tbl>
    <w:p w14:paraId="617DB0E0" w14:textId="77777777" w:rsidR="00FB0462" w:rsidRPr="003A6407" w:rsidRDefault="00FB0462" w:rsidP="00FB0462">
      <w:pPr>
        <w:spacing w:after="0" w:line="360" w:lineRule="auto"/>
        <w:ind w:left="720"/>
        <w:jc w:val="both"/>
      </w:pPr>
      <w:r w:rsidRPr="003A6407">
        <w:t xml:space="preserve"> Uwaga: Do wyliczeń przyjęto środkowe wartości z poszczególnych przedziałów prawdopodobieństwa. Wartości w macierzy wynikające z działania R=P*S zostały zaokrąglone do pełnych liczb.</w:t>
      </w:r>
    </w:p>
    <w:p w14:paraId="2DF75E23" w14:textId="77777777" w:rsidR="00FB0462" w:rsidRPr="003A6407" w:rsidRDefault="00FB0462" w:rsidP="00FB0462">
      <w:pPr>
        <w:numPr>
          <w:ilvl w:val="0"/>
          <w:numId w:val="1"/>
        </w:numPr>
        <w:spacing w:after="0" w:line="360" w:lineRule="auto"/>
        <w:jc w:val="both"/>
      </w:pPr>
      <w:r w:rsidRPr="003A6407">
        <w:t>Wybór wag z macierzy dla określonych poziomów ryzyka zidentyfikowanych w poszczególnych osiach priorytetowych. Z opisu metodologii wskaźników wynika, że:</w:t>
      </w:r>
    </w:p>
    <w:p w14:paraId="05E3399D" w14:textId="77777777" w:rsidR="00FB0462" w:rsidRPr="003A6407" w:rsidRDefault="00FB0462" w:rsidP="00FB0462">
      <w:pPr>
        <w:numPr>
          <w:ilvl w:val="0"/>
          <w:numId w:val="4"/>
        </w:numPr>
        <w:spacing w:after="0" w:line="360" w:lineRule="auto"/>
        <w:jc w:val="both"/>
      </w:pPr>
      <w:r w:rsidRPr="003A6407">
        <w:t>ryzyko niskie = małe prawdopodobieństwo * niewielki skutek</w:t>
      </w:r>
    </w:p>
    <w:p w14:paraId="7925E7CA" w14:textId="77777777" w:rsidR="00FB0462" w:rsidRPr="003A6407" w:rsidRDefault="00FB0462" w:rsidP="00FB0462">
      <w:pPr>
        <w:numPr>
          <w:ilvl w:val="0"/>
          <w:numId w:val="4"/>
        </w:numPr>
        <w:spacing w:after="0" w:line="360" w:lineRule="auto"/>
        <w:jc w:val="both"/>
      </w:pPr>
      <w:r w:rsidRPr="003A6407">
        <w:t>ryzyko umiarkowane = średnie prawdopodobieństwo* średni skutek</w:t>
      </w:r>
    </w:p>
    <w:p w14:paraId="3E3A3395" w14:textId="77777777" w:rsidR="00FB0462" w:rsidRPr="003A6407" w:rsidRDefault="00FB0462" w:rsidP="00FB0462">
      <w:pPr>
        <w:numPr>
          <w:ilvl w:val="0"/>
          <w:numId w:val="4"/>
        </w:numPr>
        <w:spacing w:after="0" w:line="360" w:lineRule="auto"/>
        <w:jc w:val="both"/>
      </w:pPr>
      <w:r w:rsidRPr="003A6407">
        <w:t>ryzyko poważne = wysokie prawdopodobieństwo* duży skutek</w:t>
      </w:r>
    </w:p>
    <w:p w14:paraId="59D9B711" w14:textId="77777777" w:rsidR="00FB0462" w:rsidRPr="003A6407" w:rsidRDefault="00FB0462" w:rsidP="00FB0462">
      <w:pPr>
        <w:spacing w:after="0" w:line="360" w:lineRule="auto"/>
        <w:ind w:left="708"/>
        <w:jc w:val="both"/>
        <w:rPr>
          <w:b/>
          <w:bCs/>
        </w:rPr>
      </w:pPr>
      <w:r w:rsidRPr="003A6407">
        <w:rPr>
          <w:b/>
          <w:bCs/>
        </w:rPr>
        <w:t xml:space="preserve">Tak więc na podstawie tabeli określa się ilościowo, że </w:t>
      </w:r>
    </w:p>
    <w:p w14:paraId="1050DC26" w14:textId="77777777" w:rsidR="00FB0462" w:rsidRPr="003A6407" w:rsidRDefault="00FB0462" w:rsidP="00FB0462">
      <w:pPr>
        <w:numPr>
          <w:ilvl w:val="0"/>
          <w:numId w:val="5"/>
        </w:numPr>
        <w:spacing w:after="0" w:line="360" w:lineRule="auto"/>
        <w:jc w:val="both"/>
        <w:rPr>
          <w:b/>
          <w:bCs/>
        </w:rPr>
      </w:pPr>
      <w:r w:rsidRPr="003A6407">
        <w:rPr>
          <w:b/>
          <w:bCs/>
        </w:rPr>
        <w:t>ryzyko niskie = 3%</w:t>
      </w:r>
    </w:p>
    <w:p w14:paraId="091A5089" w14:textId="77777777" w:rsidR="00FB0462" w:rsidRPr="003A6407" w:rsidRDefault="00FB0462" w:rsidP="00FB0462">
      <w:pPr>
        <w:numPr>
          <w:ilvl w:val="0"/>
          <w:numId w:val="5"/>
        </w:numPr>
        <w:spacing w:after="0" w:line="360" w:lineRule="auto"/>
        <w:jc w:val="both"/>
        <w:rPr>
          <w:b/>
          <w:bCs/>
        </w:rPr>
      </w:pPr>
      <w:r w:rsidRPr="003A6407">
        <w:rPr>
          <w:b/>
          <w:bCs/>
        </w:rPr>
        <w:t>ryzyko umiarkowane = 25%</w:t>
      </w:r>
    </w:p>
    <w:p w14:paraId="51904A1F" w14:textId="77777777" w:rsidR="00FB0462" w:rsidRPr="003A6407" w:rsidRDefault="00FB0462" w:rsidP="00FB0462">
      <w:pPr>
        <w:numPr>
          <w:ilvl w:val="0"/>
          <w:numId w:val="5"/>
        </w:numPr>
        <w:spacing w:after="0" w:line="360" w:lineRule="auto"/>
        <w:jc w:val="both"/>
        <w:rPr>
          <w:b/>
          <w:bCs/>
        </w:rPr>
      </w:pPr>
      <w:r w:rsidRPr="003A6407">
        <w:rPr>
          <w:b/>
          <w:bCs/>
        </w:rPr>
        <w:lastRenderedPageBreak/>
        <w:t>ryzyko poważne = 68%</w:t>
      </w:r>
    </w:p>
    <w:p w14:paraId="27786380" w14:textId="0136ED52" w:rsidR="00FB0462" w:rsidRPr="003A6407" w:rsidRDefault="00FB0462" w:rsidP="00FB0462">
      <w:pPr>
        <w:numPr>
          <w:ilvl w:val="0"/>
          <w:numId w:val="1"/>
        </w:numPr>
        <w:spacing w:after="0" w:line="360" w:lineRule="auto"/>
        <w:jc w:val="both"/>
      </w:pPr>
      <w:r w:rsidRPr="003A6407">
        <w:t>Aby obliczyć wymierną wielkość całkowitego ryzyka dla danego wskaźnika w metodologii należy pomnożyć wagę przez liczbę przypisanych zagrożeń w danym wskaźniku, zsumować wszystkie otrzymane liczby oraz podzielić przez liczbę zagrożeń</w:t>
      </w:r>
      <w:r w:rsidR="00264F53" w:rsidRPr="003A6407">
        <w:t>:</w:t>
      </w:r>
    </w:p>
    <w:p w14:paraId="333B1777" w14:textId="7AEBF7B9" w:rsidR="00264F53" w:rsidRPr="003A6407" w:rsidRDefault="00CD4C64" w:rsidP="00F20BCD">
      <w:pPr>
        <w:pStyle w:val="Akapitzlist"/>
        <w:numPr>
          <w:ilvl w:val="0"/>
          <w:numId w:val="8"/>
        </w:numPr>
        <w:spacing w:after="0" w:line="360" w:lineRule="auto"/>
        <w:jc w:val="both"/>
      </w:pPr>
      <w:r w:rsidRPr="003A6407">
        <w:t>Przykład nr 1 - j</w:t>
      </w:r>
      <w:r w:rsidR="00264F53" w:rsidRPr="003A6407">
        <w:t>eżeli w ramach danego wskaźniki identyfikuje się jedynie ryzyko ogólne, wówczas otrzymaną z szacowania wartość wskaźnika można obniżyć o 25%:</w:t>
      </w:r>
    </w:p>
    <w:p w14:paraId="3D0F74D6" w14:textId="77777777" w:rsidR="00CD4C64" w:rsidRPr="003A6407" w:rsidRDefault="00264F53" w:rsidP="00F20BCD">
      <w:pPr>
        <w:pStyle w:val="Akapitzlist"/>
        <w:numPr>
          <w:ilvl w:val="0"/>
          <w:numId w:val="9"/>
        </w:numPr>
        <w:spacing w:after="0" w:line="360" w:lineRule="auto"/>
        <w:jc w:val="both"/>
      </w:pPr>
      <w:r w:rsidRPr="003A6407">
        <w:t xml:space="preserve">Zidentyfikowano 4 ryzyka ogólne o wadze </w:t>
      </w:r>
      <w:r w:rsidR="00CD4C64" w:rsidRPr="003A6407">
        <w:t xml:space="preserve">umiarkowanej (25). </w:t>
      </w:r>
    </w:p>
    <w:p w14:paraId="0204B578" w14:textId="1BD20AF2" w:rsidR="00264F53" w:rsidRPr="003A6407" w:rsidRDefault="00CD4C64" w:rsidP="00F20BCD">
      <w:pPr>
        <w:pStyle w:val="Akapitzlist"/>
        <w:numPr>
          <w:ilvl w:val="0"/>
          <w:numId w:val="9"/>
        </w:numPr>
        <w:spacing w:after="0" w:line="360" w:lineRule="auto"/>
        <w:jc w:val="both"/>
      </w:pPr>
      <w:r w:rsidRPr="003A6407">
        <w:t xml:space="preserve">Mamy więc następujące równanie: </w:t>
      </w:r>
    </w:p>
    <w:p w14:paraId="74E894BD" w14:textId="77777777" w:rsidR="00CD4C64" w:rsidRPr="003A6407" w:rsidRDefault="00CD4C64" w:rsidP="00CD4C64">
      <w:pPr>
        <w:pStyle w:val="Akapitzlist"/>
        <w:spacing w:after="0" w:line="360" w:lineRule="auto"/>
        <w:ind w:left="2160"/>
        <w:jc w:val="both"/>
      </w:pPr>
      <w:r w:rsidRPr="003A6407">
        <w:t>R=(4*25)/4=100/4=25</w:t>
      </w:r>
    </w:p>
    <w:p w14:paraId="52A2CF49" w14:textId="3D596297" w:rsidR="00CD4C64" w:rsidRPr="003A6407" w:rsidRDefault="00FB0462" w:rsidP="00F20BCD">
      <w:pPr>
        <w:pStyle w:val="Akapitzlist"/>
        <w:numPr>
          <w:ilvl w:val="0"/>
          <w:numId w:val="8"/>
        </w:numPr>
        <w:spacing w:after="0" w:line="360" w:lineRule="auto"/>
        <w:jc w:val="both"/>
      </w:pPr>
      <w:r w:rsidRPr="003A6407">
        <w:t xml:space="preserve">Przykład nr </w:t>
      </w:r>
      <w:r w:rsidR="00CD4C64" w:rsidRPr="003A6407">
        <w:t>2</w:t>
      </w:r>
      <w:r w:rsidRPr="003A6407">
        <w:t xml:space="preserve"> dla wskaźnika </w:t>
      </w:r>
      <w:r w:rsidR="00A85B94" w:rsidRPr="003A6407">
        <w:t>Liczba zmodernizowanych energetycznie budynków</w:t>
      </w:r>
      <w:r w:rsidRPr="003A6407">
        <w:t>:</w:t>
      </w:r>
    </w:p>
    <w:p w14:paraId="117A2E33" w14:textId="201346E4" w:rsidR="00CD4C64" w:rsidRPr="003A6407" w:rsidRDefault="00FB0462" w:rsidP="00F20BCD">
      <w:pPr>
        <w:pStyle w:val="Akapitzlist"/>
        <w:numPr>
          <w:ilvl w:val="0"/>
          <w:numId w:val="10"/>
        </w:numPr>
        <w:spacing w:after="0" w:line="360" w:lineRule="auto"/>
        <w:jc w:val="both"/>
      </w:pPr>
      <w:r w:rsidRPr="003A6407">
        <w:t xml:space="preserve">Zidentyfikowano </w:t>
      </w:r>
      <w:r w:rsidR="00A85B94" w:rsidRPr="003A6407">
        <w:t>9</w:t>
      </w:r>
      <w:r w:rsidRPr="003A6407">
        <w:t xml:space="preserve"> </w:t>
      </w:r>
      <w:proofErr w:type="spellStart"/>
      <w:r w:rsidRPr="003A6407">
        <w:t>ryzyk</w:t>
      </w:r>
      <w:proofErr w:type="spellEnd"/>
      <w:r w:rsidRPr="003A6407">
        <w:t xml:space="preserve">, w tym </w:t>
      </w:r>
      <w:r w:rsidR="00A85B94" w:rsidRPr="003A6407">
        <w:t>sześć o wadze umiarkowanej (25) i trzy o wadze poważnej (68)</w:t>
      </w:r>
      <w:r w:rsidRPr="003A6407">
        <w:t>.</w:t>
      </w:r>
    </w:p>
    <w:p w14:paraId="136DB944" w14:textId="77777777" w:rsidR="00CD4C64" w:rsidRPr="003A6407" w:rsidRDefault="00FB0462" w:rsidP="00F20BCD">
      <w:pPr>
        <w:pStyle w:val="Akapitzlist"/>
        <w:numPr>
          <w:ilvl w:val="0"/>
          <w:numId w:val="10"/>
        </w:numPr>
        <w:spacing w:after="0" w:line="360" w:lineRule="auto"/>
        <w:jc w:val="both"/>
      </w:pPr>
      <w:r w:rsidRPr="003A6407">
        <w:t>Mamy więc następujące równanie:</w:t>
      </w:r>
    </w:p>
    <w:p w14:paraId="691ECC97" w14:textId="2597C61D" w:rsidR="00CD4C64" w:rsidRPr="003A6407" w:rsidRDefault="00FB0462" w:rsidP="00CD4C64">
      <w:pPr>
        <w:pStyle w:val="Akapitzlist"/>
        <w:spacing w:after="0" w:line="360" w:lineRule="auto"/>
        <w:ind w:left="2160"/>
        <w:jc w:val="both"/>
      </w:pPr>
      <w:r w:rsidRPr="003A6407">
        <w:t>R=[</w:t>
      </w:r>
      <w:r w:rsidR="00A85B94" w:rsidRPr="003A6407">
        <w:t>6</w:t>
      </w:r>
      <w:r w:rsidRPr="003A6407">
        <w:t>*25)+(</w:t>
      </w:r>
      <w:r w:rsidR="00A85B94" w:rsidRPr="003A6407">
        <w:t>3</w:t>
      </w:r>
      <w:r w:rsidRPr="003A6407">
        <w:t>*68)]/</w:t>
      </w:r>
      <w:r w:rsidR="00A85B94" w:rsidRPr="003A6407">
        <w:t>9</w:t>
      </w:r>
      <w:r w:rsidRPr="003A6407">
        <w:t>=</w:t>
      </w:r>
      <w:r w:rsidR="00A85B94" w:rsidRPr="003A6407">
        <w:t>39,3</w:t>
      </w:r>
    </w:p>
    <w:p w14:paraId="75914F14" w14:textId="188D9CE7" w:rsidR="00FB0462" w:rsidRPr="003A6407" w:rsidRDefault="00FB0462" w:rsidP="00CD4C64">
      <w:pPr>
        <w:pStyle w:val="Akapitzlist"/>
        <w:spacing w:after="0" w:line="360" w:lineRule="auto"/>
        <w:ind w:left="2160"/>
        <w:jc w:val="both"/>
      </w:pPr>
      <w:r w:rsidRPr="003A6407">
        <w:t xml:space="preserve">Wynik oznacza, że wartość wskaźnika na podstawie zidentyfikowanych </w:t>
      </w:r>
      <w:proofErr w:type="spellStart"/>
      <w:r w:rsidRPr="003A6407">
        <w:t>ryzyk</w:t>
      </w:r>
      <w:proofErr w:type="spellEnd"/>
      <w:r w:rsidRPr="003A6407">
        <w:t xml:space="preserve"> można obniżyć o </w:t>
      </w:r>
      <w:r w:rsidR="00A85B94" w:rsidRPr="003A6407">
        <w:t>39,3</w:t>
      </w:r>
      <w:r w:rsidRPr="003A6407">
        <w:t>%</w:t>
      </w:r>
    </w:p>
    <w:p w14:paraId="784F5952" w14:textId="77777777" w:rsidR="00490CE6" w:rsidRPr="003A6407" w:rsidRDefault="00490CE6" w:rsidP="00FB0462">
      <w:pPr>
        <w:spacing w:after="0" w:line="360" w:lineRule="auto"/>
        <w:ind w:left="1440"/>
        <w:sectPr w:rsidR="00490CE6" w:rsidRPr="003A6407" w:rsidSect="000F58CA">
          <w:pgSz w:w="11906" w:h="16838"/>
          <w:pgMar w:top="1417" w:right="1417" w:bottom="1417" w:left="1417" w:header="142" w:footer="708" w:gutter="0"/>
          <w:cols w:space="708"/>
          <w:titlePg/>
          <w:docGrid w:linePitch="360"/>
        </w:sectPr>
      </w:pPr>
    </w:p>
    <w:p w14:paraId="190F91E0" w14:textId="3D21605F" w:rsidR="00490CE6" w:rsidRPr="003A6407" w:rsidRDefault="00490CE6" w:rsidP="00490CE6">
      <w:pPr>
        <w:pStyle w:val="Nagwek1"/>
      </w:pPr>
      <w:bookmarkStart w:id="25" w:name="_Toc49249101"/>
      <w:bookmarkStart w:id="26" w:name="_Toc56433008"/>
      <w:bookmarkStart w:id="27" w:name="_Toc120464350"/>
      <w:r w:rsidRPr="003A6407">
        <w:lastRenderedPageBreak/>
        <w:t>Część szczegółowa</w:t>
      </w:r>
      <w:bookmarkEnd w:id="25"/>
      <w:bookmarkEnd w:id="26"/>
      <w:bookmarkEnd w:id="27"/>
    </w:p>
    <w:p w14:paraId="447AEBB6" w14:textId="3AB17EBB" w:rsidR="00BB0F80" w:rsidRPr="003A6407" w:rsidRDefault="00BB0F80" w:rsidP="00BB0F80">
      <w:pPr>
        <w:rPr>
          <w:lang w:val="x-none"/>
        </w:rPr>
      </w:pPr>
    </w:p>
    <w:p w14:paraId="4B0E9F9A" w14:textId="62D47AF5" w:rsidR="00BB0F80" w:rsidRPr="003A6407" w:rsidRDefault="00A91801" w:rsidP="006B4EF4">
      <w:pPr>
        <w:pStyle w:val="Nagwek1"/>
        <w:spacing w:before="200"/>
        <w:rPr>
          <w:lang w:val="pl-PL"/>
        </w:rPr>
      </w:pPr>
      <w:bookmarkStart w:id="28" w:name="_Toc97127007"/>
      <w:bookmarkStart w:id="29" w:name="_Toc114662347"/>
      <w:bookmarkStart w:id="30" w:name="_Toc120464351"/>
      <w:r w:rsidRPr="003A6407">
        <w:rPr>
          <w:lang w:val="pl-PL"/>
        </w:rPr>
        <w:t xml:space="preserve">PRIORYTET 1: FUNDUSZE EUROPEJSKIE NA RZECZ PRZEDSIĘBIORCZEGO DOLNEGO ŚLĄSKA </w:t>
      </w:r>
      <w:bookmarkEnd w:id="28"/>
      <w:r w:rsidR="00BB0F80" w:rsidRPr="003A6407">
        <w:rPr>
          <w:lang w:val="pl-PL"/>
        </w:rPr>
        <w:t xml:space="preserve"> (CP1</w:t>
      </w:r>
      <w:r w:rsidRPr="003A6407">
        <w:rPr>
          <w:lang w:val="pl-PL"/>
        </w:rPr>
        <w:t xml:space="preserve"> EFRR</w:t>
      </w:r>
      <w:r w:rsidR="00BB0F80" w:rsidRPr="003A6407">
        <w:rPr>
          <w:lang w:val="pl-PL"/>
        </w:rPr>
        <w:t>)</w:t>
      </w:r>
      <w:bookmarkEnd w:id="29"/>
      <w:bookmarkEnd w:id="30"/>
    </w:p>
    <w:p w14:paraId="0B0DB4FC" w14:textId="120C5371" w:rsidR="00BB0F80" w:rsidRPr="003A6407" w:rsidRDefault="00BB0F80" w:rsidP="000F0F0F">
      <w:pPr>
        <w:pStyle w:val="Nagwek2"/>
        <w:rPr>
          <w:rFonts w:eastAsia="Times New Roman"/>
        </w:rPr>
      </w:pPr>
      <w:bookmarkStart w:id="31" w:name="_Toc114662348"/>
      <w:bookmarkStart w:id="32" w:name="_Toc120464352"/>
      <w:r w:rsidRPr="003A6407">
        <w:rPr>
          <w:rFonts w:eastAsia="Times New Roman"/>
        </w:rPr>
        <w:t xml:space="preserve">CEL </w:t>
      </w:r>
      <w:r w:rsidRPr="003A6407">
        <w:t>SZCZEGÓŁOWY</w:t>
      </w:r>
      <w:r w:rsidRPr="003A6407">
        <w:rPr>
          <w:rFonts w:eastAsia="Times New Roman"/>
        </w:rPr>
        <w:t xml:space="preserve">: </w:t>
      </w:r>
      <w:bookmarkStart w:id="33" w:name="_Toc97127009"/>
      <w:r w:rsidR="00572DDA" w:rsidRPr="00481640">
        <w:rPr>
          <w:color w:val="000000"/>
        </w:rPr>
        <w:t>RSO 1.1. Rozwijanie i wzmacnianie zdolności badawczych i innowacyjnych oraz wykorzystywanie zaawansowanych technologii (EFRR)</w:t>
      </w:r>
      <w:bookmarkEnd w:id="31"/>
      <w:bookmarkEnd w:id="32"/>
      <w:r w:rsidRPr="003A6407">
        <w:rPr>
          <w:rFonts w:eastAsia="Times New Roman"/>
        </w:rPr>
        <w:t xml:space="preserve"> </w:t>
      </w:r>
      <w:bookmarkEnd w:id="33"/>
    </w:p>
    <w:p w14:paraId="27E4D973" w14:textId="77777777" w:rsidR="00BB0F80" w:rsidRPr="003A6407" w:rsidRDefault="00BB0F80" w:rsidP="00590330">
      <w:pPr>
        <w:pStyle w:val="Nagwek2"/>
        <w:spacing w:after="200"/>
      </w:pPr>
      <w:bookmarkStart w:id="34" w:name="_Toc114662349"/>
      <w:bookmarkStart w:id="35" w:name="_Toc120464353"/>
      <w:r w:rsidRPr="003A6407">
        <w:t>Wskaźniki produktu</w:t>
      </w:r>
      <w:bookmarkEnd w:id="34"/>
      <w:bookmarkEnd w:id="35"/>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0C35252B" w14:textId="77777777" w:rsidTr="00412D9C">
        <w:trPr>
          <w:cantSplit/>
          <w:trHeight w:val="1647"/>
        </w:trPr>
        <w:tc>
          <w:tcPr>
            <w:tcW w:w="451" w:type="pct"/>
            <w:shd w:val="clear" w:color="auto" w:fill="auto"/>
            <w:vAlign w:val="center"/>
          </w:tcPr>
          <w:p w14:paraId="1176E992"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bookmarkStart w:id="36" w:name="_Hlk95225269"/>
            <w:r w:rsidRPr="003A6407">
              <w:rPr>
                <w:rFonts w:eastAsia="Calibri" w:cs="Times New Roman"/>
                <w:b/>
                <w:noProof/>
                <w:sz w:val="16"/>
                <w:szCs w:val="16"/>
              </w:rPr>
              <w:t>CP 1</w:t>
            </w:r>
          </w:p>
          <w:p w14:paraId="19EB42E2" w14:textId="7082E391"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71719E75"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2ED8DDD9"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50C3A4AC" w14:textId="77777777" w:rsidR="00BB0F80" w:rsidRPr="003A6407" w:rsidRDefault="00BB0F80" w:rsidP="00412D9C">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7C914853" w14:textId="686118B1"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6C90A34B"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03D559EE"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2AE79F4F"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12D754BF"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69DADBF5"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p>
        </w:tc>
      </w:tr>
      <w:tr w:rsidR="00BB0F80" w:rsidRPr="003A6407" w14:paraId="7C812719" w14:textId="77777777" w:rsidTr="00412D9C">
        <w:trPr>
          <w:trHeight w:val="340"/>
        </w:trPr>
        <w:tc>
          <w:tcPr>
            <w:tcW w:w="451" w:type="pct"/>
            <w:shd w:val="clear" w:color="auto" w:fill="auto"/>
            <w:vAlign w:val="center"/>
          </w:tcPr>
          <w:p w14:paraId="031B4475" w14:textId="77777777" w:rsidR="00BB0F80"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6DDF89F5" w14:textId="2E86D7C8" w:rsidR="00572DDA" w:rsidRPr="003A6407" w:rsidRDefault="00572DDA"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33BC63B5" w14:textId="77777777" w:rsidR="00BB0F80" w:rsidRPr="003A6407"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5D49D937" w14:textId="77777777" w:rsidR="00BB0F80" w:rsidRPr="003A6407"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751EF13D" w14:textId="54CBA28E" w:rsidR="00BB0F80" w:rsidRPr="003A6407"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RCO01</w:t>
            </w:r>
          </w:p>
        </w:tc>
        <w:tc>
          <w:tcPr>
            <w:tcW w:w="1206" w:type="pct"/>
            <w:shd w:val="clear" w:color="auto" w:fill="auto"/>
            <w:vAlign w:val="center"/>
          </w:tcPr>
          <w:p w14:paraId="3F199E55" w14:textId="77777777" w:rsidR="00BB0F80" w:rsidRPr="003A6407" w:rsidRDefault="00BB0F80" w:rsidP="00412D9C">
            <w:pPr>
              <w:keepNext/>
              <w:keepLines/>
              <w:spacing w:before="200" w:after="0"/>
              <w:jc w:val="center"/>
              <w:outlineLvl w:val="2"/>
              <w:rPr>
                <w:b/>
                <w:bCs/>
                <w:noProof/>
              </w:rPr>
            </w:pPr>
            <w:bookmarkStart w:id="37" w:name="_Toc97127010"/>
            <w:bookmarkStart w:id="38" w:name="_Toc114662350"/>
            <w:bookmarkStart w:id="39" w:name="_Toc120464354"/>
            <w:r w:rsidRPr="003A6407">
              <w:rPr>
                <w:rFonts w:asciiTheme="minorHAnsi" w:eastAsia="Times New Roman" w:hAnsiTheme="minorHAnsi" w:cstheme="minorHAnsi"/>
                <w:bCs/>
                <w:noProof/>
              </w:rPr>
              <w:t>Przedsiębiorstwa objęte wsparciem (w tym: mikro, małe, średnie, duże)</w:t>
            </w:r>
            <w:bookmarkEnd w:id="37"/>
            <w:bookmarkEnd w:id="38"/>
            <w:bookmarkEnd w:id="39"/>
          </w:p>
        </w:tc>
        <w:tc>
          <w:tcPr>
            <w:tcW w:w="884" w:type="pct"/>
            <w:shd w:val="clear" w:color="auto" w:fill="auto"/>
            <w:vAlign w:val="center"/>
          </w:tcPr>
          <w:p w14:paraId="54DBEF61" w14:textId="2327F43C" w:rsidR="00BB0F80" w:rsidRPr="003A6407" w:rsidRDefault="00533365"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przedsiębiorstwa</w:t>
            </w:r>
          </w:p>
        </w:tc>
        <w:tc>
          <w:tcPr>
            <w:tcW w:w="482" w:type="pct"/>
            <w:shd w:val="clear" w:color="auto" w:fill="auto"/>
            <w:vAlign w:val="center"/>
          </w:tcPr>
          <w:p w14:paraId="147B478A" w14:textId="4ED162AF" w:rsidR="00BB0F80" w:rsidRPr="003A6407" w:rsidRDefault="003701D5"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13</w:t>
            </w:r>
            <w:r w:rsidR="00890103" w:rsidRPr="003A6407">
              <w:rPr>
                <w:rFonts w:eastAsia="Calibri" w:cs="Times New Roman"/>
                <w:noProof/>
                <w:sz w:val="16"/>
                <w:szCs w:val="16"/>
              </w:rPr>
              <w:t>,00</w:t>
            </w:r>
          </w:p>
        </w:tc>
        <w:tc>
          <w:tcPr>
            <w:tcW w:w="502" w:type="pct"/>
            <w:shd w:val="clear" w:color="auto" w:fill="auto"/>
            <w:vAlign w:val="center"/>
          </w:tcPr>
          <w:p w14:paraId="587430CE" w14:textId="6E58771E" w:rsidR="00BB0F80" w:rsidRPr="003A6407" w:rsidRDefault="00A32B51"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405</w:t>
            </w:r>
          </w:p>
        </w:tc>
      </w:tr>
      <w:tr w:rsidR="00BB0F80" w:rsidRPr="003A6407" w14:paraId="76B3134E" w14:textId="77777777" w:rsidTr="00270B09">
        <w:trPr>
          <w:trHeight w:val="340"/>
        </w:trPr>
        <w:tc>
          <w:tcPr>
            <w:tcW w:w="5000" w:type="pct"/>
            <w:gridSpan w:val="8"/>
            <w:shd w:val="clear" w:color="auto" w:fill="auto"/>
          </w:tcPr>
          <w:p w14:paraId="01C5E93D"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20918614"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09D17A99" w14:textId="51C3B8F4"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 Inwestycje w środki trwałe, w tym infrastrukturę badawczą, w mikroprzedsiębiorstwach bezpośrednio związane z działaniami badawczymi i innowacyjnymi (3 695 </w:t>
            </w:r>
            <w:r w:rsidR="00154DE5" w:rsidRPr="003A6407">
              <w:rPr>
                <w:rFonts w:eastAsia="Calibri" w:cs="Times New Roman"/>
              </w:rPr>
              <w:t>70</w:t>
            </w:r>
            <w:r w:rsidR="00154DE5">
              <w:rPr>
                <w:rFonts w:eastAsia="Calibri" w:cs="Times New Roman"/>
              </w:rPr>
              <w:t>5</w:t>
            </w:r>
            <w:r w:rsidR="00154DE5" w:rsidRPr="003A6407">
              <w:rPr>
                <w:rFonts w:eastAsia="Calibri" w:cs="Times New Roman"/>
              </w:rPr>
              <w:t xml:space="preserve"> </w:t>
            </w:r>
            <w:r w:rsidRPr="003A6407">
              <w:rPr>
                <w:rFonts w:eastAsia="Calibri" w:cs="Times New Roman"/>
              </w:rPr>
              <w:t>EUR);</w:t>
            </w:r>
          </w:p>
          <w:p w14:paraId="4458F515"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 Inwestycje w środki trwałe, w tym infrastrukturę badawczą, w małych i średnich przedsiębiorstwach (w tym prywatnych organizacjach badawczych) bezpośrednio związane z działaniami badawczymi i innowacyjnymi (27 688 305 EUR);</w:t>
            </w:r>
          </w:p>
          <w:p w14:paraId="23BEF4A2"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09 Działania badawcze i innowacyjne w mikroprzedsiębiorstwach, w tym tworzenie sieci kontaktów (badania przemysłowe, eksperymentalne prace rozwojowe, studia wykonalności)</w:t>
            </w:r>
            <w:r w:rsidRPr="003A6407">
              <w:rPr>
                <w:rFonts w:eastAsia="Calibri" w:cs="Times New Roman"/>
              </w:rPr>
              <w:br/>
              <w:t>(1 478 282,00 EUR).</w:t>
            </w:r>
          </w:p>
          <w:p w14:paraId="6FBBA1B2"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(31 384 012,00 EUR).</w:t>
            </w:r>
          </w:p>
          <w:p w14:paraId="0C37285F" w14:textId="5C9B3943"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154DE5" w:rsidRPr="00154DE5">
              <w:rPr>
                <w:rFonts w:eastAsia="Calibri"/>
              </w:rPr>
              <w:t xml:space="preserve">285 896 052,80    </w:t>
            </w:r>
            <w:r w:rsidRPr="003A6407">
              <w:rPr>
                <w:rFonts w:eastAsia="Calibri"/>
              </w:rPr>
              <w:t>PLN</w:t>
            </w:r>
            <w:r w:rsidR="00412D9C" w:rsidRPr="003A6407">
              <w:rPr>
                <w:rFonts w:eastAsia="Calibri"/>
              </w:rPr>
              <w:t>.</w:t>
            </w:r>
            <w:r w:rsidR="00154DE5" w:rsidRPr="00154DE5">
              <w:rPr>
                <w:rFonts w:eastAsia="Calibri"/>
              </w:rPr>
              <w:t xml:space="preserve"> </w:t>
            </w:r>
          </w:p>
          <w:p w14:paraId="3B147DFB" w14:textId="27AE33F3"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koszt jednostkowy – nie dotyczy. Wskaźnik jest sumą wskaźników produktów o nr od RCO02 do RCO04, czyli w przypadku zakresu wsparcia CP1 cel szczegółowy i jest to tylko jeden wskaźnik, tj. RCO02. Z godnie z powyższym wartość i podejście metodologiczne do wartości wskaźnika RCO01 jest takie same jak we wskaźniku RCO02. Wskaźnik kompensacji zgodnie z przyjętym wskaźnikiem kompensacji w RCO02: </w:t>
            </w:r>
          </w:p>
          <w:p w14:paraId="1C31EC3D" w14:textId="18DE7937" w:rsidR="00BB0F80" w:rsidRPr="003A6407" w:rsidRDefault="00BB0F80" w:rsidP="00FD5A66">
            <w:pPr>
              <w:spacing w:before="60" w:after="60" w:line="240" w:lineRule="auto"/>
              <w:jc w:val="both"/>
              <w:rPr>
                <w:rFonts w:eastAsia="Calibri"/>
              </w:rPr>
            </w:pPr>
            <w:r w:rsidRPr="003A6407">
              <w:rPr>
                <w:rFonts w:eastAsia="Calibri"/>
              </w:rPr>
              <w:t xml:space="preserve">R= [(6*25)+(3*68)]/9= 39,33%. Wartość zaokrąglono do pełnej wartości 39%. </w:t>
            </w:r>
          </w:p>
          <w:p w14:paraId="4240A2C6" w14:textId="77777777" w:rsidR="00BB0F80" w:rsidRPr="003A6407" w:rsidRDefault="00BB0F80" w:rsidP="00FD5A66">
            <w:pPr>
              <w:shd w:val="clear" w:color="auto" w:fill="FFFFFF"/>
              <w:spacing w:before="60" w:after="60" w:line="240" w:lineRule="auto"/>
              <w:jc w:val="both"/>
              <w:rPr>
                <w:rFonts w:eastAsia="Calibri"/>
              </w:rPr>
            </w:pPr>
          </w:p>
          <w:p w14:paraId="44B14BC3" w14:textId="52DEA352"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Wyliczenie: RCO01=RCO02, tj. </w:t>
            </w:r>
            <w:r w:rsidR="00A32B51">
              <w:rPr>
                <w:rFonts w:eastAsia="Calibri"/>
              </w:rPr>
              <w:t>405</w:t>
            </w:r>
            <w:r w:rsidR="00A32B51" w:rsidRPr="003A6407">
              <w:rPr>
                <w:rFonts w:eastAsia="Calibri"/>
              </w:rPr>
              <w:t xml:space="preserve"> </w:t>
            </w:r>
            <w:r w:rsidRPr="003A6407">
              <w:rPr>
                <w:rFonts w:eastAsia="Calibri"/>
              </w:rPr>
              <w:t>przedsiębiorstwa</w:t>
            </w:r>
          </w:p>
          <w:p w14:paraId="60B45CC4"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 </w:t>
            </w:r>
          </w:p>
          <w:p w14:paraId="0257BEBF"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(takie jak w RCO02), które mogą mieć wpływ na poziom osiągnięcia założonej wartości docelowej:</w:t>
            </w:r>
          </w:p>
          <w:p w14:paraId="7B3D5C4E" w14:textId="77777777" w:rsidR="00BB0F80" w:rsidRPr="003A6407" w:rsidRDefault="00BB0F80" w:rsidP="00F20BCD">
            <w:pPr>
              <w:numPr>
                <w:ilvl w:val="0"/>
                <w:numId w:val="1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Ryzyko walutowe</w:t>
            </w:r>
            <w:r w:rsidRPr="003A6407">
              <w:rPr>
                <w:rFonts w:eastAsia="Calibri" w:cs="Times New Roman"/>
                <w:bCs/>
                <w:color w:val="000000"/>
              </w:rPr>
              <w:t xml:space="preserve"> – związane jest z wahaniem kursu euro. Powyższe może mieć duże znaczenie, ponieważ od tego zależy dostępność środków do wykorzystania w ramach planowanej </w:t>
            </w:r>
            <w:r w:rsidRPr="003A6407">
              <w:rPr>
                <w:rFonts w:eastAsia="Calibri" w:cs="Times New Roman"/>
                <w:bCs/>
                <w:color w:val="000000"/>
              </w:rPr>
              <w:lastRenderedPageBreak/>
              <w:t>interwencji. Wiąże się to ściśle z globalną sytuacją społeczno-gospodarczą, która ma znaczący wpływ na kursy walut; (istotność: umiarkowana);</w:t>
            </w:r>
          </w:p>
          <w:p w14:paraId="7C0B2202" w14:textId="77777777" w:rsidR="00BB0F80" w:rsidRPr="003A6407" w:rsidRDefault="00BB0F80" w:rsidP="00F20BCD">
            <w:pPr>
              <w:numPr>
                <w:ilvl w:val="0"/>
                <w:numId w:val="1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Zawieszenie płatności</w:t>
            </w:r>
            <w:r w:rsidRPr="003A6407">
              <w:rPr>
                <w:rFonts w:eastAsia="Calibri" w:cs="Times New Roman"/>
                <w:bCs/>
                <w:color w:val="000000"/>
              </w:rPr>
              <w:t xml:space="preserve"> przez KE dla danej osi priorytetowej; (istotność: umiarkowana);</w:t>
            </w:r>
          </w:p>
          <w:p w14:paraId="52249971" w14:textId="77777777" w:rsidR="00BB0F80" w:rsidRPr="003A6407" w:rsidRDefault="00BB0F80" w:rsidP="00F20BCD">
            <w:pPr>
              <w:numPr>
                <w:ilvl w:val="0"/>
                <w:numId w:val="1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Opóźnienia</w:t>
            </w:r>
            <w:r w:rsidRPr="003A6407">
              <w:rPr>
                <w:rFonts w:eastAsia="Calibri" w:cs="Times New Roman"/>
                <w:bCs/>
                <w:color w:val="000000"/>
              </w:rPr>
              <w:t xml:space="preserve">, bądź niewykonanie projektu związane z trybem konkurencyjnym i brakiem / ograniczonym dostępem do materiałów/surowców/półproduktów, </w:t>
            </w:r>
            <w:proofErr w:type="spellStart"/>
            <w:r w:rsidRPr="003A6407">
              <w:rPr>
                <w:rFonts w:eastAsia="Calibri" w:cs="Times New Roman"/>
                <w:bCs/>
                <w:color w:val="000000"/>
              </w:rPr>
              <w:t>ect</w:t>
            </w:r>
            <w:proofErr w:type="spellEnd"/>
            <w:r w:rsidRPr="003A6407">
              <w:rPr>
                <w:rFonts w:eastAsia="Calibri" w:cs="Times New Roman"/>
                <w:bCs/>
                <w:color w:val="000000"/>
              </w:rPr>
              <w:t>. (istotność: umiarkowana);</w:t>
            </w:r>
          </w:p>
          <w:p w14:paraId="611F617C" w14:textId="77777777" w:rsidR="00BB0F80" w:rsidRPr="003A6407" w:rsidRDefault="00BB0F80" w:rsidP="00F20BCD">
            <w:pPr>
              <w:numPr>
                <w:ilvl w:val="0"/>
                <w:numId w:val="1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Wpływ pandemii Covid-19</w:t>
            </w:r>
            <w:r w:rsidRPr="003A6407">
              <w:rPr>
                <w:rFonts w:eastAsia="Calibri" w:cs="Times New Roman"/>
                <w:bCs/>
                <w:color w:val="000000"/>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0BEBBF4C" w14:textId="77777777" w:rsidR="00BB0F80" w:rsidRPr="003A6407" w:rsidRDefault="00BB0F80" w:rsidP="00F20BCD">
            <w:pPr>
              <w:numPr>
                <w:ilvl w:val="0"/>
                <w:numId w:val="1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Problemy z zabezpieczeniem</w:t>
            </w:r>
            <w:r w:rsidRPr="003A6407">
              <w:rPr>
                <w:rFonts w:eastAsia="Calibri" w:cs="Times New Roman"/>
                <w:bCs/>
                <w:color w:val="000000"/>
              </w:rPr>
              <w:t xml:space="preserve"> </w:t>
            </w:r>
            <w:r w:rsidRPr="003A6407">
              <w:rPr>
                <w:rFonts w:eastAsia="Calibri" w:cs="Times New Roman"/>
                <w:b/>
                <w:color w:val="000000"/>
              </w:rPr>
              <w:t>wkładu</w:t>
            </w:r>
            <w:r w:rsidRPr="003A6407">
              <w:rPr>
                <w:rFonts w:eastAsia="Calibri" w:cs="Times New Roman"/>
                <w:bCs/>
                <w:color w:val="000000"/>
              </w:rPr>
              <w:t xml:space="preserve"> własnego wnioskodawcy (istotność: poważna); </w:t>
            </w:r>
          </w:p>
          <w:p w14:paraId="6E1673A4" w14:textId="77777777" w:rsidR="00BB0F80" w:rsidRPr="003A6407" w:rsidRDefault="00BB0F80" w:rsidP="00F20BCD">
            <w:pPr>
              <w:numPr>
                <w:ilvl w:val="0"/>
                <w:numId w:val="1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Ryzyko wzrostu cen</w:t>
            </w:r>
            <w:r w:rsidRPr="003A6407">
              <w:rPr>
                <w:rFonts w:eastAsia="Calibri" w:cs="Times New Roman"/>
                <w:bCs/>
                <w:color w:val="000000"/>
              </w:rPr>
              <w:t xml:space="preserve">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6E5F3AC9" w14:textId="77777777" w:rsidR="00BB0F80" w:rsidRPr="003A6407" w:rsidRDefault="00BB0F80" w:rsidP="00F20BCD">
            <w:pPr>
              <w:numPr>
                <w:ilvl w:val="0"/>
                <w:numId w:val="1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Brak zainteresowania oferowanym wsparciem</w:t>
            </w:r>
            <w:r w:rsidRPr="003A6407">
              <w:rPr>
                <w:rFonts w:eastAsia="Calibri" w:cs="Times New Roman"/>
                <w:bCs/>
                <w:color w:val="000000"/>
              </w:rPr>
              <w:t xml:space="preserve"> ze strony przedsiębiorstw - (istotność: poważna);</w:t>
            </w:r>
          </w:p>
          <w:p w14:paraId="565F138D" w14:textId="77777777" w:rsidR="00BB0F80" w:rsidRPr="003A6407" w:rsidRDefault="00BB0F80" w:rsidP="00F20BCD">
            <w:pPr>
              <w:numPr>
                <w:ilvl w:val="0"/>
                <w:numId w:val="1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Duplikujące się przedsiębiorstwa</w:t>
            </w:r>
            <w:r w:rsidRPr="003A6407">
              <w:rPr>
                <w:rFonts w:eastAsia="Calibri" w:cs="Times New Roman"/>
                <w:bCs/>
                <w:color w:val="000000"/>
              </w:rPr>
              <w:t xml:space="preserve"> (istotność: umiarkowana); </w:t>
            </w:r>
          </w:p>
          <w:p w14:paraId="187DDCAB" w14:textId="77777777" w:rsidR="00BB0F80" w:rsidRPr="003A6407" w:rsidRDefault="00BB0F80" w:rsidP="00F20BCD">
            <w:pPr>
              <w:numPr>
                <w:ilvl w:val="0"/>
                <w:numId w:val="1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Rozwiązane umowy o dofinansowanie</w:t>
            </w:r>
            <w:r w:rsidRPr="003A6407">
              <w:rPr>
                <w:rFonts w:eastAsia="Calibri" w:cs="Times New Roman"/>
                <w:bCs/>
                <w:color w:val="000000"/>
              </w:rPr>
              <w:t xml:space="preserve"> realizacji projektu – (istotność: umiarkowana).</w:t>
            </w:r>
          </w:p>
          <w:p w14:paraId="3F4EE864" w14:textId="77777777" w:rsidR="00BB0F80" w:rsidRPr="003A6407" w:rsidRDefault="00BB0F80" w:rsidP="00FD5A66">
            <w:pPr>
              <w:spacing w:after="0" w:line="240" w:lineRule="auto"/>
              <w:ind w:left="720"/>
              <w:contextualSpacing/>
              <w:jc w:val="both"/>
              <w:rPr>
                <w:rFonts w:eastAsia="Calibri" w:cs="Times New Roman"/>
                <w:color w:val="000000"/>
                <w:sz w:val="22"/>
                <w:szCs w:val="22"/>
              </w:rPr>
            </w:pPr>
          </w:p>
          <w:p w14:paraId="211C8CBB" w14:textId="7368E159" w:rsidR="000578C1" w:rsidRPr="003A6407" w:rsidRDefault="000578C1" w:rsidP="000578C1">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1999F8A3" w14:textId="46A701EC" w:rsidR="000578C1" w:rsidRPr="003A6407" w:rsidRDefault="000578C1" w:rsidP="000578C1">
            <w:pPr>
              <w:spacing w:after="0" w:line="240" w:lineRule="auto"/>
              <w:contextualSpacing/>
              <w:jc w:val="both"/>
              <w:rPr>
                <w:rFonts w:eastAsia="Calibri" w:cs="Times New Roman"/>
                <w:b/>
                <w:bCs/>
                <w:color w:val="000000"/>
              </w:rPr>
            </w:pPr>
            <w:r w:rsidRPr="003A6407">
              <w:rPr>
                <w:rFonts w:eastAsia="Calibri" w:cs="Times New Roman"/>
                <w:b/>
                <w:bCs/>
                <w:color w:val="000000"/>
              </w:rPr>
              <w:t xml:space="preserve"> Przeanalizowano dane historyczne z wdrażania RPO WD 2014-2020 (PI 1</w:t>
            </w:r>
            <w:r w:rsidR="00165530">
              <w:rPr>
                <w:rFonts w:eastAsia="Calibri" w:cs="Times New Roman"/>
                <w:b/>
                <w:bCs/>
                <w:color w:val="000000"/>
              </w:rPr>
              <w:t>b</w:t>
            </w:r>
            <w:r w:rsidRPr="003A6407">
              <w:rPr>
                <w:rFonts w:eastAsia="Calibri" w:cs="Times New Roman"/>
                <w:b/>
                <w:bCs/>
                <w:color w:val="000000"/>
              </w:rPr>
              <w:t xml:space="preserve">), na podstawie Sprawozdania rocznego z 2021 r. - wskaźnik pn. Inwestycje produkcyjne: Liczba przedsiębiorstw otrzymujących wsparcie (CI 1) w 2016 r. osiągnął wartość 2, co stanowi zaledwie 0,3% wartości sprawozdawanej w 2021 r. (657). </w:t>
            </w:r>
            <w:r w:rsidR="005A3B03">
              <w:rPr>
                <w:rFonts w:eastAsia="Calibri" w:cs="Times New Roman"/>
                <w:b/>
                <w:bCs/>
                <w:color w:val="000000"/>
              </w:rPr>
              <w:t xml:space="preserve">Nie mniej jednak mając na uwadze wagę wsparcia w tym zakresie </w:t>
            </w:r>
            <w:r w:rsidRPr="003A6407">
              <w:rPr>
                <w:rFonts w:eastAsia="Calibri" w:cs="Times New Roman"/>
                <w:b/>
                <w:bCs/>
                <w:color w:val="000000"/>
              </w:rPr>
              <w:t>wartość pośrednią dla tego wskaźnika ustalono</w:t>
            </w:r>
            <w:r w:rsidR="003701D5">
              <w:rPr>
                <w:rFonts w:eastAsia="Calibri" w:cs="Times New Roman"/>
                <w:b/>
                <w:bCs/>
                <w:color w:val="000000"/>
              </w:rPr>
              <w:t xml:space="preserve"> na poziomie 3% wartości docelowej, tj. </w:t>
            </w:r>
            <w:r w:rsidR="003701D5" w:rsidRPr="00A32B51">
              <w:rPr>
                <w:rFonts w:eastAsia="Calibri" w:cs="Times New Roman"/>
                <w:b/>
                <w:bCs/>
                <w:color w:val="000000"/>
              </w:rPr>
              <w:t>13</w:t>
            </w:r>
            <w:r w:rsidR="00A32B51" w:rsidRPr="00A32B51">
              <w:rPr>
                <w:rFonts w:eastAsia="Calibri" w:cs="Times New Roman"/>
                <w:color w:val="000000"/>
              </w:rPr>
              <w:t xml:space="preserve"> (w zaokrągleniu do pełnej wartości</w:t>
            </w:r>
            <w:r w:rsidR="00A32B51">
              <w:rPr>
                <w:rFonts w:eastAsia="Calibri" w:cs="Times New Roman"/>
                <w:color w:val="000000"/>
              </w:rPr>
              <w:t>)</w:t>
            </w:r>
            <w:r w:rsidRPr="00A32B51">
              <w:rPr>
                <w:rFonts w:eastAsia="Calibri" w:cs="Times New Roman"/>
                <w:color w:val="000000"/>
              </w:rPr>
              <w:t>.</w:t>
            </w:r>
          </w:p>
          <w:p w14:paraId="2F875ACC" w14:textId="513609A3" w:rsidR="000578C1" w:rsidRPr="003A6407" w:rsidRDefault="000578C1" w:rsidP="000578C1">
            <w:pPr>
              <w:spacing w:after="0" w:line="240" w:lineRule="auto"/>
              <w:contextualSpacing/>
              <w:jc w:val="both"/>
              <w:rPr>
                <w:rFonts w:eastAsia="Calibri" w:cs="Times New Roman"/>
                <w:color w:val="000000"/>
                <w:sz w:val="22"/>
                <w:szCs w:val="22"/>
              </w:rPr>
            </w:pPr>
          </w:p>
        </w:tc>
      </w:tr>
    </w:tbl>
    <w:p w14:paraId="4EF89750" w14:textId="77777777" w:rsidR="00BB0F80" w:rsidRPr="003A6407" w:rsidRDefault="00BB0F80" w:rsidP="00BC7AB7">
      <w:pPr>
        <w:pStyle w:val="Nagwek3"/>
        <w:rPr>
          <w:rFonts w:eastAsia="Calibri"/>
        </w:rPr>
      </w:pPr>
      <w:bookmarkStart w:id="40" w:name="_Hlk95227415"/>
      <w:bookmarkEnd w:id="36"/>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4E160BF8" w14:textId="77777777" w:rsidTr="00412D9C">
        <w:trPr>
          <w:cantSplit/>
          <w:trHeight w:val="1647"/>
        </w:trPr>
        <w:tc>
          <w:tcPr>
            <w:tcW w:w="451" w:type="pct"/>
            <w:shd w:val="clear" w:color="auto" w:fill="auto"/>
            <w:vAlign w:val="center"/>
          </w:tcPr>
          <w:p w14:paraId="31D1BB32"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56072C8D" w14:textId="29DCFCA3"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6C4510AF"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309E0642"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3962CF0B" w14:textId="77777777" w:rsidR="00BB0F80" w:rsidRPr="003A6407" w:rsidRDefault="00BB0F80" w:rsidP="00412D9C">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1EADB443" w14:textId="1DD4C1E6"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08E92AF6"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7421D0D1"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5054DDA2"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2C7657E"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168D8438" w14:textId="77777777" w:rsidR="00BB0F80" w:rsidRPr="003A6407" w:rsidRDefault="00BB0F80" w:rsidP="00412D9C">
            <w:pPr>
              <w:shd w:val="clear" w:color="auto" w:fill="FFFFFF"/>
              <w:spacing w:before="120" w:after="120" w:line="240" w:lineRule="auto"/>
              <w:jc w:val="center"/>
              <w:rPr>
                <w:rFonts w:eastAsia="Calibri" w:cs="Times New Roman"/>
                <w:b/>
                <w:noProof/>
                <w:sz w:val="16"/>
                <w:szCs w:val="16"/>
              </w:rPr>
            </w:pPr>
          </w:p>
        </w:tc>
      </w:tr>
      <w:tr w:rsidR="00BB0F80" w:rsidRPr="003A6407" w14:paraId="4F24632A" w14:textId="77777777" w:rsidTr="00412D9C">
        <w:trPr>
          <w:trHeight w:val="340"/>
        </w:trPr>
        <w:tc>
          <w:tcPr>
            <w:tcW w:w="451" w:type="pct"/>
            <w:shd w:val="clear" w:color="auto" w:fill="auto"/>
            <w:vAlign w:val="center"/>
          </w:tcPr>
          <w:p w14:paraId="41662D8B" w14:textId="77777777" w:rsidR="00BB0F80"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3ED608B4" w14:textId="517B1BB1" w:rsidR="00572DDA" w:rsidRPr="003A6407" w:rsidRDefault="00572DDA"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3418B28A" w14:textId="77777777" w:rsidR="00BB0F80" w:rsidRPr="003A6407"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3286271C" w14:textId="77777777" w:rsidR="00BB0F80" w:rsidRPr="003A6407"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5F9721E1" w14:textId="3C2880F4" w:rsidR="00BB0F80" w:rsidRPr="003A6407" w:rsidRDefault="00BB0F80" w:rsidP="00412D9C">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RCO02</w:t>
            </w:r>
          </w:p>
        </w:tc>
        <w:tc>
          <w:tcPr>
            <w:tcW w:w="1206" w:type="pct"/>
            <w:shd w:val="clear" w:color="auto" w:fill="auto"/>
            <w:vAlign w:val="center"/>
          </w:tcPr>
          <w:p w14:paraId="43FBA43B" w14:textId="77777777" w:rsidR="00BB0F80" w:rsidRPr="003A6407" w:rsidRDefault="00BB0F80" w:rsidP="00412D9C">
            <w:pPr>
              <w:keepNext/>
              <w:keepLines/>
              <w:spacing w:before="200" w:after="0"/>
              <w:jc w:val="center"/>
              <w:outlineLvl w:val="2"/>
              <w:rPr>
                <w:b/>
                <w:bCs/>
              </w:rPr>
            </w:pPr>
            <w:bookmarkStart w:id="41" w:name="_Toc97127011"/>
            <w:bookmarkStart w:id="42" w:name="_Toc114662351"/>
            <w:bookmarkStart w:id="43" w:name="_Toc120464355"/>
            <w:r w:rsidRPr="003A6407">
              <w:rPr>
                <w:rFonts w:asciiTheme="minorHAnsi" w:eastAsia="Times New Roman" w:hAnsiTheme="minorHAnsi" w:cstheme="minorHAnsi"/>
                <w:bCs/>
                <w:noProof/>
              </w:rPr>
              <w:t>Przedsiębiorstwa objęte wsparciem w formie dotacji</w:t>
            </w:r>
            <w:bookmarkEnd w:id="41"/>
            <w:bookmarkEnd w:id="42"/>
            <w:bookmarkEnd w:id="43"/>
          </w:p>
        </w:tc>
        <w:tc>
          <w:tcPr>
            <w:tcW w:w="884" w:type="pct"/>
            <w:shd w:val="clear" w:color="auto" w:fill="auto"/>
            <w:vAlign w:val="center"/>
          </w:tcPr>
          <w:p w14:paraId="27D85010" w14:textId="78E7F2A5" w:rsidR="00BB0F80" w:rsidRPr="003A6407" w:rsidRDefault="00533365"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przedsiębiorstwa</w:t>
            </w:r>
          </w:p>
        </w:tc>
        <w:tc>
          <w:tcPr>
            <w:tcW w:w="482" w:type="pct"/>
            <w:shd w:val="clear" w:color="auto" w:fill="auto"/>
            <w:vAlign w:val="center"/>
          </w:tcPr>
          <w:p w14:paraId="30844D7B" w14:textId="75549442" w:rsidR="00BB0F80" w:rsidRPr="003A6407" w:rsidRDefault="003701D5"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13</w:t>
            </w:r>
            <w:r w:rsidR="00890103" w:rsidRPr="003A6407">
              <w:rPr>
                <w:rFonts w:eastAsia="Calibri" w:cs="Times New Roman"/>
                <w:noProof/>
                <w:sz w:val="16"/>
                <w:szCs w:val="16"/>
              </w:rPr>
              <w:t>,00</w:t>
            </w:r>
          </w:p>
        </w:tc>
        <w:tc>
          <w:tcPr>
            <w:tcW w:w="502" w:type="pct"/>
            <w:shd w:val="clear" w:color="auto" w:fill="auto"/>
            <w:vAlign w:val="center"/>
          </w:tcPr>
          <w:p w14:paraId="5E9D2F17" w14:textId="422C7082" w:rsidR="00BB0F80" w:rsidRPr="003A6407" w:rsidRDefault="00A32B51" w:rsidP="00412D9C">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405</w:t>
            </w:r>
            <w:r w:rsidR="00412D9C" w:rsidRPr="003A6407">
              <w:rPr>
                <w:rFonts w:eastAsia="Calibri" w:cs="Times New Roman"/>
                <w:noProof/>
                <w:sz w:val="16"/>
                <w:szCs w:val="16"/>
              </w:rPr>
              <w:t>,00</w:t>
            </w:r>
          </w:p>
        </w:tc>
      </w:tr>
      <w:tr w:rsidR="00BB0F80" w:rsidRPr="003A6407" w14:paraId="247221EA" w14:textId="77777777" w:rsidTr="00270B09">
        <w:trPr>
          <w:trHeight w:val="340"/>
        </w:trPr>
        <w:tc>
          <w:tcPr>
            <w:tcW w:w="5000" w:type="pct"/>
            <w:gridSpan w:val="8"/>
            <w:shd w:val="clear" w:color="auto" w:fill="auto"/>
          </w:tcPr>
          <w:p w14:paraId="41FD2BFB"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288D2157"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4944C253" w14:textId="48C88C9B" w:rsidR="00BB0F80" w:rsidRPr="003A6407" w:rsidRDefault="00BB0F80" w:rsidP="00F20BCD">
            <w:pPr>
              <w:numPr>
                <w:ilvl w:val="0"/>
                <w:numId w:val="15"/>
              </w:numPr>
              <w:shd w:val="clear" w:color="auto" w:fill="FFFFFF"/>
              <w:spacing w:before="60" w:after="60" w:line="240" w:lineRule="auto"/>
              <w:contextualSpacing/>
              <w:jc w:val="both"/>
              <w:rPr>
                <w:rFonts w:eastAsia="Calibri" w:cs="Times New Roman"/>
                <w:b/>
                <w:bCs/>
              </w:rPr>
            </w:pPr>
            <w:r w:rsidRPr="003A6407">
              <w:rPr>
                <w:rFonts w:eastAsia="Calibri" w:cs="Times New Roman"/>
              </w:rPr>
              <w:t xml:space="preserve">01 Inwestycje w środki trwałe, w tym infrastrukturę badawczą, w mikroprzedsiębiorstwach bezpośrednio związane z działaniami badawczymi i innowacyjnymi (3 695 </w:t>
            </w:r>
            <w:r w:rsidR="00154DE5" w:rsidRPr="003A6407">
              <w:rPr>
                <w:rFonts w:eastAsia="Calibri" w:cs="Times New Roman"/>
              </w:rPr>
              <w:t>70</w:t>
            </w:r>
            <w:r w:rsidR="00154DE5">
              <w:rPr>
                <w:rFonts w:eastAsia="Calibri" w:cs="Times New Roman"/>
              </w:rPr>
              <w:t>5</w:t>
            </w:r>
            <w:r w:rsidR="00154DE5" w:rsidRPr="003A6407">
              <w:rPr>
                <w:rFonts w:eastAsia="Calibri" w:cs="Times New Roman"/>
              </w:rPr>
              <w:t xml:space="preserve"> </w:t>
            </w:r>
            <w:r w:rsidRPr="003A6407">
              <w:rPr>
                <w:rFonts w:eastAsia="Calibri" w:cs="Times New Roman"/>
              </w:rPr>
              <w:t xml:space="preserve">EUR); </w:t>
            </w:r>
          </w:p>
          <w:p w14:paraId="6DDFBB13" w14:textId="77777777" w:rsidR="00BB0F80" w:rsidRPr="003A6407" w:rsidRDefault="00BB0F80" w:rsidP="00F20BCD">
            <w:pPr>
              <w:numPr>
                <w:ilvl w:val="0"/>
                <w:numId w:val="15"/>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02 Inwestycje w środki trwałe, w tym infrastrukturę badawczą, w małych i średnich przedsiębiorstwach (w tym prywatnych organizacjach badawczych) bezpośrednio związane z działaniami badawczymi i innowacyjnymi (27 688 305 EUR); </w:t>
            </w:r>
          </w:p>
          <w:p w14:paraId="3B18A856" w14:textId="77777777" w:rsidR="00BB0F80" w:rsidRPr="003A6407" w:rsidRDefault="00BB0F80" w:rsidP="00F20BCD">
            <w:pPr>
              <w:numPr>
                <w:ilvl w:val="0"/>
                <w:numId w:val="15"/>
              </w:numPr>
              <w:shd w:val="clear" w:color="auto" w:fill="FFFFFF"/>
              <w:spacing w:before="60" w:after="60" w:line="240" w:lineRule="auto"/>
              <w:contextualSpacing/>
              <w:jc w:val="both"/>
              <w:rPr>
                <w:rFonts w:eastAsia="Calibri" w:cs="Times New Roman"/>
              </w:rPr>
            </w:pPr>
            <w:r w:rsidRPr="003A6407">
              <w:rPr>
                <w:rFonts w:eastAsia="Calibri" w:cs="Times New Roman"/>
              </w:rPr>
              <w:t>09 Działania badawcze i innowacyjne w mikroprzedsiębiorstwach, w tym tworzenie sieci kontaktów (badania przemysłowe, eksperymentalne prace rozwojowe, studia wykonalności)</w:t>
            </w:r>
            <w:r w:rsidRPr="003A6407">
              <w:rPr>
                <w:rFonts w:eastAsia="Calibri" w:cs="Times New Roman"/>
              </w:rPr>
              <w:br/>
              <w:t xml:space="preserve">(1 478 282,00 EUR); </w:t>
            </w:r>
          </w:p>
          <w:p w14:paraId="3BFEBC64" w14:textId="77777777" w:rsidR="00BB0F80" w:rsidRPr="003A6407" w:rsidRDefault="00BB0F80" w:rsidP="00F20BCD">
            <w:pPr>
              <w:numPr>
                <w:ilvl w:val="0"/>
                <w:numId w:val="15"/>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(31 384 012,00 EUR).</w:t>
            </w:r>
          </w:p>
          <w:p w14:paraId="368E174E"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Na potrzeby wyliczenia wartości wskaźnika, przyjęto założenie, że wskaźnik RCO02 składa się z komponentu grantowego oraz komponentu dotyczącego klasycznej dotacji.</w:t>
            </w:r>
          </w:p>
          <w:p w14:paraId="0420D00D"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 związku z powyższym:</w:t>
            </w:r>
          </w:p>
          <w:p w14:paraId="79DA257C" w14:textId="7AA73718"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 </w:t>
            </w:r>
            <w:r w:rsidRPr="003A6407">
              <w:rPr>
                <w:rFonts w:eastAsia="Calibri"/>
                <w:b/>
                <w:bCs/>
              </w:rPr>
              <w:t>komponentowi dot. klasycznej dotacji</w:t>
            </w:r>
            <w:r w:rsidRPr="003A6407">
              <w:rPr>
                <w:rFonts w:eastAsia="Calibri"/>
              </w:rPr>
              <w:t xml:space="preserve"> przypisano alokację kodu 01+02 (100%) +9+10 (85%) </w:t>
            </w:r>
            <w:r w:rsidRPr="003A6407">
              <w:rPr>
                <w:rFonts w:eastAsia="Calibri"/>
                <w:b/>
                <w:bCs/>
              </w:rPr>
              <w:t xml:space="preserve">= 59 316 </w:t>
            </w:r>
            <w:r w:rsidR="00154DE5" w:rsidRPr="003A6407">
              <w:rPr>
                <w:rFonts w:eastAsia="Calibri"/>
                <w:b/>
                <w:bCs/>
              </w:rPr>
              <w:t>9</w:t>
            </w:r>
            <w:r w:rsidR="00154DE5">
              <w:rPr>
                <w:rFonts w:eastAsia="Calibri"/>
                <w:b/>
                <w:bCs/>
              </w:rPr>
              <w:t>59</w:t>
            </w:r>
            <w:r w:rsidRPr="003A6407">
              <w:rPr>
                <w:rFonts w:eastAsia="Calibri"/>
                <w:b/>
                <w:bCs/>
              </w:rPr>
              <w:t>,9 EUR</w:t>
            </w:r>
            <w:r w:rsidRPr="003A6407">
              <w:rPr>
                <w:rFonts w:eastAsia="Calibri"/>
              </w:rPr>
              <w:t xml:space="preserve">, tj. </w:t>
            </w:r>
            <w:r w:rsidR="00154DE5" w:rsidRPr="00154DE5">
              <w:rPr>
                <w:rFonts w:eastAsia="Calibri"/>
              </w:rPr>
              <w:t xml:space="preserve">263 960 471,56 </w:t>
            </w:r>
            <w:r w:rsidRPr="003A6407">
              <w:rPr>
                <w:rFonts w:eastAsia="Calibri"/>
              </w:rPr>
              <w:t>PLN (kurs EUR na poziomie 4,45)</w:t>
            </w:r>
          </w:p>
          <w:p w14:paraId="40DD110A" w14:textId="4B3C0C8D" w:rsidR="00BB0F80" w:rsidRPr="003A6407" w:rsidRDefault="00BB0F80" w:rsidP="00FD5A66">
            <w:pPr>
              <w:shd w:val="clear" w:color="auto" w:fill="FFFFFF"/>
              <w:spacing w:before="60" w:after="60" w:line="240" w:lineRule="auto"/>
              <w:jc w:val="both"/>
              <w:rPr>
                <w:rFonts w:eastAsia="Calibri"/>
              </w:rPr>
            </w:pPr>
            <w:r w:rsidRPr="003A6407">
              <w:rPr>
                <w:rFonts w:eastAsia="Calibri"/>
                <w:color w:val="000000"/>
              </w:rPr>
              <w:t xml:space="preserve">- </w:t>
            </w:r>
            <w:r w:rsidRPr="003A6407">
              <w:rPr>
                <w:rFonts w:eastAsia="Calibri"/>
                <w:b/>
                <w:bCs/>
                <w:color w:val="000000"/>
              </w:rPr>
              <w:t>komponentowi grantowemu</w:t>
            </w:r>
            <w:r w:rsidRPr="003A6407">
              <w:rPr>
                <w:rFonts w:eastAsia="Calibri"/>
                <w:color w:val="000000"/>
              </w:rPr>
              <w:t xml:space="preserve"> przypisano alokację kodu 9+10 (15%) = </w:t>
            </w:r>
            <w:r w:rsidRPr="003A6407">
              <w:rPr>
                <w:rFonts w:eastAsia="Calibri"/>
                <w:b/>
                <w:bCs/>
                <w:color w:val="000000"/>
              </w:rPr>
              <w:t>4 929 344,10 EUR</w:t>
            </w:r>
            <w:r w:rsidRPr="003A6407">
              <w:rPr>
                <w:rFonts w:eastAsia="Calibri"/>
                <w:color w:val="000000"/>
              </w:rPr>
              <w:t xml:space="preserve">, tj. 21 935 581,25 PLN </w:t>
            </w:r>
            <w:r w:rsidRPr="003A6407">
              <w:rPr>
                <w:rFonts w:eastAsia="Calibri"/>
              </w:rPr>
              <w:t>(kurs EUR na poziomie 4,45)</w:t>
            </w:r>
          </w:p>
          <w:p w14:paraId="7BE3845F" w14:textId="77777777" w:rsidR="00BB0F80" w:rsidRPr="003A6407" w:rsidRDefault="00BB0F80" w:rsidP="00FD5A66">
            <w:pPr>
              <w:shd w:val="clear" w:color="auto" w:fill="FFFFFF"/>
              <w:spacing w:before="60" w:after="60" w:line="240" w:lineRule="auto"/>
              <w:jc w:val="both"/>
              <w:rPr>
                <w:rFonts w:eastAsia="Calibri"/>
              </w:rPr>
            </w:pPr>
          </w:p>
          <w:p w14:paraId="625A2540" w14:textId="499743F4"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t>
            </w:r>
            <w:r w:rsidRPr="003A6407">
              <w:rPr>
                <w:rFonts w:eastAsia="Calibri"/>
                <w:b/>
                <w:bCs/>
              </w:rPr>
              <w:t>dla komponentu dotyczącego klasycznej dotacji</w:t>
            </w:r>
            <w:r w:rsidRPr="003A6407">
              <w:rPr>
                <w:rFonts w:eastAsia="Calibri"/>
              </w:rPr>
              <w:t xml:space="preserve"> wynosi 1 975 860,68 PLN. Koszt jednostkowy został skorygowany w oparciu o wartość inflacji na poziomie 15% i wynosi 2 272 239,79 PLN, a uwzgledniający wartość dofinansowania na poziomie 6</w:t>
            </w:r>
            <w:r w:rsidR="00A32B51">
              <w:rPr>
                <w:rFonts w:eastAsia="Calibri"/>
              </w:rPr>
              <w:t>8</w:t>
            </w:r>
            <w:r w:rsidRPr="003A6407">
              <w:rPr>
                <w:rFonts w:eastAsia="Calibri"/>
              </w:rPr>
              <w:t xml:space="preserve">%* wynosi </w:t>
            </w:r>
            <w:r w:rsidR="00A32B51" w:rsidRPr="00A32B51">
              <w:rPr>
                <w:rFonts w:eastAsia="Calibri"/>
              </w:rPr>
              <w:t xml:space="preserve">1 545 123,05 </w:t>
            </w:r>
            <w:r w:rsidRPr="003A6407">
              <w:rPr>
                <w:rFonts w:eastAsia="Calibri"/>
              </w:rPr>
              <w:t xml:space="preserve">PLN, tj. </w:t>
            </w:r>
            <w:r w:rsidR="00A32B51" w:rsidRPr="00A32B51">
              <w:rPr>
                <w:rFonts w:eastAsia="Calibri"/>
                <w:b/>
                <w:bCs/>
              </w:rPr>
              <w:t xml:space="preserve">347 218,66 </w:t>
            </w:r>
            <w:r w:rsidRPr="003A6407">
              <w:rPr>
                <w:rFonts w:eastAsia="Calibri"/>
                <w:b/>
                <w:bCs/>
              </w:rPr>
              <w:t>EUR</w:t>
            </w:r>
            <w:r w:rsidRPr="003A6407">
              <w:rPr>
                <w:rFonts w:eastAsia="Calibri"/>
              </w:rPr>
              <w:t xml:space="preserve">. Na podstawie tych danych wyliczono wartość wskaźnika w zakresie komponentu dot. klasycznej dotacji. </w:t>
            </w:r>
          </w:p>
          <w:p w14:paraId="3753E217" w14:textId="7356C4CB" w:rsidR="00BB0F80" w:rsidRPr="003A6407" w:rsidRDefault="00BB0F80" w:rsidP="00FD5A66">
            <w:pPr>
              <w:shd w:val="clear" w:color="auto" w:fill="FFFFFF"/>
              <w:spacing w:before="60" w:after="60" w:line="240" w:lineRule="auto"/>
              <w:jc w:val="both"/>
              <w:rPr>
                <w:rFonts w:eastAsia="Calibri"/>
              </w:rPr>
            </w:pPr>
            <w:r w:rsidRPr="003A6407">
              <w:rPr>
                <w:rFonts w:eastAsia="Calibri"/>
              </w:rPr>
              <w:t>* średni</w:t>
            </w:r>
            <w:r w:rsidR="00412D9C" w:rsidRPr="003A6407">
              <w:rPr>
                <w:rFonts w:eastAsia="Calibri"/>
              </w:rPr>
              <w:t>%</w:t>
            </w:r>
            <w:r w:rsidRPr="003A6407">
              <w:rPr>
                <w:rFonts w:eastAsia="Calibri"/>
              </w:rPr>
              <w:t xml:space="preserve"> poziomu dofinansowania przypadający na projekty w perspektywie 2014-2020 (działanie 1.2 schemat A,B,C</w:t>
            </w:r>
            <w:r w:rsidR="00A32B51">
              <w:rPr>
                <w:rFonts w:eastAsia="Calibri"/>
              </w:rPr>
              <w:t>,E</w:t>
            </w:r>
            <w:r w:rsidRPr="003A6407">
              <w:rPr>
                <w:rFonts w:eastAsia="Calibri"/>
              </w:rPr>
              <w:t>) tj. w analogicznym zakresie wsparcia jak w CP1 i.</w:t>
            </w:r>
          </w:p>
          <w:p w14:paraId="28155E07" w14:textId="77777777" w:rsidR="00BB0F80" w:rsidRPr="003A6407" w:rsidRDefault="00BB0F80" w:rsidP="00FD5A66">
            <w:pPr>
              <w:shd w:val="clear" w:color="auto" w:fill="FFFFFF"/>
              <w:spacing w:before="60" w:after="60" w:line="240" w:lineRule="auto"/>
              <w:jc w:val="both"/>
              <w:rPr>
                <w:rFonts w:eastAsia="Calibri"/>
              </w:rPr>
            </w:pPr>
          </w:p>
          <w:p w14:paraId="56C50BEE" w14:textId="711ADF11"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t>
            </w:r>
            <w:r w:rsidRPr="003A6407">
              <w:rPr>
                <w:rFonts w:eastAsia="Calibri"/>
                <w:b/>
                <w:bCs/>
              </w:rPr>
              <w:t>dla komponentu grantowego</w:t>
            </w:r>
            <w:r w:rsidRPr="003A6407">
              <w:rPr>
                <w:rFonts w:eastAsia="Calibri"/>
              </w:rPr>
              <w:t xml:space="preserve"> wynosi 56 824,63 PLN. Koszt jednostkowy został skorygowany w oparciu o wartość inflacji na poziomie 15% i wynosi 65 348,32 a uwzgledniający wartość dofinansowania na poziomie 6</w:t>
            </w:r>
            <w:r w:rsidR="00A32B51">
              <w:rPr>
                <w:rFonts w:eastAsia="Calibri"/>
              </w:rPr>
              <w:t>8</w:t>
            </w:r>
            <w:r w:rsidRPr="003A6407">
              <w:rPr>
                <w:rFonts w:eastAsia="Calibri"/>
              </w:rPr>
              <w:t xml:space="preserve">%* wynosi </w:t>
            </w:r>
            <w:r w:rsidR="00A32B51" w:rsidRPr="00A32B51">
              <w:rPr>
                <w:rFonts w:eastAsia="Calibri"/>
              </w:rPr>
              <w:t xml:space="preserve">44 436,86 </w:t>
            </w:r>
            <w:r w:rsidRPr="003A6407">
              <w:rPr>
                <w:rFonts w:eastAsia="Calibri"/>
              </w:rPr>
              <w:t xml:space="preserve">PLN, tj. </w:t>
            </w:r>
            <w:r w:rsidR="00A32B51" w:rsidRPr="00A32B51">
              <w:rPr>
                <w:rFonts w:eastAsia="Calibri"/>
                <w:b/>
                <w:bCs/>
              </w:rPr>
              <w:t xml:space="preserve">9 985,81 </w:t>
            </w:r>
            <w:r w:rsidRPr="003A6407">
              <w:rPr>
                <w:rFonts w:eastAsia="Calibri"/>
                <w:b/>
                <w:bCs/>
              </w:rPr>
              <w:t>EUR</w:t>
            </w:r>
            <w:r w:rsidRPr="003A6407">
              <w:rPr>
                <w:rFonts w:eastAsia="Calibri"/>
              </w:rPr>
              <w:t>. Na podstawie tych danych wyliczono wartość wskaźnika w zakresie komponentu grantowego.</w:t>
            </w:r>
          </w:p>
          <w:p w14:paraId="60679E0C" w14:textId="69D28448" w:rsidR="00BB0F80" w:rsidRPr="003A6407" w:rsidRDefault="00BB0F80" w:rsidP="00FD5A66">
            <w:pPr>
              <w:shd w:val="clear" w:color="auto" w:fill="FFFFFF"/>
              <w:spacing w:before="60" w:after="60" w:line="240" w:lineRule="auto"/>
              <w:jc w:val="both"/>
              <w:rPr>
                <w:rFonts w:eastAsia="Calibri"/>
              </w:rPr>
            </w:pPr>
            <w:r w:rsidRPr="003A6407">
              <w:rPr>
                <w:rFonts w:eastAsia="Calibri"/>
              </w:rPr>
              <w:t>*średni</w:t>
            </w:r>
            <w:r w:rsidR="00412D9C" w:rsidRPr="003A6407">
              <w:rPr>
                <w:rFonts w:eastAsia="Calibri"/>
              </w:rPr>
              <w:t>%</w:t>
            </w:r>
            <w:r w:rsidRPr="003A6407">
              <w:rPr>
                <w:rFonts w:eastAsia="Calibri"/>
              </w:rPr>
              <w:t xml:space="preserve"> poziomu dofinansowania przypadający na projekty w perspektywie 2014-2020 (działanie 1.2 schemat A,B,C</w:t>
            </w:r>
            <w:r w:rsidR="00A32B51">
              <w:rPr>
                <w:rFonts w:eastAsia="Calibri"/>
              </w:rPr>
              <w:t>,E</w:t>
            </w:r>
            <w:r w:rsidRPr="003A6407">
              <w:rPr>
                <w:rFonts w:eastAsia="Calibri"/>
              </w:rPr>
              <w:t>) tj. w analogicznym zakresie wsparcia jak w CP1 i.</w:t>
            </w:r>
          </w:p>
          <w:p w14:paraId="0227247B" w14:textId="77777777" w:rsidR="00BB0F80" w:rsidRPr="003A6407" w:rsidRDefault="00BB0F80" w:rsidP="00FD5A66">
            <w:pPr>
              <w:shd w:val="clear" w:color="auto" w:fill="FFFFFF"/>
              <w:spacing w:before="60" w:after="60" w:line="240" w:lineRule="auto"/>
              <w:jc w:val="both"/>
              <w:rPr>
                <w:rFonts w:eastAsia="Calibri"/>
              </w:rPr>
            </w:pPr>
          </w:p>
          <w:p w14:paraId="32AF284C"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04A9CC7F" w14:textId="2803C463" w:rsidR="00BB0F80" w:rsidRPr="003A6407" w:rsidRDefault="00BB0F80" w:rsidP="00FD5A66">
            <w:pPr>
              <w:shd w:val="clear" w:color="auto" w:fill="FFFFFF"/>
              <w:spacing w:before="60" w:after="60" w:line="240" w:lineRule="auto"/>
              <w:jc w:val="both"/>
              <w:rPr>
                <w:rFonts w:eastAsia="Calibri"/>
              </w:rPr>
            </w:pPr>
            <w:r w:rsidRPr="003A6407">
              <w:rPr>
                <w:rFonts w:eastAsia="Calibri"/>
              </w:rPr>
              <w:t>R= [(6*25)+(3*68)]/9= 39,33</w:t>
            </w:r>
            <w:r w:rsidR="00412D9C" w:rsidRPr="003A6407">
              <w:rPr>
                <w:rFonts w:eastAsia="Calibri"/>
              </w:rPr>
              <w:t>%</w:t>
            </w:r>
            <w:r w:rsidRPr="003A6407">
              <w:rPr>
                <w:rFonts w:eastAsia="Calibri"/>
              </w:rPr>
              <w:t>. Wartość zaokrąglono do pełnej wartości 39</w:t>
            </w:r>
            <w:r w:rsidR="00412D9C" w:rsidRPr="003A6407">
              <w:rPr>
                <w:rFonts w:eastAsia="Calibri"/>
              </w:rPr>
              <w:t>%</w:t>
            </w:r>
            <w:r w:rsidRPr="003A6407">
              <w:rPr>
                <w:rFonts w:eastAsia="Calibri"/>
              </w:rPr>
              <w:t xml:space="preserve">. </w:t>
            </w:r>
          </w:p>
          <w:p w14:paraId="0116E94D" w14:textId="77777777" w:rsidR="00BB0F80" w:rsidRPr="003A6407" w:rsidRDefault="00BB0F80" w:rsidP="00FD5A66">
            <w:pPr>
              <w:shd w:val="clear" w:color="auto" w:fill="FFFFFF"/>
              <w:spacing w:before="60" w:after="60" w:line="240" w:lineRule="auto"/>
              <w:jc w:val="both"/>
              <w:rPr>
                <w:rFonts w:eastAsia="Calibri"/>
              </w:rPr>
            </w:pPr>
          </w:p>
          <w:p w14:paraId="6700D52F"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25FF5E58" w14:textId="77777777" w:rsidR="00BB0F80" w:rsidRPr="003A6407" w:rsidRDefault="00BB0F80" w:rsidP="00FD5A66">
            <w:pPr>
              <w:shd w:val="clear" w:color="auto" w:fill="FFFFFF"/>
              <w:spacing w:before="60" w:after="60" w:line="240" w:lineRule="auto"/>
              <w:jc w:val="both"/>
              <w:rPr>
                <w:rFonts w:eastAsia="Calibri"/>
                <w:b/>
                <w:bCs/>
              </w:rPr>
            </w:pPr>
            <w:r w:rsidRPr="003A6407">
              <w:rPr>
                <w:rFonts w:eastAsia="Calibri"/>
                <w:b/>
                <w:bCs/>
              </w:rPr>
              <w:t>Komponent dot. klasycznej dotacji</w:t>
            </w:r>
          </w:p>
          <w:p w14:paraId="50D314FC" w14:textId="4356B8A5"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59 316 </w:t>
            </w:r>
            <w:r w:rsidR="009423A5" w:rsidRPr="003A6407">
              <w:rPr>
                <w:rFonts w:eastAsia="Calibri"/>
              </w:rPr>
              <w:t>9</w:t>
            </w:r>
            <w:r w:rsidR="009423A5">
              <w:rPr>
                <w:rFonts w:eastAsia="Calibri"/>
              </w:rPr>
              <w:t>59</w:t>
            </w:r>
            <w:r w:rsidRPr="003A6407">
              <w:rPr>
                <w:rFonts w:eastAsia="Calibri"/>
              </w:rPr>
              <w:t xml:space="preserve">,9/ </w:t>
            </w:r>
            <w:r w:rsidR="00A32B51" w:rsidRPr="00A32B51">
              <w:rPr>
                <w:rFonts w:eastAsia="Calibri"/>
              </w:rPr>
              <w:t xml:space="preserve">347 218,66 </w:t>
            </w:r>
            <w:r w:rsidRPr="003A6407">
              <w:rPr>
                <w:rFonts w:eastAsia="Calibri"/>
              </w:rPr>
              <w:t>* (1-0,39) = 10</w:t>
            </w:r>
            <w:r w:rsidR="00A32B51">
              <w:rPr>
                <w:rFonts w:eastAsia="Calibri"/>
              </w:rPr>
              <w:t>4</w:t>
            </w:r>
            <w:r w:rsidRPr="003A6407">
              <w:rPr>
                <w:rFonts w:eastAsia="Calibri"/>
              </w:rPr>
              <w:t xml:space="preserve"> przedsiębiorstwa </w:t>
            </w:r>
          </w:p>
          <w:p w14:paraId="4CD8D82B" w14:textId="77777777" w:rsidR="00BB0F80" w:rsidRPr="003A6407" w:rsidRDefault="00BB0F80" w:rsidP="00FD5A66">
            <w:pPr>
              <w:shd w:val="clear" w:color="auto" w:fill="FFFFFF"/>
              <w:spacing w:before="60" w:after="60" w:line="240" w:lineRule="auto"/>
              <w:jc w:val="both"/>
              <w:rPr>
                <w:rFonts w:eastAsia="Calibri"/>
              </w:rPr>
            </w:pPr>
          </w:p>
          <w:p w14:paraId="35E9D48B" w14:textId="77777777" w:rsidR="00BB0F80" w:rsidRPr="003A6407" w:rsidRDefault="00BB0F80" w:rsidP="00FD5A66">
            <w:pPr>
              <w:shd w:val="clear" w:color="auto" w:fill="FFFFFF"/>
              <w:spacing w:before="60" w:after="60" w:line="240" w:lineRule="auto"/>
              <w:jc w:val="both"/>
              <w:rPr>
                <w:rFonts w:eastAsia="Calibri"/>
                <w:b/>
                <w:bCs/>
              </w:rPr>
            </w:pPr>
            <w:r w:rsidRPr="003A6407">
              <w:rPr>
                <w:rFonts w:eastAsia="Calibri"/>
                <w:b/>
                <w:bCs/>
              </w:rPr>
              <w:t>Komponent grantowy</w:t>
            </w:r>
          </w:p>
          <w:p w14:paraId="668BBA0D" w14:textId="3804CFAA"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4 929 344,10/ </w:t>
            </w:r>
            <w:r w:rsidR="00A32B51" w:rsidRPr="00A32B51">
              <w:rPr>
                <w:rFonts w:eastAsia="Calibri"/>
              </w:rPr>
              <w:t xml:space="preserve">9 985,81 </w:t>
            </w:r>
            <w:r w:rsidRPr="003A6407">
              <w:rPr>
                <w:rFonts w:eastAsia="Calibri"/>
              </w:rPr>
              <w:t xml:space="preserve">* (1-0,39) = </w:t>
            </w:r>
            <w:r w:rsidR="00A32B51">
              <w:rPr>
                <w:rFonts w:eastAsia="Calibri"/>
              </w:rPr>
              <w:t>301</w:t>
            </w:r>
            <w:r w:rsidR="00A32B51" w:rsidRPr="003A6407">
              <w:rPr>
                <w:rFonts w:eastAsia="Calibri"/>
              </w:rPr>
              <w:t xml:space="preserve"> </w:t>
            </w:r>
            <w:r w:rsidRPr="003A6407">
              <w:rPr>
                <w:rFonts w:eastAsia="Calibri"/>
              </w:rPr>
              <w:t xml:space="preserve">przedsiębiorstwa </w:t>
            </w:r>
          </w:p>
          <w:p w14:paraId="196D7199" w14:textId="77777777" w:rsidR="00BB0F80" w:rsidRPr="003A6407" w:rsidRDefault="00BB0F80" w:rsidP="00FD5A66">
            <w:pPr>
              <w:shd w:val="clear" w:color="auto" w:fill="FFFFFF"/>
              <w:spacing w:before="60" w:after="60" w:line="240" w:lineRule="auto"/>
              <w:jc w:val="both"/>
              <w:rPr>
                <w:rFonts w:eastAsia="Calibri"/>
              </w:rPr>
            </w:pPr>
          </w:p>
          <w:p w14:paraId="16ABAB23" w14:textId="2B9F9057" w:rsidR="00BB0F80" w:rsidRPr="003A6407" w:rsidRDefault="00BB0F80" w:rsidP="00FD5A66">
            <w:pPr>
              <w:shd w:val="clear" w:color="auto" w:fill="FFFFFF"/>
              <w:spacing w:before="60" w:after="60" w:line="240" w:lineRule="auto"/>
              <w:jc w:val="both"/>
              <w:rPr>
                <w:rFonts w:eastAsia="Calibri"/>
              </w:rPr>
            </w:pPr>
            <w:r w:rsidRPr="003A6407">
              <w:rPr>
                <w:rFonts w:eastAsia="Calibri"/>
                <w:b/>
                <w:bCs/>
              </w:rPr>
              <w:t xml:space="preserve">Wskaźnik RCO2 łącznie = komponent dot. klasycznej dotacji+ komponent grantowy = </w:t>
            </w:r>
            <w:r w:rsidR="00A32B51" w:rsidRPr="003A6407">
              <w:rPr>
                <w:rFonts w:eastAsia="Calibri"/>
                <w:b/>
                <w:bCs/>
              </w:rPr>
              <w:t>4</w:t>
            </w:r>
            <w:r w:rsidR="00A32B51">
              <w:rPr>
                <w:rFonts w:eastAsia="Calibri"/>
                <w:b/>
                <w:bCs/>
              </w:rPr>
              <w:t>05</w:t>
            </w:r>
          </w:p>
          <w:p w14:paraId="52D12C2A" w14:textId="77777777" w:rsidR="00BB0F80" w:rsidRPr="003A6407" w:rsidRDefault="00BB0F80" w:rsidP="00FD5A66">
            <w:pPr>
              <w:shd w:val="clear" w:color="auto" w:fill="FFFFFF"/>
              <w:spacing w:before="60" w:after="60" w:line="240" w:lineRule="auto"/>
              <w:jc w:val="both"/>
              <w:rPr>
                <w:rFonts w:eastAsia="Calibri"/>
              </w:rPr>
            </w:pPr>
          </w:p>
          <w:p w14:paraId="3D9827EA"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114021FD" w14:textId="77777777" w:rsidR="00BB0F80" w:rsidRPr="003A6407" w:rsidRDefault="00BB0F80" w:rsidP="00F20BCD">
            <w:pPr>
              <w:numPr>
                <w:ilvl w:val="0"/>
                <w:numId w:val="2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Ryzyko walutowe</w:t>
            </w:r>
            <w:r w:rsidRPr="003A6407">
              <w:rPr>
                <w:rFonts w:eastAsia="Calibri" w:cs="Times New Roman"/>
                <w:bCs/>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464A28D" w14:textId="77777777" w:rsidR="00BB0F80" w:rsidRPr="003A6407" w:rsidRDefault="00BB0F80" w:rsidP="00F20BCD">
            <w:pPr>
              <w:numPr>
                <w:ilvl w:val="0"/>
                <w:numId w:val="2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Zawieszenie płatności</w:t>
            </w:r>
            <w:r w:rsidRPr="003A6407">
              <w:rPr>
                <w:rFonts w:eastAsia="Calibri" w:cs="Times New Roman"/>
                <w:bCs/>
                <w:color w:val="000000"/>
              </w:rPr>
              <w:t xml:space="preserve"> przez KE dla danej osi priorytetowej; (istotność: umiarkowana);</w:t>
            </w:r>
          </w:p>
          <w:p w14:paraId="03BCEB8B" w14:textId="77777777" w:rsidR="00BB0F80" w:rsidRPr="003A6407" w:rsidRDefault="00BB0F80" w:rsidP="00F20BCD">
            <w:pPr>
              <w:numPr>
                <w:ilvl w:val="0"/>
                <w:numId w:val="2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Opóźnienia</w:t>
            </w:r>
            <w:r w:rsidRPr="003A6407">
              <w:rPr>
                <w:rFonts w:eastAsia="Calibri" w:cs="Times New Roman"/>
                <w:bCs/>
                <w:color w:val="000000"/>
              </w:rPr>
              <w:t xml:space="preserve">, bądź niewykonanie projektu związane z trybem konkurencyjnym i brakiem / ograniczonym dostępem do materiałów/surowców/półproduktów, </w:t>
            </w:r>
            <w:proofErr w:type="spellStart"/>
            <w:r w:rsidRPr="003A6407">
              <w:rPr>
                <w:rFonts w:eastAsia="Calibri" w:cs="Times New Roman"/>
                <w:bCs/>
                <w:color w:val="000000"/>
              </w:rPr>
              <w:t>ect</w:t>
            </w:r>
            <w:proofErr w:type="spellEnd"/>
            <w:r w:rsidRPr="003A6407">
              <w:rPr>
                <w:rFonts w:eastAsia="Calibri" w:cs="Times New Roman"/>
                <w:bCs/>
                <w:color w:val="000000"/>
              </w:rPr>
              <w:t>. (istotność: umiarkowana);</w:t>
            </w:r>
          </w:p>
          <w:p w14:paraId="01A4F1B1" w14:textId="77777777" w:rsidR="00BB0F80" w:rsidRPr="003A6407" w:rsidRDefault="00BB0F80" w:rsidP="00F20BCD">
            <w:pPr>
              <w:numPr>
                <w:ilvl w:val="0"/>
                <w:numId w:val="2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Wpływ pandemii Covid-19</w:t>
            </w:r>
            <w:r w:rsidRPr="003A6407">
              <w:rPr>
                <w:rFonts w:eastAsia="Calibri" w:cs="Times New Roman"/>
                <w:bCs/>
                <w:color w:val="000000"/>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2FD8BDA3" w14:textId="77777777" w:rsidR="00BB0F80" w:rsidRPr="003A6407" w:rsidRDefault="00BB0F80" w:rsidP="00F20BCD">
            <w:pPr>
              <w:numPr>
                <w:ilvl w:val="0"/>
                <w:numId w:val="2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Problemy z zabezpieczeniem</w:t>
            </w:r>
            <w:r w:rsidRPr="003A6407">
              <w:rPr>
                <w:rFonts w:eastAsia="Calibri" w:cs="Times New Roman"/>
                <w:bCs/>
                <w:color w:val="000000"/>
              </w:rPr>
              <w:t xml:space="preserve"> </w:t>
            </w:r>
            <w:r w:rsidRPr="003A6407">
              <w:rPr>
                <w:rFonts w:eastAsia="Calibri" w:cs="Times New Roman"/>
                <w:b/>
                <w:color w:val="000000"/>
              </w:rPr>
              <w:t>wkładu</w:t>
            </w:r>
            <w:r w:rsidRPr="003A6407">
              <w:rPr>
                <w:rFonts w:eastAsia="Calibri" w:cs="Times New Roman"/>
                <w:bCs/>
                <w:color w:val="000000"/>
              </w:rPr>
              <w:t xml:space="preserve"> własnego wnioskodawcy (istotność: poważna); </w:t>
            </w:r>
          </w:p>
          <w:p w14:paraId="28EFE1BF" w14:textId="77777777" w:rsidR="00BB0F80" w:rsidRPr="003A6407" w:rsidRDefault="00BB0F80" w:rsidP="00F20BCD">
            <w:pPr>
              <w:numPr>
                <w:ilvl w:val="0"/>
                <w:numId w:val="26"/>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Ryzyko wzrostu cen</w:t>
            </w:r>
            <w:r w:rsidRPr="003A6407">
              <w:rPr>
                <w:rFonts w:eastAsia="Calibri" w:cs="Times New Roman"/>
                <w:bCs/>
                <w:color w:val="000000"/>
              </w:rPr>
              <w:t xml:space="preserve">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15B41EF7" w14:textId="77777777" w:rsidR="00BB0F80" w:rsidRPr="003A6407" w:rsidRDefault="00BB0F80" w:rsidP="00F20BCD">
            <w:pPr>
              <w:numPr>
                <w:ilvl w:val="0"/>
                <w:numId w:val="26"/>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Brak zainteresowania oferowanym wsparciem</w:t>
            </w:r>
            <w:r w:rsidRPr="003A6407">
              <w:rPr>
                <w:rFonts w:eastAsia="Calibri" w:cs="Times New Roman"/>
                <w:bCs/>
                <w:color w:val="000000"/>
              </w:rPr>
              <w:t xml:space="preserve"> ze strony przedsiębiorstw - (istotność: poważna);</w:t>
            </w:r>
          </w:p>
          <w:p w14:paraId="3A1498E6" w14:textId="77777777" w:rsidR="00BB0F80" w:rsidRPr="003A6407" w:rsidRDefault="00BB0F80" w:rsidP="00F20BCD">
            <w:pPr>
              <w:numPr>
                <w:ilvl w:val="0"/>
                <w:numId w:val="26"/>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Duplikujące się przedsiębiorstwa</w:t>
            </w:r>
            <w:r w:rsidRPr="003A6407">
              <w:rPr>
                <w:rFonts w:eastAsia="Calibri" w:cs="Times New Roman"/>
                <w:bCs/>
                <w:color w:val="000000"/>
              </w:rPr>
              <w:t xml:space="preserve"> (istotność: umiarkowana); </w:t>
            </w:r>
          </w:p>
          <w:p w14:paraId="433A835D" w14:textId="49A613FC" w:rsidR="00BB0F80" w:rsidRPr="003A6407" w:rsidRDefault="00BB0F80" w:rsidP="00F20BCD">
            <w:pPr>
              <w:numPr>
                <w:ilvl w:val="0"/>
                <w:numId w:val="26"/>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Rozwiązane umowy o dofinansowanie</w:t>
            </w:r>
            <w:r w:rsidRPr="003A6407">
              <w:rPr>
                <w:rFonts w:eastAsia="Calibri" w:cs="Times New Roman"/>
                <w:bCs/>
                <w:color w:val="000000"/>
              </w:rPr>
              <w:t xml:space="preserve"> realizacji projektu – (istotność: umiarkowana).</w:t>
            </w:r>
          </w:p>
          <w:p w14:paraId="4FF98838" w14:textId="77777777" w:rsidR="00D145C8" w:rsidRPr="003A6407" w:rsidRDefault="00D145C8" w:rsidP="00FC55A8">
            <w:pPr>
              <w:shd w:val="clear" w:color="auto" w:fill="FFFFFF"/>
              <w:spacing w:before="60" w:after="0" w:line="240" w:lineRule="auto"/>
              <w:contextualSpacing/>
              <w:jc w:val="both"/>
              <w:rPr>
                <w:rFonts w:eastAsia="Calibri" w:cs="Times New Roman"/>
                <w:bCs/>
                <w:color w:val="000000"/>
              </w:rPr>
            </w:pPr>
          </w:p>
          <w:p w14:paraId="7DD55B48" w14:textId="1B187B6A" w:rsidR="00D145C8" w:rsidRPr="003A6407" w:rsidRDefault="00D145C8" w:rsidP="00FC55A8">
            <w:pPr>
              <w:shd w:val="clear" w:color="auto" w:fill="FFFFFF"/>
              <w:spacing w:before="60" w:after="0" w:line="240" w:lineRule="auto"/>
              <w:contextualSpacing/>
              <w:jc w:val="both"/>
              <w:rPr>
                <w:rFonts w:eastAsia="Calibri" w:cs="Times New Roman"/>
                <w:b/>
                <w:color w:val="000000"/>
              </w:rPr>
            </w:pPr>
            <w:r w:rsidRPr="003A6407">
              <w:rPr>
                <w:rFonts w:eastAsia="Calibri" w:cs="Times New Roman"/>
                <w:b/>
                <w:color w:val="000000"/>
              </w:rPr>
              <w:t>Uzasadnienie dla celu pośredniego:</w:t>
            </w:r>
          </w:p>
          <w:p w14:paraId="66881924" w14:textId="3AA5BB58" w:rsidR="00FC55A8" w:rsidRPr="003A6407" w:rsidRDefault="00FC55A8" w:rsidP="00FC55A8">
            <w:pPr>
              <w:shd w:val="clear" w:color="auto" w:fill="FFFFFF"/>
              <w:spacing w:before="60" w:after="0" w:line="240" w:lineRule="auto"/>
              <w:contextualSpacing/>
              <w:jc w:val="both"/>
              <w:rPr>
                <w:rFonts w:eastAsia="Calibri" w:cs="Times New Roman"/>
                <w:b/>
                <w:color w:val="000000"/>
              </w:rPr>
            </w:pPr>
            <w:r w:rsidRPr="003A6407">
              <w:rPr>
                <w:rFonts w:eastAsia="Calibri" w:cs="Times New Roman"/>
                <w:b/>
                <w:color w:val="000000"/>
              </w:rPr>
              <w:t>Przeanalizowano dane historyczne z wdrażania RPO WD 2014-2020 (PI 1</w:t>
            </w:r>
            <w:r w:rsidR="00165530">
              <w:rPr>
                <w:rFonts w:eastAsia="Calibri" w:cs="Times New Roman"/>
                <w:b/>
                <w:color w:val="000000"/>
              </w:rPr>
              <w:t>b</w:t>
            </w:r>
            <w:r w:rsidRPr="003A6407">
              <w:rPr>
                <w:rFonts w:eastAsia="Calibri" w:cs="Times New Roman"/>
                <w:b/>
                <w:color w:val="000000"/>
              </w:rPr>
              <w:t xml:space="preserve">), na podstawie Sprawozdania rocznego z 2021 r. - wskaźnik pn. Inwestycje produkcyjne: Liczba przedsiębiorstw otrzymujących </w:t>
            </w:r>
            <w:r w:rsidR="00D60F4A">
              <w:rPr>
                <w:rFonts w:eastAsia="Calibri" w:cs="Times New Roman"/>
                <w:b/>
                <w:color w:val="000000"/>
              </w:rPr>
              <w:t>dotacje</w:t>
            </w:r>
            <w:r w:rsidRPr="003A6407">
              <w:rPr>
                <w:rFonts w:eastAsia="Calibri" w:cs="Times New Roman"/>
                <w:b/>
                <w:color w:val="000000"/>
              </w:rPr>
              <w:t xml:space="preserve"> </w:t>
            </w:r>
            <w:r w:rsidRPr="003A6407">
              <w:rPr>
                <w:rFonts w:eastAsia="Calibri" w:cs="Times New Roman"/>
                <w:b/>
                <w:color w:val="000000"/>
              </w:rPr>
              <w:lastRenderedPageBreak/>
              <w:t xml:space="preserve">(CI </w:t>
            </w:r>
            <w:r w:rsidR="00D60F4A">
              <w:rPr>
                <w:rFonts w:eastAsia="Calibri" w:cs="Times New Roman"/>
                <w:b/>
                <w:color w:val="000000"/>
              </w:rPr>
              <w:t>2</w:t>
            </w:r>
            <w:r w:rsidRPr="003A6407">
              <w:rPr>
                <w:rFonts w:eastAsia="Calibri" w:cs="Times New Roman"/>
                <w:b/>
                <w:color w:val="000000"/>
              </w:rPr>
              <w:t>) w 2016 r. osiągnął wartość 2, co stanowi zaledwie 0,</w:t>
            </w:r>
            <w:r w:rsidR="00D60F4A">
              <w:rPr>
                <w:rFonts w:eastAsia="Calibri" w:cs="Times New Roman"/>
                <w:b/>
                <w:color w:val="000000"/>
              </w:rPr>
              <w:t>05</w:t>
            </w:r>
            <w:r w:rsidRPr="003A6407">
              <w:rPr>
                <w:rFonts w:eastAsia="Calibri" w:cs="Times New Roman"/>
                <w:b/>
                <w:color w:val="000000"/>
              </w:rPr>
              <w:t>% wartości sprawozdawanej w 2021 r. (</w:t>
            </w:r>
            <w:r w:rsidR="00D60F4A">
              <w:rPr>
                <w:rFonts w:eastAsia="Calibri" w:cs="Times New Roman"/>
                <w:b/>
                <w:color w:val="000000"/>
              </w:rPr>
              <w:t>340</w:t>
            </w:r>
            <w:r w:rsidRPr="003A6407">
              <w:rPr>
                <w:rFonts w:eastAsia="Calibri" w:cs="Times New Roman"/>
                <w:b/>
                <w:color w:val="000000"/>
              </w:rPr>
              <w:t xml:space="preserve">). </w:t>
            </w:r>
            <w:r w:rsidR="005A3B03" w:rsidRPr="005A3B03">
              <w:rPr>
                <w:rFonts w:eastAsia="Calibri" w:cs="Times New Roman"/>
                <w:b/>
                <w:color w:val="000000"/>
              </w:rPr>
              <w:t>Nie mniej jednak mając na uwadze wagę wsparcia w tym zakresie</w:t>
            </w:r>
            <w:r w:rsidR="005A3B03" w:rsidRPr="005A3B03" w:rsidDel="005A3B03">
              <w:rPr>
                <w:rFonts w:eastAsia="Calibri" w:cs="Times New Roman"/>
                <w:b/>
                <w:color w:val="000000"/>
              </w:rPr>
              <w:t xml:space="preserve"> </w:t>
            </w:r>
            <w:r w:rsidRPr="003A6407">
              <w:rPr>
                <w:rFonts w:eastAsia="Calibri" w:cs="Times New Roman"/>
                <w:b/>
                <w:color w:val="000000"/>
              </w:rPr>
              <w:t xml:space="preserve">wartość pośrednią dla tego wskaźnika ustalono </w:t>
            </w:r>
            <w:r w:rsidR="003701D5">
              <w:rPr>
                <w:rFonts w:eastAsia="Calibri" w:cs="Times New Roman"/>
                <w:b/>
                <w:color w:val="000000"/>
              </w:rPr>
              <w:t>na poziomie 3% wartości docelowej, tj. 13</w:t>
            </w:r>
            <w:r w:rsidRPr="003A6407">
              <w:rPr>
                <w:rFonts w:eastAsia="Calibri" w:cs="Times New Roman"/>
                <w:b/>
                <w:color w:val="000000"/>
              </w:rPr>
              <w:t>.</w:t>
            </w:r>
            <w:r w:rsidR="00A32B51">
              <w:rPr>
                <w:rFonts w:eastAsia="Calibri" w:cs="Times New Roman"/>
                <w:b/>
                <w:color w:val="000000"/>
              </w:rPr>
              <w:t xml:space="preserve"> </w:t>
            </w:r>
            <w:r w:rsidR="00A32B51" w:rsidRPr="00A32B51">
              <w:rPr>
                <w:rFonts w:eastAsia="Calibri" w:cs="Times New Roman"/>
                <w:bCs/>
                <w:color w:val="000000"/>
              </w:rPr>
              <w:t>(w zaokrągleniu do pełnej wartości).</w:t>
            </w:r>
          </w:p>
          <w:p w14:paraId="36CE53D0" w14:textId="6A49123B" w:rsidR="00BB0F80" w:rsidRPr="003A6407" w:rsidRDefault="00BB0F80" w:rsidP="00FD5A66">
            <w:pPr>
              <w:spacing w:after="0" w:line="240" w:lineRule="auto"/>
              <w:ind w:left="720"/>
              <w:contextualSpacing/>
              <w:jc w:val="both"/>
              <w:rPr>
                <w:rFonts w:eastAsia="Calibri" w:cs="Times New Roman"/>
                <w:color w:val="000000"/>
                <w:sz w:val="22"/>
                <w:szCs w:val="22"/>
              </w:rPr>
            </w:pPr>
          </w:p>
        </w:tc>
      </w:tr>
    </w:tbl>
    <w:p w14:paraId="498BCF32" w14:textId="77777777" w:rsidR="00BB0F80" w:rsidRPr="003A6407" w:rsidRDefault="00BB0F80" w:rsidP="00FD5A66">
      <w:pPr>
        <w:rPr>
          <w:rFonts w:eastAsia="Calibri"/>
        </w:rPr>
      </w:pPr>
      <w:bookmarkStart w:id="44" w:name="_Hlk95311554"/>
      <w:bookmarkEnd w:id="40"/>
      <w:r w:rsidRPr="003A6407">
        <w:rPr>
          <w:rFonts w:eastAsia="Calibri"/>
        </w:rPr>
        <w:lastRenderedPageBreak/>
        <w:br w:type="page"/>
      </w: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3EF7DFF0" w14:textId="77777777" w:rsidTr="00716556">
        <w:trPr>
          <w:cantSplit/>
          <w:trHeight w:val="1647"/>
        </w:trPr>
        <w:tc>
          <w:tcPr>
            <w:tcW w:w="451" w:type="pct"/>
            <w:shd w:val="clear" w:color="auto" w:fill="auto"/>
            <w:vAlign w:val="center"/>
          </w:tcPr>
          <w:p w14:paraId="13988C0E"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bookmarkStart w:id="45" w:name="_Hlk119934983"/>
            <w:bookmarkEnd w:id="44"/>
            <w:r w:rsidRPr="003A6407">
              <w:rPr>
                <w:rFonts w:eastAsia="Calibri" w:cs="Times New Roman"/>
                <w:b/>
                <w:noProof/>
                <w:sz w:val="16"/>
                <w:szCs w:val="16"/>
              </w:rPr>
              <w:lastRenderedPageBreak/>
              <w:t>CP 1</w:t>
            </w:r>
          </w:p>
          <w:p w14:paraId="5E41B539" w14:textId="5C0D0636"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19D23822"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30C01D76"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5536F8AE" w14:textId="77777777" w:rsidR="00BB0F80" w:rsidRPr="003A6407" w:rsidRDefault="00BB0F80" w:rsidP="00716556">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38EF099F" w14:textId="7AB43DE0"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4550ED81"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4CB45869"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DB09939"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3AF2FAD2"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168D1F56"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r>
      <w:tr w:rsidR="00BB0F80" w:rsidRPr="003A6407" w14:paraId="53942EFA" w14:textId="77777777" w:rsidTr="00716556">
        <w:trPr>
          <w:trHeight w:val="340"/>
        </w:trPr>
        <w:tc>
          <w:tcPr>
            <w:tcW w:w="451" w:type="pct"/>
            <w:shd w:val="clear" w:color="auto" w:fill="auto"/>
            <w:vAlign w:val="center"/>
          </w:tcPr>
          <w:p w14:paraId="370089C6" w14:textId="77777777" w:rsidR="00BB0F80"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4656CEC8" w14:textId="690C0EFC" w:rsidR="00572DDA" w:rsidRPr="003A6407" w:rsidRDefault="00572DDA"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0B47AB45"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57823D06"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3A6BE98B"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PLRO007</w:t>
            </w:r>
          </w:p>
        </w:tc>
        <w:tc>
          <w:tcPr>
            <w:tcW w:w="1206" w:type="pct"/>
            <w:shd w:val="clear" w:color="auto" w:fill="auto"/>
            <w:vAlign w:val="center"/>
          </w:tcPr>
          <w:p w14:paraId="58EB5595" w14:textId="77777777" w:rsidR="00BB0F80" w:rsidRPr="003A6407" w:rsidRDefault="00BB0F80" w:rsidP="00716556">
            <w:pPr>
              <w:keepNext/>
              <w:keepLines/>
              <w:spacing w:before="200" w:after="0"/>
              <w:jc w:val="center"/>
              <w:outlineLvl w:val="2"/>
              <w:rPr>
                <w:rFonts w:eastAsia="Times New Roman" w:cs="Times New Roman"/>
                <w:b/>
                <w:bCs/>
                <w:noProof/>
              </w:rPr>
            </w:pPr>
            <w:bookmarkStart w:id="46" w:name="_Toc97127012"/>
            <w:bookmarkStart w:id="47" w:name="_Toc114662352"/>
            <w:bookmarkStart w:id="48" w:name="_Toc120464356"/>
            <w:r w:rsidRPr="003A6407">
              <w:rPr>
                <w:rFonts w:asciiTheme="minorHAnsi" w:eastAsia="Times New Roman" w:hAnsiTheme="minorHAnsi" w:cstheme="minorHAnsi"/>
                <w:bCs/>
                <w:noProof/>
              </w:rPr>
              <w:t>Liczba realizowanych projektów B+R</w:t>
            </w:r>
            <w:bookmarkEnd w:id="46"/>
            <w:bookmarkEnd w:id="47"/>
            <w:bookmarkEnd w:id="48"/>
          </w:p>
        </w:tc>
        <w:tc>
          <w:tcPr>
            <w:tcW w:w="884" w:type="pct"/>
            <w:shd w:val="clear" w:color="auto" w:fill="auto"/>
            <w:vAlign w:val="center"/>
          </w:tcPr>
          <w:p w14:paraId="573F1808"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482" w:type="pct"/>
            <w:shd w:val="clear" w:color="auto" w:fill="auto"/>
            <w:vAlign w:val="center"/>
          </w:tcPr>
          <w:p w14:paraId="2A89E21E" w14:textId="796ACCFA" w:rsidR="00BB0F80" w:rsidRPr="003A6407" w:rsidRDefault="0036719D"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890103" w:rsidRPr="003A6407">
              <w:rPr>
                <w:rFonts w:eastAsia="Calibri" w:cs="Times New Roman"/>
                <w:noProof/>
                <w:sz w:val="16"/>
                <w:szCs w:val="16"/>
              </w:rPr>
              <w:t>,00</w:t>
            </w:r>
          </w:p>
        </w:tc>
        <w:tc>
          <w:tcPr>
            <w:tcW w:w="502" w:type="pct"/>
            <w:shd w:val="clear" w:color="auto" w:fill="auto"/>
            <w:vAlign w:val="center"/>
          </w:tcPr>
          <w:p w14:paraId="06B4725E" w14:textId="1A44F9D5"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85</w:t>
            </w:r>
            <w:r w:rsidR="00716556" w:rsidRPr="003A6407">
              <w:rPr>
                <w:rFonts w:eastAsia="Calibri" w:cs="Times New Roman"/>
                <w:noProof/>
                <w:sz w:val="16"/>
                <w:szCs w:val="16"/>
              </w:rPr>
              <w:t>,00</w:t>
            </w:r>
          </w:p>
        </w:tc>
      </w:tr>
      <w:tr w:rsidR="00BB0F80" w:rsidRPr="003A6407" w14:paraId="4BAA300D" w14:textId="77777777" w:rsidTr="00270B09">
        <w:trPr>
          <w:trHeight w:val="340"/>
        </w:trPr>
        <w:tc>
          <w:tcPr>
            <w:tcW w:w="5000" w:type="pct"/>
            <w:gridSpan w:val="8"/>
            <w:shd w:val="clear" w:color="auto" w:fill="auto"/>
          </w:tcPr>
          <w:p w14:paraId="76DB1AD0"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4EA09047"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00CBD13C" w14:textId="11468D55"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 Inwestycje w środki trwałe, w tym infrastrukturę badawczą, w mikroprzedsiębiorstwach bezpośrednio związane z działaniami badawczymi i innowacyjnymi (3 695 </w:t>
            </w:r>
            <w:r w:rsidR="009423A5" w:rsidRPr="003A6407">
              <w:rPr>
                <w:rFonts w:eastAsia="Calibri" w:cs="Times New Roman"/>
              </w:rPr>
              <w:t>70</w:t>
            </w:r>
            <w:r w:rsidR="009423A5">
              <w:rPr>
                <w:rFonts w:eastAsia="Calibri" w:cs="Times New Roman"/>
              </w:rPr>
              <w:t>5</w:t>
            </w:r>
            <w:r w:rsidRPr="003A6407">
              <w:rPr>
                <w:rFonts w:eastAsia="Calibri" w:cs="Times New Roman"/>
              </w:rPr>
              <w:t>EUR);</w:t>
            </w:r>
          </w:p>
          <w:p w14:paraId="26268B51"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 Inwestycje w środki trwałe, w tym infrastrukturę badawczą, w małych i średnich przedsiębiorstwach (w tym prywatnych organizacjach badawczych) bezpośrednio związane z działaniami badawczymi i innowacyjnymi (27 688 305 EUR);</w:t>
            </w:r>
          </w:p>
          <w:p w14:paraId="2FBB75D3"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09 Działania badawcze i innowacyjne w mikroprzedsiębiorstwach, w tym tworzenie sieci kontaktów (badania przemysłowe, eksperymentalne prace rozwojowe, studia wykonalności)</w:t>
            </w:r>
          </w:p>
          <w:p w14:paraId="45A3E500"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(1 478 282,00 EUR).</w:t>
            </w:r>
          </w:p>
          <w:p w14:paraId="3B94FBD1"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(31 384 012,00 EUR).</w:t>
            </w:r>
          </w:p>
          <w:p w14:paraId="5D8D55BE" w14:textId="5AA8A8C1"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9423A5" w:rsidRPr="009423A5">
              <w:rPr>
                <w:rFonts w:eastAsia="Calibri"/>
              </w:rPr>
              <w:t xml:space="preserve"> 285 896 052,80    </w:t>
            </w:r>
            <w:r w:rsidRPr="003A6407">
              <w:rPr>
                <w:rFonts w:eastAsia="Calibri"/>
              </w:rPr>
              <w:t xml:space="preserve">PLN. </w:t>
            </w:r>
          </w:p>
          <w:p w14:paraId="121F4B8B" w14:textId="2031C34E" w:rsidR="00BB0F80" w:rsidRPr="003A6407" w:rsidRDefault="00BB0F80" w:rsidP="00FD5A66">
            <w:pPr>
              <w:shd w:val="clear" w:color="auto" w:fill="FFFFFF"/>
              <w:spacing w:before="60" w:after="60" w:line="240" w:lineRule="auto"/>
              <w:jc w:val="both"/>
              <w:rPr>
                <w:rFonts w:eastAsia="Calibri"/>
              </w:rPr>
            </w:pPr>
            <w:r w:rsidRPr="003A6407">
              <w:rPr>
                <w:rFonts w:eastAsia="Calibri"/>
              </w:rPr>
              <w:t>Historyczny kwalifikowalny koszt jednostkowy na bazie doświadczeń z perspektywy 2014-2020 wynosi 2 205 309,79 PLN.</w:t>
            </w:r>
            <w:r w:rsidRPr="003A6407">
              <w:t xml:space="preserve"> </w:t>
            </w:r>
            <w:r w:rsidRPr="003A6407">
              <w:rPr>
                <w:rFonts w:eastAsia="Calibri"/>
              </w:rPr>
              <w:t xml:space="preserve">Koszt jednostkowy został skorygowany w oparciu o wartość inflacji na poziomie 15% i wynosi 2 536 106,26  uwzględniając wartość dofinansowania na poziomie 70% wynosi 1 775 274,38 PLN, tj. 398 938,06 EUR. </w:t>
            </w:r>
          </w:p>
          <w:p w14:paraId="3B6C23D8" w14:textId="77777777" w:rsidR="00BB0F80" w:rsidRPr="003A6407" w:rsidRDefault="00BB0F80" w:rsidP="00FD5A66">
            <w:pPr>
              <w:shd w:val="clear" w:color="auto" w:fill="FFFFFF"/>
              <w:spacing w:before="60" w:after="60" w:line="240" w:lineRule="auto"/>
              <w:jc w:val="both"/>
              <w:rPr>
                <w:rFonts w:eastAsia="Calibri"/>
              </w:rPr>
            </w:pPr>
          </w:p>
          <w:p w14:paraId="3EA7E6FE"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4A5569BA" w14:textId="77777777" w:rsidR="00BB0F80" w:rsidRPr="003A6407" w:rsidRDefault="00BB0F80" w:rsidP="00FD5A66">
            <w:pPr>
              <w:spacing w:before="60" w:after="60" w:line="240" w:lineRule="auto"/>
              <w:jc w:val="both"/>
              <w:rPr>
                <w:rFonts w:eastAsia="Calibri"/>
              </w:rPr>
            </w:pPr>
            <w:r w:rsidRPr="003A6407">
              <w:rPr>
                <w:rFonts w:eastAsia="Calibri"/>
              </w:rPr>
              <w:t xml:space="preserve">R= [(4*25)+(4*68)]/8= 46,50. Wartość zaokrąglono do pełnej wartości 47%. </w:t>
            </w:r>
          </w:p>
          <w:p w14:paraId="49C5DB0A" w14:textId="77777777" w:rsidR="00BB0F80" w:rsidRPr="003A6407" w:rsidRDefault="00BB0F80" w:rsidP="00FD5A66">
            <w:pPr>
              <w:shd w:val="clear" w:color="auto" w:fill="FFFFFF"/>
              <w:spacing w:before="60" w:after="60" w:line="240" w:lineRule="auto"/>
              <w:jc w:val="both"/>
              <w:rPr>
                <w:rFonts w:eastAsia="Calibri"/>
              </w:rPr>
            </w:pPr>
          </w:p>
          <w:p w14:paraId="4670D9A3"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725A153C" w14:textId="135EDAC5" w:rsidR="00BB0F80" w:rsidRPr="003A6407" w:rsidRDefault="00BB0F80" w:rsidP="00FD5A66">
            <w:pPr>
              <w:shd w:val="clear" w:color="auto" w:fill="FFFFFF"/>
              <w:spacing w:before="60" w:after="60" w:line="240" w:lineRule="auto"/>
              <w:jc w:val="both"/>
              <w:rPr>
                <w:rFonts w:eastAsia="Calibri"/>
              </w:rPr>
            </w:pPr>
            <w:r w:rsidRPr="003A6407">
              <w:rPr>
                <w:rFonts w:eastAsia="Calibri"/>
              </w:rPr>
              <w:t>64 246 30</w:t>
            </w:r>
            <w:r w:rsidR="009423A5">
              <w:rPr>
                <w:rFonts w:eastAsia="Calibri"/>
              </w:rPr>
              <w:t>4</w:t>
            </w:r>
            <w:r w:rsidRPr="003A6407">
              <w:rPr>
                <w:rFonts w:eastAsia="Calibri"/>
              </w:rPr>
              <w:t>,00 / 398 938,06 * (1-0,47) = 85 projektów</w:t>
            </w:r>
          </w:p>
          <w:p w14:paraId="04ED8288"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26B545E4" w14:textId="77777777" w:rsidR="00BB0F80" w:rsidRPr="003A6407" w:rsidRDefault="00BB0F80" w:rsidP="00F20BCD">
            <w:pPr>
              <w:numPr>
                <w:ilvl w:val="0"/>
                <w:numId w:val="16"/>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1347154C" w14:textId="77777777" w:rsidR="00BB0F80" w:rsidRPr="003A6407" w:rsidRDefault="00BB0F80" w:rsidP="00F20BCD">
            <w:pPr>
              <w:numPr>
                <w:ilvl w:val="0"/>
                <w:numId w:val="16"/>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Zawieszenie płatności </w:t>
            </w:r>
            <w:r w:rsidRPr="003A6407">
              <w:rPr>
                <w:rFonts w:eastAsia="Calibri" w:cs="Times New Roman"/>
                <w:bCs/>
                <w:color w:val="000000"/>
              </w:rPr>
              <w:t>przez KE dla danej osi priorytetowej</w:t>
            </w:r>
            <w:r w:rsidRPr="003A6407">
              <w:rPr>
                <w:rFonts w:eastAsia="Calibri" w:cs="Times New Roman"/>
                <w:color w:val="000000"/>
              </w:rPr>
              <w:t>; (istotność: umiarkowana);</w:t>
            </w:r>
          </w:p>
          <w:p w14:paraId="2908B371" w14:textId="77777777" w:rsidR="00BB0F80" w:rsidRPr="003A6407" w:rsidRDefault="00BB0F80" w:rsidP="00F20BCD">
            <w:pPr>
              <w:numPr>
                <w:ilvl w:val="0"/>
                <w:numId w:val="16"/>
              </w:numPr>
              <w:shd w:val="clear" w:color="auto" w:fill="FFFFFF"/>
              <w:spacing w:before="60" w:after="60" w:line="240" w:lineRule="auto"/>
              <w:contextualSpacing/>
              <w:jc w:val="both"/>
              <w:rPr>
                <w:rFonts w:eastAsia="Calibri" w:cs="Times New Roman"/>
                <w:b/>
                <w:color w:val="000000"/>
              </w:rPr>
            </w:pPr>
            <w:bookmarkStart w:id="49" w:name="_Hlk96353839"/>
            <w:r w:rsidRPr="003A6407">
              <w:rPr>
                <w:rFonts w:eastAsia="Calibri" w:cs="Times New Roman"/>
                <w:b/>
                <w:color w:val="000000"/>
              </w:rPr>
              <w:t xml:space="preserve">Opóźnienia, </w:t>
            </w:r>
            <w:r w:rsidRPr="003A6407">
              <w:rPr>
                <w:rFonts w:eastAsia="Calibri" w:cs="Times New Roman"/>
                <w:bCs/>
                <w:color w:val="000000"/>
              </w:rPr>
              <w:t>bądź niewykonanie projektu związane z trybem konkurencyjnym i brakiem/ ograniczonym dostępem do materiałów/surowców/półproduktów</w:t>
            </w:r>
            <w:bookmarkEnd w:id="49"/>
            <w:r w:rsidRPr="003A6407">
              <w:rPr>
                <w:rFonts w:eastAsia="Calibri" w:cs="Times New Roman"/>
                <w:bCs/>
                <w:color w:val="000000"/>
              </w:rPr>
              <w:t xml:space="preserve">, </w:t>
            </w:r>
            <w:proofErr w:type="spellStart"/>
            <w:r w:rsidRPr="003A6407">
              <w:rPr>
                <w:rFonts w:eastAsia="Calibri" w:cs="Times New Roman"/>
                <w:bCs/>
                <w:color w:val="000000"/>
              </w:rPr>
              <w:t>ect</w:t>
            </w:r>
            <w:proofErr w:type="spellEnd"/>
            <w:r w:rsidRPr="003A6407">
              <w:rPr>
                <w:rFonts w:eastAsia="Calibri" w:cs="Times New Roman"/>
                <w:bCs/>
                <w:color w:val="000000"/>
              </w:rPr>
              <w:t>.</w:t>
            </w:r>
            <w:r w:rsidRPr="003A6407">
              <w:rPr>
                <w:rFonts w:eastAsia="Calibri" w:cs="Times New Roman"/>
                <w:b/>
                <w:color w:val="000000"/>
              </w:rPr>
              <w:t xml:space="preserve"> </w:t>
            </w:r>
            <w:r w:rsidRPr="003A6407">
              <w:rPr>
                <w:rFonts w:eastAsia="Calibri" w:cs="Times New Roman"/>
                <w:bCs/>
                <w:color w:val="000000"/>
              </w:rPr>
              <w:t>(istotność: poważna);</w:t>
            </w:r>
          </w:p>
          <w:p w14:paraId="4DD8BDAF" w14:textId="77777777" w:rsidR="00BB0F80" w:rsidRPr="003A6407" w:rsidRDefault="00BB0F80" w:rsidP="00F20BCD">
            <w:pPr>
              <w:numPr>
                <w:ilvl w:val="0"/>
                <w:numId w:val="1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 xml:space="preserve">Wpływ pandemii Covid-19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EF1AEEE" w14:textId="77777777" w:rsidR="00BB0F80" w:rsidRPr="003A6407" w:rsidRDefault="00BB0F80" w:rsidP="00F20BCD">
            <w:pPr>
              <w:numPr>
                <w:ilvl w:val="0"/>
                <w:numId w:val="16"/>
              </w:numPr>
              <w:shd w:val="clear" w:color="auto" w:fill="FFFFFF"/>
              <w:spacing w:before="60" w:after="60" w:line="240" w:lineRule="auto"/>
              <w:contextualSpacing/>
              <w:jc w:val="both"/>
              <w:rPr>
                <w:rFonts w:eastAsia="Calibri" w:cs="Times New Roman"/>
                <w:bCs/>
                <w:color w:val="000000"/>
              </w:rPr>
            </w:pPr>
            <w:bookmarkStart w:id="50" w:name="_Hlk96353869"/>
            <w:r w:rsidRPr="003A6407">
              <w:rPr>
                <w:rFonts w:eastAsia="Calibri" w:cs="Times New Roman"/>
                <w:b/>
                <w:bCs/>
                <w:color w:val="000000"/>
              </w:rPr>
              <w:t xml:space="preserve">Problemy z zabezpieczeniem wkładu </w:t>
            </w:r>
            <w:r w:rsidRPr="003A6407">
              <w:rPr>
                <w:rFonts w:eastAsia="Calibri" w:cs="Times New Roman"/>
                <w:color w:val="000000"/>
              </w:rPr>
              <w:t>własnego wnioskodawcy (istotność: poważna);</w:t>
            </w:r>
          </w:p>
          <w:bookmarkEnd w:id="50"/>
          <w:p w14:paraId="68D09775" w14:textId="77777777" w:rsidR="00BB0F80" w:rsidRPr="003A6407" w:rsidRDefault="00BB0F80" w:rsidP="00F20BCD">
            <w:pPr>
              <w:numPr>
                <w:ilvl w:val="0"/>
                <w:numId w:val="16"/>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Ryzyko wzrostu cen</w:t>
            </w:r>
            <w:r w:rsidRPr="003A6407">
              <w:rPr>
                <w:rFonts w:eastAsia="Calibri" w:cs="Times New Roman"/>
                <w:bCs/>
                <w:color w:val="000000"/>
              </w:rPr>
              <w:t xml:space="preserve">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254F49C8" w14:textId="77777777" w:rsidR="00BB0F80" w:rsidRPr="003A6407" w:rsidRDefault="00BB0F80" w:rsidP="00F20BCD">
            <w:pPr>
              <w:numPr>
                <w:ilvl w:val="0"/>
                <w:numId w:val="16"/>
              </w:numPr>
              <w:spacing w:after="0" w:line="240" w:lineRule="auto"/>
              <w:contextualSpacing/>
              <w:jc w:val="both"/>
              <w:rPr>
                <w:rFonts w:eastAsia="Calibri" w:cs="Times New Roman"/>
                <w:color w:val="000000"/>
              </w:rPr>
            </w:pPr>
            <w:r w:rsidRPr="003A6407">
              <w:rPr>
                <w:rFonts w:eastAsia="Calibri" w:cs="Times New Roman"/>
                <w:b/>
                <w:bCs/>
                <w:color w:val="000000"/>
              </w:rPr>
              <w:t>Brak zainteresowania oferowanym wsparciem</w:t>
            </w:r>
            <w:r w:rsidRPr="003A6407">
              <w:rPr>
                <w:rFonts w:eastAsia="Calibri" w:cs="Times New Roman"/>
                <w:color w:val="000000"/>
              </w:rPr>
              <w:t xml:space="preserve"> ze strony przedsiębiorstw - (istotność: poważna);</w:t>
            </w:r>
          </w:p>
          <w:p w14:paraId="6DCE552C" w14:textId="77777777" w:rsidR="00BB0F80" w:rsidRPr="003A6407" w:rsidRDefault="00BB0F80" w:rsidP="00F20BCD">
            <w:pPr>
              <w:numPr>
                <w:ilvl w:val="0"/>
                <w:numId w:val="16"/>
              </w:numPr>
              <w:spacing w:after="0" w:line="240" w:lineRule="auto"/>
              <w:contextualSpacing/>
              <w:jc w:val="both"/>
              <w:rPr>
                <w:rFonts w:eastAsia="Calibri" w:cs="Times New Roman"/>
                <w:color w:val="000000"/>
                <w:sz w:val="22"/>
                <w:szCs w:val="22"/>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66882FC5" w14:textId="77777777" w:rsidR="00BB0F80" w:rsidRPr="003A6407" w:rsidRDefault="00BB0F80" w:rsidP="00FD5A66">
            <w:pPr>
              <w:spacing w:after="0" w:line="240" w:lineRule="auto"/>
              <w:ind w:left="720"/>
              <w:contextualSpacing/>
              <w:jc w:val="both"/>
              <w:rPr>
                <w:rFonts w:eastAsia="Calibri" w:cs="Times New Roman"/>
                <w:color w:val="000000"/>
                <w:sz w:val="22"/>
                <w:szCs w:val="22"/>
              </w:rPr>
            </w:pPr>
          </w:p>
          <w:p w14:paraId="2FB3C4BB" w14:textId="0E82A5FA" w:rsidR="00D145C8" w:rsidRPr="003A6407" w:rsidRDefault="00D145C8" w:rsidP="00412D9C">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7EDD4C5C" w14:textId="38FB6533" w:rsidR="00D145C8" w:rsidRPr="003A6407" w:rsidRDefault="00D145C8" w:rsidP="00D145C8">
            <w:pPr>
              <w:spacing w:after="0" w:line="240" w:lineRule="auto"/>
              <w:contextualSpacing/>
              <w:jc w:val="both"/>
              <w:rPr>
                <w:rFonts w:eastAsia="Calibri" w:cs="Times New Roman"/>
                <w:b/>
                <w:bCs/>
                <w:color w:val="000000"/>
              </w:rPr>
            </w:pPr>
            <w:r w:rsidRPr="003A6407">
              <w:rPr>
                <w:rFonts w:eastAsia="Calibri" w:cs="Times New Roman"/>
                <w:b/>
                <w:bCs/>
                <w:color w:val="000000"/>
              </w:rPr>
              <w:lastRenderedPageBreak/>
              <w:t>Projekty infrastrukturalne finansowane w ramach EFRR/FST cechują się dłuższym okresem realizacji i rozliczenia a biorąc pod uwagę termin zatwierdzenia</w:t>
            </w:r>
            <w:r w:rsidR="00243B24">
              <w:rPr>
                <w:rFonts w:eastAsia="Calibri" w:cs="Times New Roman"/>
                <w:b/>
                <w:bCs/>
                <w:color w:val="000000"/>
              </w:rPr>
              <w:t xml:space="preserve"> programu</w:t>
            </w:r>
            <w:r w:rsidRPr="003A6407">
              <w:rPr>
                <w:rFonts w:eastAsia="Calibri" w:cs="Times New Roman"/>
                <w:b/>
                <w:bCs/>
                <w:color w:val="000000"/>
              </w:rPr>
              <w:t xml:space="preserve"> </w:t>
            </w:r>
            <w:r w:rsidR="00243B24">
              <w:rPr>
                <w:rFonts w:eastAsia="Calibri" w:cs="Times New Roman"/>
                <w:b/>
                <w:bCs/>
                <w:color w:val="000000"/>
              </w:rPr>
              <w:t>cel pośredni dla 2024 r. będzie mógł być osiągnięty na niskim poziomie.</w:t>
            </w:r>
            <w:r w:rsidRPr="003A6407">
              <w:rPr>
                <w:rFonts w:eastAsia="Calibri" w:cs="Times New Roman"/>
                <w:b/>
                <w:bCs/>
                <w:color w:val="000000"/>
              </w:rPr>
              <w:t xml:space="preserve"> Przeanalizowano dane historyczne z wdrażania RPO WD 2014-2020 (PI 1b ), na podstawie Sprawozdania rocznego z 2021 r. - wskaźnik pn. Liczba przedsiębiorstw otrzymujących dotacje (CI 2) dopiero w 2017 r. osiągnął wartość 30, co wobec wartości z wykonania na 2021 r. (340) stanowi zaledwie 8,8</w:t>
            </w:r>
            <w:r w:rsidR="00412D9C" w:rsidRPr="003A6407">
              <w:rPr>
                <w:rFonts w:eastAsia="Calibri" w:cs="Times New Roman"/>
                <w:b/>
                <w:bCs/>
                <w:color w:val="000000"/>
              </w:rPr>
              <w:t>%</w:t>
            </w:r>
            <w:r w:rsidRPr="003A6407">
              <w:rPr>
                <w:rFonts w:eastAsia="Calibri" w:cs="Times New Roman"/>
                <w:b/>
                <w:bCs/>
                <w:color w:val="000000"/>
              </w:rPr>
              <w:t xml:space="preserve">. </w:t>
            </w:r>
          </w:p>
          <w:p w14:paraId="1FA658D2" w14:textId="1F6620C2" w:rsidR="00D145C8" w:rsidRPr="003A6407" w:rsidRDefault="00D145C8" w:rsidP="00412D9C">
            <w:pPr>
              <w:spacing w:after="0" w:line="240" w:lineRule="auto"/>
              <w:contextualSpacing/>
              <w:jc w:val="both"/>
              <w:rPr>
                <w:rFonts w:eastAsia="Calibri" w:cs="Times New Roman"/>
                <w:color w:val="000000"/>
                <w:sz w:val="22"/>
                <w:szCs w:val="22"/>
              </w:rPr>
            </w:pPr>
            <w:r w:rsidRPr="003A6407">
              <w:rPr>
                <w:rFonts w:eastAsia="Calibri" w:cs="Times New Roman"/>
                <w:b/>
                <w:bCs/>
                <w:color w:val="000000"/>
              </w:rPr>
              <w:t xml:space="preserve">Mając na uwadze, powyższe w ramach FEDS wartość pośrednią ustalono </w:t>
            </w:r>
            <w:r w:rsidR="0036719D" w:rsidRPr="0036719D">
              <w:rPr>
                <w:rFonts w:eastAsia="Calibri" w:cs="Times New Roman"/>
                <w:b/>
                <w:bCs/>
                <w:color w:val="000000"/>
              </w:rPr>
              <w:t>na poziomie 3% wartości docelowej.</w:t>
            </w:r>
          </w:p>
        </w:tc>
      </w:tr>
      <w:bookmarkEnd w:id="45"/>
    </w:tbl>
    <w:p w14:paraId="5B0252AA" w14:textId="1F9695B0" w:rsidR="00BB0F80" w:rsidRDefault="00BB0F80" w:rsidP="00FD5A66">
      <w:pPr>
        <w:rPr>
          <w:rFonts w:eastAsia="Calibr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D5621D" w:rsidRPr="003A6407" w14:paraId="31FFC214" w14:textId="77777777" w:rsidTr="00202BB7">
        <w:trPr>
          <w:cantSplit/>
          <w:trHeight w:val="1647"/>
        </w:trPr>
        <w:tc>
          <w:tcPr>
            <w:tcW w:w="451" w:type="pct"/>
            <w:shd w:val="clear" w:color="auto" w:fill="auto"/>
            <w:vAlign w:val="center"/>
          </w:tcPr>
          <w:p w14:paraId="76E9CFB3"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02D20855"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4E96538F"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78107502"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2A65B953" w14:textId="77777777" w:rsidR="00D5621D" w:rsidRPr="003A6407" w:rsidRDefault="00D5621D" w:rsidP="00202BB7">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1B8378B3"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1DBA32D0"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0B3C097E"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1944D588"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00C08313"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74711A02" w14:textId="77777777" w:rsidR="00D5621D" w:rsidRPr="003A6407" w:rsidRDefault="00D5621D" w:rsidP="00202BB7">
            <w:pPr>
              <w:shd w:val="clear" w:color="auto" w:fill="FFFFFF"/>
              <w:spacing w:before="120" w:after="120" w:line="240" w:lineRule="auto"/>
              <w:jc w:val="center"/>
              <w:rPr>
                <w:rFonts w:eastAsia="Calibri" w:cs="Times New Roman"/>
                <w:b/>
                <w:noProof/>
                <w:sz w:val="16"/>
                <w:szCs w:val="16"/>
              </w:rPr>
            </w:pPr>
          </w:p>
        </w:tc>
      </w:tr>
      <w:tr w:rsidR="00D5621D" w:rsidRPr="003A6407" w14:paraId="4495EC66" w14:textId="77777777" w:rsidTr="00202BB7">
        <w:trPr>
          <w:trHeight w:val="340"/>
        </w:trPr>
        <w:tc>
          <w:tcPr>
            <w:tcW w:w="451" w:type="pct"/>
            <w:shd w:val="clear" w:color="auto" w:fill="auto"/>
            <w:vAlign w:val="center"/>
          </w:tcPr>
          <w:p w14:paraId="3BC54851" w14:textId="77777777" w:rsidR="00D5621D" w:rsidRDefault="00D5621D" w:rsidP="00202BB7">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1A74171B" w14:textId="77777777" w:rsidR="00D5621D" w:rsidRPr="003A6407" w:rsidRDefault="00D5621D" w:rsidP="00202BB7">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72A72BD1" w14:textId="77777777" w:rsidR="00D5621D" w:rsidRPr="003A6407" w:rsidRDefault="00D5621D" w:rsidP="00202BB7">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1248D5EF" w14:textId="77777777" w:rsidR="00D5621D" w:rsidRPr="003A6407" w:rsidRDefault="00D5621D" w:rsidP="00202BB7">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0F43DF9C" w14:textId="26D44DF8" w:rsidR="00D5621D" w:rsidRPr="003A6407" w:rsidRDefault="00D5621D" w:rsidP="00202BB7">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RCO06</w:t>
            </w:r>
          </w:p>
        </w:tc>
        <w:tc>
          <w:tcPr>
            <w:tcW w:w="1206" w:type="pct"/>
            <w:shd w:val="clear" w:color="auto" w:fill="auto"/>
            <w:vAlign w:val="center"/>
          </w:tcPr>
          <w:p w14:paraId="39E61679" w14:textId="67A41AEF" w:rsidR="00D5621D" w:rsidRPr="003A6407" w:rsidRDefault="00D5621D" w:rsidP="00202BB7">
            <w:pPr>
              <w:keepNext/>
              <w:keepLines/>
              <w:spacing w:before="200" w:after="0"/>
              <w:jc w:val="center"/>
              <w:outlineLvl w:val="2"/>
              <w:rPr>
                <w:rFonts w:eastAsia="Times New Roman" w:cs="Times New Roman"/>
                <w:b/>
                <w:bCs/>
                <w:noProof/>
              </w:rPr>
            </w:pPr>
            <w:bookmarkStart w:id="51" w:name="_Toc120464357"/>
            <w:r w:rsidRPr="00D5621D">
              <w:rPr>
                <w:rFonts w:asciiTheme="minorHAnsi" w:eastAsia="Times New Roman" w:hAnsiTheme="minorHAnsi" w:cstheme="minorHAnsi"/>
                <w:bCs/>
                <w:noProof/>
              </w:rPr>
              <w:t>Naukowcy pracujący we wspieranych obiektach badawczych</w:t>
            </w:r>
            <w:bookmarkEnd w:id="51"/>
          </w:p>
        </w:tc>
        <w:tc>
          <w:tcPr>
            <w:tcW w:w="884" w:type="pct"/>
            <w:shd w:val="clear" w:color="auto" w:fill="auto"/>
            <w:vAlign w:val="center"/>
          </w:tcPr>
          <w:p w14:paraId="4AF8FFA4" w14:textId="194E4B80" w:rsidR="00D5621D" w:rsidRPr="003A6407" w:rsidRDefault="00D5621D" w:rsidP="00202BB7">
            <w:pPr>
              <w:shd w:val="clear" w:color="auto" w:fill="FFFFFF"/>
              <w:spacing w:before="120" w:after="120" w:line="240" w:lineRule="auto"/>
              <w:jc w:val="center"/>
              <w:rPr>
                <w:rFonts w:eastAsia="Calibri" w:cs="Times New Roman"/>
                <w:noProof/>
                <w:sz w:val="16"/>
                <w:szCs w:val="16"/>
              </w:rPr>
            </w:pPr>
            <w:r w:rsidRPr="00D5621D">
              <w:rPr>
                <w:rFonts w:eastAsia="Calibri" w:cs="Times New Roman"/>
                <w:noProof/>
                <w:sz w:val="16"/>
                <w:szCs w:val="16"/>
              </w:rPr>
              <w:t>roczn</w:t>
            </w:r>
            <w:r w:rsidR="001910A1">
              <w:rPr>
                <w:rFonts w:eastAsia="Calibri" w:cs="Times New Roman"/>
                <w:noProof/>
                <w:sz w:val="16"/>
                <w:szCs w:val="16"/>
              </w:rPr>
              <w:t>y</w:t>
            </w:r>
            <w:r w:rsidRPr="00D5621D">
              <w:rPr>
                <w:rFonts w:eastAsia="Calibri" w:cs="Times New Roman"/>
                <w:noProof/>
                <w:sz w:val="16"/>
                <w:szCs w:val="16"/>
              </w:rPr>
              <w:t xml:space="preserve"> EPC</w:t>
            </w:r>
          </w:p>
        </w:tc>
        <w:tc>
          <w:tcPr>
            <w:tcW w:w="482" w:type="pct"/>
            <w:shd w:val="clear" w:color="auto" w:fill="auto"/>
            <w:vAlign w:val="center"/>
          </w:tcPr>
          <w:p w14:paraId="4D740EB1" w14:textId="0DC4B302" w:rsidR="00D5621D" w:rsidRPr="003A6407" w:rsidRDefault="00304AF0" w:rsidP="00202BB7">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w:t>
            </w:r>
          </w:p>
        </w:tc>
        <w:tc>
          <w:tcPr>
            <w:tcW w:w="502" w:type="pct"/>
            <w:shd w:val="clear" w:color="auto" w:fill="auto"/>
            <w:vAlign w:val="center"/>
          </w:tcPr>
          <w:p w14:paraId="78648D84" w14:textId="706EDD29" w:rsidR="00D5621D" w:rsidRPr="003A6407" w:rsidRDefault="00304AF0" w:rsidP="00202BB7">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21</w:t>
            </w:r>
          </w:p>
        </w:tc>
      </w:tr>
      <w:tr w:rsidR="00D5621D" w:rsidRPr="003A6407" w14:paraId="4D96B81E" w14:textId="77777777" w:rsidTr="00202BB7">
        <w:trPr>
          <w:trHeight w:val="340"/>
        </w:trPr>
        <w:tc>
          <w:tcPr>
            <w:tcW w:w="5000" w:type="pct"/>
            <w:gridSpan w:val="8"/>
            <w:shd w:val="clear" w:color="auto" w:fill="auto"/>
          </w:tcPr>
          <w:p w14:paraId="469AF12D" w14:textId="77777777" w:rsidR="00D5621D" w:rsidRPr="003A6407" w:rsidRDefault="00D5621D" w:rsidP="00202BB7">
            <w:pPr>
              <w:shd w:val="clear" w:color="auto" w:fill="FFFFFF"/>
              <w:spacing w:before="60" w:after="60" w:line="240" w:lineRule="auto"/>
              <w:jc w:val="both"/>
              <w:rPr>
                <w:rFonts w:eastAsia="Calibri"/>
              </w:rPr>
            </w:pPr>
            <w:r w:rsidRPr="003A6407">
              <w:rPr>
                <w:rFonts w:eastAsia="Calibri"/>
              </w:rPr>
              <w:t>Metodologia:</w:t>
            </w:r>
          </w:p>
          <w:p w14:paraId="4123294F" w14:textId="77777777" w:rsidR="00D5621D" w:rsidRPr="003A6407" w:rsidRDefault="00D5621D" w:rsidP="00202BB7">
            <w:pPr>
              <w:shd w:val="clear" w:color="auto" w:fill="FFFFFF"/>
              <w:spacing w:before="60" w:after="60" w:line="240" w:lineRule="auto"/>
              <w:jc w:val="both"/>
              <w:rPr>
                <w:rFonts w:eastAsia="Calibri"/>
              </w:rPr>
            </w:pPr>
            <w:r w:rsidRPr="003A6407">
              <w:rPr>
                <w:rFonts w:eastAsia="Calibri"/>
              </w:rPr>
              <w:t>Wskaźnik realizuje kod interwencji:</w:t>
            </w:r>
          </w:p>
          <w:p w14:paraId="7CF48CFE" w14:textId="77777777" w:rsidR="00D5621D" w:rsidRPr="003A6407" w:rsidRDefault="00D5621D" w:rsidP="00202BB7">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 Inwestycje w środki trwałe, w tym infrastrukturę badawczą, w mikroprzedsiębiorstwach bezpośrednio związane z działaniami badawczymi i innowacyjnymi (3 695 70</w:t>
            </w:r>
            <w:r>
              <w:rPr>
                <w:rFonts w:eastAsia="Calibri" w:cs="Times New Roman"/>
              </w:rPr>
              <w:t>5</w:t>
            </w:r>
            <w:r w:rsidRPr="003A6407">
              <w:rPr>
                <w:rFonts w:eastAsia="Calibri" w:cs="Times New Roman"/>
              </w:rPr>
              <w:t>EUR);</w:t>
            </w:r>
          </w:p>
          <w:p w14:paraId="4CD1EF8C" w14:textId="0E6A5DC7" w:rsidR="00D5621D" w:rsidRDefault="00D5621D" w:rsidP="00202BB7">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 Inwestycje w środki trwałe, w tym infrastrukturę badawczą, w małych i średnich przedsiębiorstwach (w tym prywatnych organizacjach badawczych) bezpośrednio związane z działaniami badawczymi i innowacyjnymi (27 688 305 EUR);</w:t>
            </w:r>
          </w:p>
          <w:p w14:paraId="219C4ACD" w14:textId="6C5AE8C3" w:rsidR="006807C8" w:rsidRPr="003A6407" w:rsidRDefault="006807C8" w:rsidP="008B7411">
            <w:pPr>
              <w:shd w:val="clear" w:color="auto" w:fill="FFFFFF"/>
              <w:spacing w:before="60" w:after="60" w:line="240" w:lineRule="auto"/>
              <w:ind w:left="928"/>
              <w:contextualSpacing/>
              <w:jc w:val="both"/>
              <w:rPr>
                <w:rFonts w:eastAsia="Calibri" w:cs="Times New Roman"/>
              </w:rPr>
            </w:pPr>
            <w:r>
              <w:rPr>
                <w:rFonts w:eastAsia="Calibri" w:cs="Times New Roman"/>
              </w:rPr>
              <w:t xml:space="preserve">Łącznie alokacja: </w:t>
            </w:r>
            <w:r w:rsidRPr="006807C8">
              <w:rPr>
                <w:rFonts w:eastAsia="Calibri" w:cs="Times New Roman"/>
              </w:rPr>
              <w:t>31 384</w:t>
            </w:r>
            <w:r>
              <w:rPr>
                <w:rFonts w:eastAsia="Calibri" w:cs="Times New Roman"/>
              </w:rPr>
              <w:t> </w:t>
            </w:r>
            <w:r w:rsidRPr="006807C8">
              <w:rPr>
                <w:rFonts w:eastAsia="Calibri" w:cs="Times New Roman"/>
              </w:rPr>
              <w:t>010</w:t>
            </w:r>
            <w:r>
              <w:rPr>
                <w:rFonts w:eastAsia="Calibri" w:cs="Times New Roman"/>
              </w:rPr>
              <w:t xml:space="preserve"> EUR</w:t>
            </w:r>
          </w:p>
          <w:p w14:paraId="19DDF26E" w14:textId="3DF6C9E1" w:rsidR="00D5621D" w:rsidRPr="003A6407" w:rsidRDefault="00D5621D" w:rsidP="00202BB7">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Pr="009423A5">
              <w:rPr>
                <w:rFonts w:eastAsia="Calibri"/>
              </w:rPr>
              <w:t xml:space="preserve"> </w:t>
            </w:r>
            <w:r w:rsidRPr="00D5621D">
              <w:rPr>
                <w:rFonts w:eastAsia="Calibri"/>
              </w:rPr>
              <w:t xml:space="preserve">139 658 844,50    </w:t>
            </w:r>
            <w:r w:rsidRPr="003A6407">
              <w:rPr>
                <w:rFonts w:eastAsia="Calibri"/>
              </w:rPr>
              <w:t xml:space="preserve">PLN. </w:t>
            </w:r>
          </w:p>
          <w:p w14:paraId="72AA311C" w14:textId="6A030083" w:rsidR="00D5621D" w:rsidRPr="003A6407" w:rsidRDefault="00D5621D" w:rsidP="00202BB7">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Pr="00D5621D">
              <w:rPr>
                <w:rFonts w:eastAsia="Calibri"/>
              </w:rPr>
              <w:t xml:space="preserve">712 615,40 </w:t>
            </w:r>
            <w:r w:rsidRPr="003A6407">
              <w:rPr>
                <w:rFonts w:eastAsia="Calibri"/>
              </w:rPr>
              <w:t>PLN.</w:t>
            </w:r>
            <w:r w:rsidRPr="003A6407">
              <w:t xml:space="preserve"> </w:t>
            </w:r>
            <w:r w:rsidRPr="003A6407">
              <w:rPr>
                <w:rFonts w:eastAsia="Calibri"/>
              </w:rPr>
              <w:t xml:space="preserve">Koszt jednostkowy został skorygowany w oparciu o wartość inflacji na poziomie 15% i wynosi </w:t>
            </w:r>
            <w:r w:rsidRPr="00D5621D">
              <w:rPr>
                <w:rFonts w:eastAsia="Calibri"/>
              </w:rPr>
              <w:t xml:space="preserve">819 507,71 </w:t>
            </w:r>
            <w:r w:rsidRPr="003A6407">
              <w:rPr>
                <w:rFonts w:eastAsia="Calibri"/>
              </w:rPr>
              <w:t xml:space="preserve">uwzględniając wartość dofinansowania na poziomie 70% wynosi </w:t>
            </w:r>
            <w:r w:rsidRPr="00D5621D">
              <w:rPr>
                <w:rFonts w:eastAsia="Calibri"/>
              </w:rPr>
              <w:t xml:space="preserve">573 655,40 </w:t>
            </w:r>
            <w:r w:rsidRPr="003A6407">
              <w:rPr>
                <w:rFonts w:eastAsia="Calibri"/>
              </w:rPr>
              <w:t xml:space="preserve">PLN, tj. </w:t>
            </w:r>
            <w:r w:rsidRPr="00D5621D">
              <w:rPr>
                <w:rFonts w:eastAsia="Calibri"/>
              </w:rPr>
              <w:t xml:space="preserve">128 911,33 </w:t>
            </w:r>
            <w:r w:rsidRPr="003A6407">
              <w:rPr>
                <w:rFonts w:eastAsia="Calibri"/>
              </w:rPr>
              <w:t xml:space="preserve">EUR. </w:t>
            </w:r>
          </w:p>
          <w:p w14:paraId="3BA4EB69" w14:textId="77777777" w:rsidR="00D5621D" w:rsidRPr="003A6407" w:rsidRDefault="00D5621D" w:rsidP="00202BB7">
            <w:pPr>
              <w:shd w:val="clear" w:color="auto" w:fill="FFFFFF"/>
              <w:spacing w:before="60" w:after="60" w:line="240" w:lineRule="auto"/>
              <w:jc w:val="both"/>
              <w:rPr>
                <w:rFonts w:eastAsia="Calibri"/>
              </w:rPr>
            </w:pPr>
          </w:p>
          <w:p w14:paraId="40E7FA9A" w14:textId="77777777" w:rsidR="00D5621D" w:rsidRPr="003A6407" w:rsidRDefault="00D5621D" w:rsidP="00202BB7">
            <w:pPr>
              <w:shd w:val="clear" w:color="auto" w:fill="FFFFFF"/>
              <w:spacing w:before="60" w:after="60" w:line="240" w:lineRule="auto"/>
              <w:jc w:val="both"/>
              <w:rPr>
                <w:rFonts w:eastAsia="Calibri"/>
              </w:rPr>
            </w:pPr>
            <w:r w:rsidRPr="003A6407">
              <w:rPr>
                <w:rFonts w:eastAsia="Calibri"/>
              </w:rPr>
              <w:t xml:space="preserve">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1E85CF86" w14:textId="586A03A2" w:rsidR="00D5621D" w:rsidRPr="003A6407" w:rsidRDefault="00D5621D" w:rsidP="00202BB7">
            <w:pPr>
              <w:spacing w:before="60" w:after="60" w:line="240" w:lineRule="auto"/>
              <w:jc w:val="both"/>
              <w:rPr>
                <w:rFonts w:eastAsia="Calibri"/>
              </w:rPr>
            </w:pPr>
            <w:r w:rsidRPr="003A6407">
              <w:rPr>
                <w:rFonts w:eastAsia="Calibri"/>
              </w:rPr>
              <w:t>R= [(4*25)+(</w:t>
            </w:r>
            <w:r w:rsidR="00E67EC1">
              <w:rPr>
                <w:rFonts w:eastAsia="Calibri"/>
              </w:rPr>
              <w:t>2</w:t>
            </w:r>
            <w:r w:rsidRPr="003A6407">
              <w:rPr>
                <w:rFonts w:eastAsia="Calibri"/>
              </w:rPr>
              <w:t>*68)]/</w:t>
            </w:r>
            <w:r w:rsidR="00E67EC1">
              <w:rPr>
                <w:rFonts w:eastAsia="Calibri"/>
              </w:rPr>
              <w:t>6</w:t>
            </w:r>
            <w:r w:rsidRPr="003A6407">
              <w:rPr>
                <w:rFonts w:eastAsia="Calibri"/>
              </w:rPr>
              <w:t>=</w:t>
            </w:r>
            <w:r w:rsidR="00E67EC1">
              <w:rPr>
                <w:rFonts w:eastAsia="Calibri"/>
              </w:rPr>
              <w:t>39,33</w:t>
            </w:r>
            <w:r w:rsidRPr="003A6407">
              <w:rPr>
                <w:rFonts w:eastAsia="Calibri"/>
              </w:rPr>
              <w:t xml:space="preserve">. Wartość zaokrąglono do pełnej wartości </w:t>
            </w:r>
            <w:r w:rsidR="00E67EC1">
              <w:rPr>
                <w:rFonts w:eastAsia="Calibri"/>
              </w:rPr>
              <w:t>39%</w:t>
            </w:r>
            <w:r w:rsidRPr="003A6407">
              <w:rPr>
                <w:rFonts w:eastAsia="Calibri"/>
              </w:rPr>
              <w:t xml:space="preserve">. </w:t>
            </w:r>
          </w:p>
          <w:p w14:paraId="0E76F889" w14:textId="77777777" w:rsidR="00D5621D" w:rsidRPr="003A6407" w:rsidRDefault="00D5621D" w:rsidP="00202BB7">
            <w:pPr>
              <w:shd w:val="clear" w:color="auto" w:fill="FFFFFF"/>
              <w:spacing w:before="60" w:after="60" w:line="240" w:lineRule="auto"/>
              <w:jc w:val="both"/>
              <w:rPr>
                <w:rFonts w:eastAsia="Calibri"/>
              </w:rPr>
            </w:pPr>
          </w:p>
          <w:p w14:paraId="052963BC" w14:textId="77777777" w:rsidR="00D5621D" w:rsidRPr="003A6407" w:rsidRDefault="00D5621D" w:rsidP="00202BB7">
            <w:pPr>
              <w:shd w:val="clear" w:color="auto" w:fill="FFFFFF"/>
              <w:spacing w:before="60" w:after="60" w:line="240" w:lineRule="auto"/>
              <w:jc w:val="both"/>
              <w:rPr>
                <w:rFonts w:eastAsia="Calibri"/>
              </w:rPr>
            </w:pPr>
            <w:r w:rsidRPr="003A6407">
              <w:rPr>
                <w:rFonts w:eastAsia="Calibri"/>
              </w:rPr>
              <w:t>Wyliczenie:</w:t>
            </w:r>
          </w:p>
          <w:p w14:paraId="1FE3CD1C" w14:textId="5349B9E1" w:rsidR="00D5621D" w:rsidRPr="003A6407" w:rsidRDefault="00304AF0" w:rsidP="00202BB7">
            <w:pPr>
              <w:shd w:val="clear" w:color="auto" w:fill="FFFFFF"/>
              <w:spacing w:before="60" w:after="60" w:line="240" w:lineRule="auto"/>
              <w:jc w:val="both"/>
              <w:rPr>
                <w:rFonts w:eastAsia="Calibri"/>
              </w:rPr>
            </w:pPr>
            <w:r>
              <w:rPr>
                <w:rFonts w:eastAsia="Calibri"/>
              </w:rPr>
              <w:t>(</w:t>
            </w:r>
            <w:r w:rsidR="00E67EC1" w:rsidRPr="00E67EC1">
              <w:rPr>
                <w:rFonts w:eastAsia="Calibri"/>
              </w:rPr>
              <w:t xml:space="preserve">31 384 010,0 </w:t>
            </w:r>
            <w:r w:rsidR="00D5621D" w:rsidRPr="003A6407">
              <w:rPr>
                <w:rFonts w:eastAsia="Calibri"/>
              </w:rPr>
              <w:t xml:space="preserve">/ </w:t>
            </w:r>
            <w:r w:rsidR="00E67EC1" w:rsidRPr="00E67EC1">
              <w:rPr>
                <w:rFonts w:eastAsia="Calibri"/>
              </w:rPr>
              <w:t xml:space="preserve">128 911,33 </w:t>
            </w:r>
            <w:r w:rsidR="00D5621D" w:rsidRPr="003A6407">
              <w:rPr>
                <w:rFonts w:eastAsia="Calibri"/>
              </w:rPr>
              <w:t>* (1-0,</w:t>
            </w:r>
            <w:r w:rsidR="00E67EC1">
              <w:rPr>
                <w:rFonts w:eastAsia="Calibri"/>
              </w:rPr>
              <w:t>39</w:t>
            </w:r>
            <w:r w:rsidR="00D5621D" w:rsidRPr="003A6407">
              <w:rPr>
                <w:rFonts w:eastAsia="Calibri"/>
              </w:rPr>
              <w:t>)</w:t>
            </w:r>
            <w:r>
              <w:rPr>
                <w:rFonts w:eastAsia="Calibri"/>
              </w:rPr>
              <w:t>)</w:t>
            </w:r>
            <w:r w:rsidR="00D5621D" w:rsidRPr="003A6407">
              <w:rPr>
                <w:rFonts w:eastAsia="Calibri"/>
              </w:rPr>
              <w:t xml:space="preserve"> </w:t>
            </w:r>
            <w:r>
              <w:rPr>
                <w:rFonts w:eastAsia="Calibri"/>
              </w:rPr>
              <w:t>/7</w:t>
            </w:r>
            <w:r w:rsidR="00050350">
              <w:rPr>
                <w:rFonts w:eastAsia="Calibri"/>
              </w:rPr>
              <w:t xml:space="preserve"> lat programu</w:t>
            </w:r>
            <w:r>
              <w:rPr>
                <w:rFonts w:eastAsia="Calibri"/>
              </w:rPr>
              <w:t xml:space="preserve"> </w:t>
            </w:r>
            <w:r w:rsidR="00D5621D" w:rsidRPr="003A6407">
              <w:rPr>
                <w:rFonts w:eastAsia="Calibri"/>
              </w:rPr>
              <w:t xml:space="preserve">= </w:t>
            </w:r>
            <w:r>
              <w:rPr>
                <w:rFonts w:eastAsia="Calibri"/>
              </w:rPr>
              <w:t>21 [</w:t>
            </w:r>
            <w:r w:rsidRPr="00304AF0">
              <w:rPr>
                <w:rFonts w:eastAsia="Calibri"/>
              </w:rPr>
              <w:t>roczn</w:t>
            </w:r>
            <w:r w:rsidR="001910A1">
              <w:rPr>
                <w:rFonts w:eastAsia="Calibri"/>
              </w:rPr>
              <w:t>y</w:t>
            </w:r>
            <w:r w:rsidRPr="00304AF0">
              <w:rPr>
                <w:rFonts w:eastAsia="Calibri"/>
              </w:rPr>
              <w:t xml:space="preserve"> EPC</w:t>
            </w:r>
            <w:r>
              <w:rPr>
                <w:rFonts w:eastAsia="Calibri"/>
              </w:rPr>
              <w:t>]</w:t>
            </w:r>
          </w:p>
          <w:p w14:paraId="01406C4A" w14:textId="77777777" w:rsidR="00D5621D" w:rsidRPr="003A6407" w:rsidRDefault="00D5621D" w:rsidP="00202BB7">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25BDEEAF" w14:textId="021AA41B" w:rsidR="00E67EC1" w:rsidRPr="00E67EC1" w:rsidRDefault="00E67EC1">
            <w:pPr>
              <w:numPr>
                <w:ilvl w:val="0"/>
                <w:numId w:val="90"/>
              </w:numPr>
              <w:shd w:val="clear" w:color="auto" w:fill="FFFFFF"/>
              <w:spacing w:before="60" w:after="60" w:line="240" w:lineRule="auto"/>
              <w:contextualSpacing/>
              <w:jc w:val="both"/>
              <w:rPr>
                <w:rFonts w:eastAsia="Calibri" w:cs="Times New Roman"/>
                <w:b/>
                <w:color w:val="000000"/>
              </w:rPr>
            </w:pPr>
            <w:r w:rsidRPr="00E67EC1">
              <w:rPr>
                <w:rFonts w:eastAsia="Calibri" w:cs="Times New Roman"/>
                <w:b/>
                <w:color w:val="000000"/>
              </w:rPr>
              <w:t xml:space="preserve">Ryzyko walutowe – </w:t>
            </w:r>
            <w:r w:rsidRPr="00E67EC1">
              <w:rPr>
                <w:rFonts w:eastAsia="Calibri" w:cs="Times New Roman"/>
                <w:bCs/>
                <w:color w:val="000000"/>
              </w:rPr>
              <w:t>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r w:rsidRPr="00E67EC1">
              <w:rPr>
                <w:rFonts w:eastAsia="Calibri" w:cs="Times New Roman"/>
                <w:b/>
                <w:color w:val="000000"/>
              </w:rPr>
              <w:t>;</w:t>
            </w:r>
          </w:p>
          <w:p w14:paraId="027A70D7" w14:textId="547C0482" w:rsidR="00E67EC1" w:rsidRPr="00E67EC1" w:rsidRDefault="00E67EC1">
            <w:pPr>
              <w:numPr>
                <w:ilvl w:val="0"/>
                <w:numId w:val="90"/>
              </w:numPr>
              <w:shd w:val="clear" w:color="auto" w:fill="FFFFFF"/>
              <w:spacing w:before="60" w:after="60" w:line="240" w:lineRule="auto"/>
              <w:contextualSpacing/>
              <w:jc w:val="both"/>
              <w:rPr>
                <w:rFonts w:eastAsia="Calibri" w:cs="Times New Roman"/>
                <w:b/>
                <w:color w:val="000000"/>
              </w:rPr>
            </w:pPr>
            <w:r w:rsidRPr="00E67EC1">
              <w:rPr>
                <w:rFonts w:eastAsia="Calibri" w:cs="Times New Roman"/>
                <w:b/>
                <w:color w:val="000000"/>
              </w:rPr>
              <w:t xml:space="preserve">Zawieszenie płatności przez KE dla danej osi priorytetowej; </w:t>
            </w:r>
            <w:r w:rsidRPr="00E67EC1">
              <w:rPr>
                <w:rFonts w:eastAsia="Calibri" w:cs="Times New Roman"/>
                <w:bCs/>
                <w:color w:val="000000"/>
              </w:rPr>
              <w:t>(istotność: umiarkowana);</w:t>
            </w:r>
          </w:p>
          <w:p w14:paraId="2E47A39A" w14:textId="651E3A69" w:rsidR="00E67EC1" w:rsidRPr="00E67EC1" w:rsidRDefault="00E67EC1">
            <w:pPr>
              <w:numPr>
                <w:ilvl w:val="0"/>
                <w:numId w:val="90"/>
              </w:numPr>
              <w:shd w:val="clear" w:color="auto" w:fill="FFFFFF"/>
              <w:spacing w:before="60" w:after="60" w:line="240" w:lineRule="auto"/>
              <w:contextualSpacing/>
              <w:jc w:val="both"/>
              <w:rPr>
                <w:rFonts w:eastAsia="Calibri" w:cs="Times New Roman"/>
                <w:bCs/>
                <w:color w:val="000000"/>
              </w:rPr>
            </w:pPr>
            <w:r w:rsidRPr="00E67EC1">
              <w:rPr>
                <w:rFonts w:eastAsia="Calibri" w:cs="Times New Roman"/>
                <w:b/>
                <w:color w:val="000000"/>
              </w:rPr>
              <w:t xml:space="preserve">Opóźnienia, bądź niewykonanie projektu </w:t>
            </w:r>
            <w:r w:rsidRPr="00E67EC1">
              <w:rPr>
                <w:rFonts w:eastAsia="Calibri" w:cs="Times New Roman"/>
                <w:bCs/>
                <w:color w:val="000000"/>
              </w:rPr>
              <w:t>związane z problemem zabezpieczenia wkładu własnego wnioskodawcy (istotność: poważna); (istotność: poważna);</w:t>
            </w:r>
          </w:p>
          <w:p w14:paraId="0D5C06F8" w14:textId="74FED88E" w:rsidR="00E67EC1" w:rsidRPr="00E67EC1" w:rsidRDefault="00E67EC1">
            <w:pPr>
              <w:numPr>
                <w:ilvl w:val="0"/>
                <w:numId w:val="90"/>
              </w:numPr>
              <w:shd w:val="clear" w:color="auto" w:fill="FFFFFF"/>
              <w:spacing w:before="60" w:after="60" w:line="240" w:lineRule="auto"/>
              <w:contextualSpacing/>
              <w:jc w:val="both"/>
              <w:rPr>
                <w:rFonts w:eastAsia="Calibri" w:cs="Times New Roman"/>
                <w:bCs/>
                <w:color w:val="000000"/>
              </w:rPr>
            </w:pPr>
            <w:r>
              <w:rPr>
                <w:rFonts w:eastAsia="Calibri" w:cs="Times New Roman"/>
                <w:b/>
                <w:color w:val="000000"/>
              </w:rPr>
              <w:t>W</w:t>
            </w:r>
            <w:r w:rsidRPr="00E67EC1">
              <w:rPr>
                <w:rFonts w:eastAsia="Calibri" w:cs="Times New Roman"/>
                <w:b/>
                <w:color w:val="000000"/>
              </w:rPr>
              <w:t xml:space="preserve">pływ pandemii Covid-19 na gospodarkę regionalną, </w:t>
            </w:r>
            <w:r w:rsidRPr="00E67EC1">
              <w:rPr>
                <w:rFonts w:eastAsia="Calibri" w:cs="Times New Roman"/>
                <w:bCs/>
                <w:color w:val="000000"/>
              </w:rPr>
              <w:t>potencjalne możliwości realizacji projektów, na zdolności inwestycyjne i nastroje przedsiębiorstw oraz innych beneficjentów do inwestowania, zdolność administracyjną i kadrową (istotność: umiarkowana)</w:t>
            </w:r>
            <w:r>
              <w:rPr>
                <w:rFonts w:eastAsia="Calibri" w:cs="Times New Roman"/>
                <w:bCs/>
                <w:color w:val="000000"/>
              </w:rPr>
              <w:t>;</w:t>
            </w:r>
          </w:p>
          <w:p w14:paraId="1E840F2B" w14:textId="5F61AE6D" w:rsidR="00E67EC1" w:rsidRPr="00E67EC1" w:rsidRDefault="00E67EC1">
            <w:pPr>
              <w:numPr>
                <w:ilvl w:val="0"/>
                <w:numId w:val="90"/>
              </w:numPr>
              <w:shd w:val="clear" w:color="auto" w:fill="FFFFFF"/>
              <w:spacing w:before="60" w:after="60" w:line="240" w:lineRule="auto"/>
              <w:contextualSpacing/>
              <w:jc w:val="both"/>
              <w:rPr>
                <w:rFonts w:eastAsia="Calibri" w:cs="Times New Roman"/>
                <w:bCs/>
                <w:color w:val="000000"/>
              </w:rPr>
            </w:pPr>
            <w:r w:rsidRPr="00E67EC1">
              <w:rPr>
                <w:rFonts w:eastAsia="Calibri" w:cs="Times New Roman"/>
                <w:b/>
                <w:color w:val="000000"/>
              </w:rPr>
              <w:lastRenderedPageBreak/>
              <w:t xml:space="preserve">Rozwiązane umowy o dofinansowanie realizacji projektu – </w:t>
            </w:r>
            <w:r w:rsidRPr="00E67EC1">
              <w:rPr>
                <w:rFonts w:eastAsia="Calibri" w:cs="Times New Roman"/>
                <w:bCs/>
                <w:color w:val="000000"/>
              </w:rPr>
              <w:t>(istotność: umiarkowana)</w:t>
            </w:r>
            <w:r>
              <w:rPr>
                <w:rFonts w:eastAsia="Calibri" w:cs="Times New Roman"/>
                <w:bCs/>
                <w:color w:val="000000"/>
              </w:rPr>
              <w:t>;</w:t>
            </w:r>
          </w:p>
          <w:p w14:paraId="5B7EBE0E" w14:textId="648BD5F9" w:rsidR="00D5621D" w:rsidRPr="00E67EC1" w:rsidRDefault="00E67EC1">
            <w:pPr>
              <w:numPr>
                <w:ilvl w:val="0"/>
                <w:numId w:val="90"/>
              </w:numPr>
              <w:spacing w:after="0" w:line="240" w:lineRule="auto"/>
              <w:contextualSpacing/>
              <w:jc w:val="both"/>
              <w:rPr>
                <w:rFonts w:eastAsia="Calibri" w:cs="Times New Roman"/>
                <w:bCs/>
                <w:color w:val="000000"/>
                <w:sz w:val="22"/>
                <w:szCs w:val="22"/>
              </w:rPr>
            </w:pPr>
            <w:r w:rsidRPr="00E67EC1">
              <w:rPr>
                <w:rFonts w:eastAsia="Calibri" w:cs="Times New Roman"/>
                <w:b/>
                <w:color w:val="000000"/>
              </w:rPr>
              <w:t xml:space="preserve">Brak zainteresowania oferowanym wsparciem </w:t>
            </w:r>
            <w:r w:rsidRPr="00E67EC1">
              <w:rPr>
                <w:rFonts w:eastAsia="Calibri" w:cs="Times New Roman"/>
                <w:bCs/>
                <w:color w:val="000000"/>
              </w:rPr>
              <w:t>ze strony przedsiębiorstw oraz podmiotów instytucjonalnych (istotność: poważna)</w:t>
            </w:r>
            <w:r>
              <w:rPr>
                <w:rFonts w:eastAsia="Calibri" w:cs="Times New Roman"/>
                <w:bCs/>
                <w:color w:val="000000"/>
              </w:rPr>
              <w:t>.</w:t>
            </w:r>
          </w:p>
          <w:p w14:paraId="284DF5EE" w14:textId="77777777" w:rsidR="00D5621D" w:rsidRPr="003A6407" w:rsidRDefault="00D5621D" w:rsidP="00202BB7">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51E072F1" w14:textId="52828118" w:rsidR="00D5621D" w:rsidRPr="003B67D2" w:rsidRDefault="00D5621D" w:rsidP="00202BB7">
            <w:pPr>
              <w:spacing w:after="0" w:line="240" w:lineRule="auto"/>
              <w:contextualSpacing/>
              <w:jc w:val="both"/>
              <w:rPr>
                <w:rFonts w:eastAsia="Calibri" w:cs="Times New Roman"/>
                <w:b/>
                <w:bCs/>
                <w:color w:val="000000"/>
              </w:rPr>
            </w:pPr>
            <w:bookmarkStart w:id="52" w:name="_Hlk120007080"/>
            <w:r w:rsidRPr="003A6407">
              <w:rPr>
                <w:rFonts w:eastAsia="Calibri" w:cs="Times New Roman"/>
                <w:b/>
                <w:bCs/>
                <w:color w:val="000000"/>
              </w:rPr>
              <w:t>Projekty infrastrukturalne finansowane w ramach EFRR/FST cechują się dłuższym okresem realizacji i rozliczenia a biorąc pod uwagę termin zatwierdzenia</w:t>
            </w:r>
            <w:r>
              <w:rPr>
                <w:rFonts w:eastAsia="Calibri" w:cs="Times New Roman"/>
                <w:b/>
                <w:bCs/>
                <w:color w:val="000000"/>
              </w:rPr>
              <w:t xml:space="preserve"> programu</w:t>
            </w:r>
            <w:r w:rsidRPr="003A6407">
              <w:rPr>
                <w:rFonts w:eastAsia="Calibri" w:cs="Times New Roman"/>
                <w:b/>
                <w:bCs/>
                <w:color w:val="000000"/>
              </w:rPr>
              <w:t xml:space="preserve"> </w:t>
            </w:r>
            <w:r>
              <w:rPr>
                <w:rFonts w:eastAsia="Calibri" w:cs="Times New Roman"/>
                <w:b/>
                <w:bCs/>
                <w:color w:val="000000"/>
              </w:rPr>
              <w:t>cel pośredni dla 2024 r. będzie mógł być osiągnięty na niskim poziomie.</w:t>
            </w:r>
            <w:r w:rsidRPr="003A6407">
              <w:rPr>
                <w:rFonts w:eastAsia="Calibri" w:cs="Times New Roman"/>
                <w:b/>
                <w:bCs/>
                <w:color w:val="000000"/>
              </w:rPr>
              <w:t xml:space="preserve"> Przeanalizowano dane historyczne z wdrażania RPO WD 2014-2020 (PI 1b), na podstawie </w:t>
            </w:r>
            <w:r w:rsidR="00A32B51">
              <w:rPr>
                <w:rFonts w:eastAsia="Calibri" w:cs="Times New Roman"/>
                <w:b/>
                <w:bCs/>
                <w:color w:val="000000"/>
              </w:rPr>
              <w:t xml:space="preserve">danych </w:t>
            </w:r>
            <w:r w:rsidR="003B67D2">
              <w:rPr>
                <w:rFonts w:eastAsia="Calibri" w:cs="Times New Roman"/>
                <w:b/>
                <w:bCs/>
                <w:color w:val="000000"/>
              </w:rPr>
              <w:t xml:space="preserve">IZ RPO </w:t>
            </w:r>
            <w:r w:rsidR="00A32B51">
              <w:rPr>
                <w:rFonts w:eastAsia="Calibri" w:cs="Times New Roman"/>
                <w:b/>
                <w:bCs/>
                <w:color w:val="000000"/>
              </w:rPr>
              <w:t xml:space="preserve">z SL </w:t>
            </w:r>
            <w:r w:rsidRPr="003A6407">
              <w:rPr>
                <w:rFonts w:eastAsia="Calibri" w:cs="Times New Roman"/>
                <w:b/>
                <w:bCs/>
                <w:color w:val="000000"/>
              </w:rPr>
              <w:t xml:space="preserve">- wskaźnik pn. </w:t>
            </w:r>
            <w:r w:rsidR="00E67EC1" w:rsidRPr="00E67EC1">
              <w:rPr>
                <w:rFonts w:eastAsia="Calibri" w:cs="Times New Roman"/>
                <w:b/>
                <w:bCs/>
                <w:color w:val="000000"/>
              </w:rPr>
              <w:t>Liczba naukowców pracujących w ulepszonych obiektach infrastruktury badawczej (CI 25</w:t>
            </w:r>
            <w:r w:rsidR="00E67EC1" w:rsidRPr="003B67D2">
              <w:rPr>
                <w:rFonts w:eastAsia="Calibri" w:cs="Times New Roman"/>
                <w:b/>
                <w:bCs/>
                <w:color w:val="000000"/>
              </w:rPr>
              <w:t xml:space="preserve">) </w:t>
            </w:r>
            <w:r w:rsidRPr="003B67D2">
              <w:rPr>
                <w:rFonts w:eastAsia="Calibri" w:cs="Times New Roman"/>
                <w:b/>
                <w:bCs/>
                <w:color w:val="000000"/>
              </w:rPr>
              <w:t xml:space="preserve"> w 201</w:t>
            </w:r>
            <w:r w:rsidR="003B67D2" w:rsidRPr="003B67D2">
              <w:rPr>
                <w:rFonts w:eastAsia="Calibri" w:cs="Times New Roman"/>
                <w:b/>
                <w:bCs/>
                <w:color w:val="000000"/>
              </w:rPr>
              <w:t>6</w:t>
            </w:r>
            <w:r w:rsidRPr="003B67D2">
              <w:rPr>
                <w:rFonts w:eastAsia="Calibri" w:cs="Times New Roman"/>
                <w:b/>
                <w:bCs/>
                <w:color w:val="000000"/>
              </w:rPr>
              <w:t xml:space="preserve"> r. osiągnął wartość 3</w:t>
            </w:r>
            <w:r w:rsidR="003B67D2" w:rsidRPr="003B67D2">
              <w:rPr>
                <w:rFonts w:eastAsia="Calibri" w:cs="Times New Roman"/>
                <w:b/>
                <w:bCs/>
                <w:color w:val="000000"/>
              </w:rPr>
              <w:t>1</w:t>
            </w:r>
            <w:r w:rsidRPr="003B67D2">
              <w:rPr>
                <w:rFonts w:eastAsia="Calibri" w:cs="Times New Roman"/>
                <w:b/>
                <w:bCs/>
                <w:color w:val="000000"/>
              </w:rPr>
              <w:t>, co wobec wartości z wykonania na 2021 r. (</w:t>
            </w:r>
            <w:r w:rsidR="003B67D2" w:rsidRPr="003B67D2">
              <w:rPr>
                <w:rFonts w:eastAsia="Calibri" w:cs="Times New Roman"/>
                <w:b/>
                <w:bCs/>
                <w:color w:val="000000"/>
              </w:rPr>
              <w:t>415,5</w:t>
            </w:r>
            <w:r w:rsidRPr="003B67D2">
              <w:rPr>
                <w:rFonts w:eastAsia="Calibri" w:cs="Times New Roman"/>
                <w:b/>
                <w:bCs/>
                <w:color w:val="000000"/>
              </w:rPr>
              <w:t xml:space="preserve">) stanowi zaledwie </w:t>
            </w:r>
            <w:r w:rsidR="003B67D2" w:rsidRPr="003B67D2">
              <w:rPr>
                <w:rFonts w:eastAsia="Calibri" w:cs="Times New Roman"/>
                <w:b/>
                <w:bCs/>
                <w:color w:val="000000"/>
              </w:rPr>
              <w:t>7,5</w:t>
            </w:r>
            <w:r w:rsidRPr="003B67D2">
              <w:rPr>
                <w:rFonts w:eastAsia="Calibri" w:cs="Times New Roman"/>
                <w:b/>
                <w:bCs/>
                <w:color w:val="000000"/>
              </w:rPr>
              <w:t xml:space="preserve">%. </w:t>
            </w:r>
          </w:p>
          <w:p w14:paraId="2AA66C55" w14:textId="2B5F58FC" w:rsidR="00D5621D" w:rsidRPr="003A6407" w:rsidRDefault="00D5621D" w:rsidP="00202BB7">
            <w:pPr>
              <w:spacing w:after="0" w:line="240" w:lineRule="auto"/>
              <w:contextualSpacing/>
              <w:jc w:val="both"/>
              <w:rPr>
                <w:rFonts w:eastAsia="Calibri" w:cs="Times New Roman"/>
                <w:color w:val="000000"/>
                <w:sz w:val="22"/>
                <w:szCs w:val="22"/>
              </w:rPr>
            </w:pPr>
            <w:r w:rsidRPr="003B67D2">
              <w:rPr>
                <w:rFonts w:eastAsia="Calibri" w:cs="Times New Roman"/>
                <w:b/>
                <w:bCs/>
                <w:color w:val="000000"/>
              </w:rPr>
              <w:t>Mając na uwadze, powyższe w ramach FEDS wartość pośrednią ustalono na poziomie 3% wartości docelowej</w:t>
            </w:r>
            <w:bookmarkEnd w:id="52"/>
            <w:r w:rsidR="003B67D2">
              <w:rPr>
                <w:rFonts w:eastAsia="Calibri" w:cs="Times New Roman"/>
                <w:b/>
                <w:bCs/>
                <w:color w:val="000000"/>
              </w:rPr>
              <w:t xml:space="preserve">, tj. </w:t>
            </w:r>
            <w:r w:rsidR="00304AF0">
              <w:rPr>
                <w:rFonts w:eastAsia="Calibri" w:cs="Times New Roman"/>
                <w:b/>
                <w:bCs/>
                <w:color w:val="000000"/>
              </w:rPr>
              <w:t>1</w:t>
            </w:r>
            <w:r w:rsidR="003B67D2">
              <w:rPr>
                <w:rFonts w:eastAsia="Calibri" w:cs="Times New Roman"/>
                <w:b/>
                <w:bCs/>
                <w:color w:val="000000"/>
              </w:rPr>
              <w:t xml:space="preserve"> (</w:t>
            </w:r>
            <w:r w:rsidR="003B67D2" w:rsidRPr="003B67D2">
              <w:rPr>
                <w:rFonts w:eastAsia="Calibri" w:cs="Times New Roman"/>
                <w:b/>
                <w:bCs/>
                <w:color w:val="000000"/>
              </w:rPr>
              <w:t>w zaokrągleniu do pełnej wartości).</w:t>
            </w:r>
          </w:p>
        </w:tc>
      </w:tr>
    </w:tbl>
    <w:p w14:paraId="6EF93E9A" w14:textId="77777777" w:rsidR="00D5621D" w:rsidRDefault="00D5621D" w:rsidP="00FD5A66">
      <w:pPr>
        <w:rPr>
          <w:rFonts w:eastAsia="Calibri"/>
        </w:rPr>
      </w:pPr>
    </w:p>
    <w:p w14:paraId="4FBBC836" w14:textId="77777777" w:rsidR="00D5621D" w:rsidRPr="003A6407" w:rsidRDefault="00D5621D" w:rsidP="00FD5A66">
      <w:pPr>
        <w:rPr>
          <w:rFonts w:eastAsia="Calibr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5A5A1903" w14:textId="77777777" w:rsidTr="00716556">
        <w:trPr>
          <w:cantSplit/>
          <w:trHeight w:val="1647"/>
        </w:trPr>
        <w:tc>
          <w:tcPr>
            <w:tcW w:w="451" w:type="pct"/>
            <w:shd w:val="clear" w:color="auto" w:fill="auto"/>
            <w:vAlign w:val="center"/>
          </w:tcPr>
          <w:p w14:paraId="032A2BD6"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bookmarkStart w:id="53" w:name="_Hlk120002739"/>
            <w:r w:rsidRPr="003A6407">
              <w:rPr>
                <w:rFonts w:eastAsia="Calibri" w:cs="Times New Roman"/>
                <w:b/>
                <w:noProof/>
                <w:sz w:val="16"/>
                <w:szCs w:val="16"/>
              </w:rPr>
              <w:t>CP 1</w:t>
            </w:r>
          </w:p>
          <w:p w14:paraId="03E06FB0" w14:textId="7157163D"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5429563B"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50DDF51B"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6E10FC00" w14:textId="77777777" w:rsidR="00BB0F80" w:rsidRPr="003A6407" w:rsidRDefault="00BB0F80" w:rsidP="00716556">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1CA07B1F" w14:textId="34FD1ADF"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53A0161F"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3F7D9680"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50039446"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345C3139"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4FD931D8"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r>
      <w:tr w:rsidR="00BB0F80" w:rsidRPr="003A6407" w14:paraId="4447A598" w14:textId="77777777" w:rsidTr="00716556">
        <w:trPr>
          <w:trHeight w:val="340"/>
        </w:trPr>
        <w:tc>
          <w:tcPr>
            <w:tcW w:w="451" w:type="pct"/>
            <w:shd w:val="clear" w:color="auto" w:fill="auto"/>
            <w:vAlign w:val="center"/>
          </w:tcPr>
          <w:p w14:paraId="7F002521" w14:textId="77777777" w:rsidR="00BB0F80"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4D7E775C" w14:textId="363223A6" w:rsidR="00572DDA" w:rsidRPr="003A6407" w:rsidRDefault="00572DDA"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07B5D426"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65987378"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2492AF3E" w14:textId="2C03740A"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RCO10</w:t>
            </w:r>
          </w:p>
        </w:tc>
        <w:tc>
          <w:tcPr>
            <w:tcW w:w="1206" w:type="pct"/>
            <w:shd w:val="clear" w:color="auto" w:fill="auto"/>
            <w:vAlign w:val="center"/>
          </w:tcPr>
          <w:p w14:paraId="2A599F89" w14:textId="77777777" w:rsidR="00BB0F80" w:rsidRPr="003A6407" w:rsidRDefault="00BB0F80" w:rsidP="00716556">
            <w:pPr>
              <w:keepNext/>
              <w:keepLines/>
              <w:spacing w:before="200" w:after="0"/>
              <w:jc w:val="center"/>
              <w:outlineLvl w:val="2"/>
              <w:rPr>
                <w:rFonts w:eastAsia="Times New Roman" w:cs="Times New Roman"/>
                <w:b/>
                <w:bCs/>
                <w:noProof/>
              </w:rPr>
            </w:pPr>
            <w:bookmarkStart w:id="54" w:name="_Toc97127013"/>
            <w:bookmarkStart w:id="55" w:name="_Toc114662353"/>
            <w:bookmarkStart w:id="56" w:name="_Toc120464358"/>
            <w:r w:rsidRPr="003A6407">
              <w:rPr>
                <w:rFonts w:asciiTheme="minorHAnsi" w:eastAsia="Times New Roman" w:hAnsiTheme="minorHAnsi" w:cstheme="minorHAnsi"/>
                <w:bCs/>
                <w:noProof/>
              </w:rPr>
              <w:t>Przedsiębiorstwa współpracujące z organizacjami badawczymi</w:t>
            </w:r>
            <w:bookmarkEnd w:id="54"/>
            <w:bookmarkEnd w:id="55"/>
            <w:bookmarkEnd w:id="56"/>
          </w:p>
        </w:tc>
        <w:tc>
          <w:tcPr>
            <w:tcW w:w="884" w:type="pct"/>
            <w:shd w:val="clear" w:color="auto" w:fill="auto"/>
            <w:vAlign w:val="center"/>
          </w:tcPr>
          <w:p w14:paraId="4B4A2595" w14:textId="3D289BC7" w:rsidR="00BB0F80" w:rsidRPr="003A6407" w:rsidRDefault="00533365"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w:t>
            </w:r>
            <w:r w:rsidR="00A826C7">
              <w:rPr>
                <w:rFonts w:eastAsia="Calibri" w:cs="Times New Roman"/>
                <w:noProof/>
                <w:sz w:val="16"/>
                <w:szCs w:val="16"/>
              </w:rPr>
              <w:t>ę</w:t>
            </w:r>
            <w:r>
              <w:rPr>
                <w:rFonts w:eastAsia="Calibri" w:cs="Times New Roman"/>
                <w:noProof/>
                <w:sz w:val="16"/>
                <w:szCs w:val="16"/>
              </w:rPr>
              <w:t>biorstwa</w:t>
            </w:r>
          </w:p>
        </w:tc>
        <w:tc>
          <w:tcPr>
            <w:tcW w:w="482" w:type="pct"/>
            <w:shd w:val="clear" w:color="auto" w:fill="auto"/>
            <w:vAlign w:val="center"/>
          </w:tcPr>
          <w:p w14:paraId="7690A4A9" w14:textId="378680E6" w:rsidR="00BB0F80" w:rsidRPr="003A6407" w:rsidRDefault="0036719D"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890103" w:rsidRPr="003A6407">
              <w:rPr>
                <w:rFonts w:eastAsia="Calibri" w:cs="Times New Roman"/>
                <w:noProof/>
                <w:sz w:val="16"/>
                <w:szCs w:val="16"/>
              </w:rPr>
              <w:t>,00</w:t>
            </w:r>
          </w:p>
        </w:tc>
        <w:tc>
          <w:tcPr>
            <w:tcW w:w="502" w:type="pct"/>
            <w:shd w:val="clear" w:color="auto" w:fill="auto"/>
            <w:vAlign w:val="center"/>
          </w:tcPr>
          <w:p w14:paraId="62ADE56E" w14:textId="69BBE845" w:rsidR="00BB0F80" w:rsidRPr="003A6407" w:rsidRDefault="00BB0F80" w:rsidP="00716556">
            <w:pPr>
              <w:spacing w:after="0" w:line="240" w:lineRule="auto"/>
              <w:jc w:val="center"/>
              <w:rPr>
                <w:rFonts w:eastAsia="Calibri" w:cs="Times New Roman"/>
                <w:noProof/>
                <w:sz w:val="16"/>
                <w:szCs w:val="16"/>
              </w:rPr>
            </w:pPr>
            <w:r w:rsidRPr="003A6407">
              <w:rPr>
                <w:rFonts w:eastAsia="Calibri" w:cs="Times New Roman"/>
                <w:noProof/>
                <w:sz w:val="16"/>
                <w:szCs w:val="16"/>
              </w:rPr>
              <w:t>103</w:t>
            </w:r>
            <w:r w:rsidR="00716556" w:rsidRPr="003A6407">
              <w:rPr>
                <w:rFonts w:eastAsia="Calibri" w:cs="Times New Roman"/>
                <w:noProof/>
                <w:sz w:val="16"/>
                <w:szCs w:val="16"/>
              </w:rPr>
              <w:t>,00</w:t>
            </w:r>
          </w:p>
        </w:tc>
      </w:tr>
      <w:tr w:rsidR="00BB0F80" w:rsidRPr="003A6407" w14:paraId="5A4F82D3" w14:textId="77777777" w:rsidTr="00270B09">
        <w:trPr>
          <w:trHeight w:val="340"/>
        </w:trPr>
        <w:tc>
          <w:tcPr>
            <w:tcW w:w="5000" w:type="pct"/>
            <w:gridSpan w:val="8"/>
            <w:shd w:val="clear" w:color="auto" w:fill="auto"/>
          </w:tcPr>
          <w:p w14:paraId="0BA8A2FF"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5F81BDE4"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0F5EC8F2" w14:textId="3E0BBF7C"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 Inwestycje w środki trwałe, w tym infrastrukturę badawczą, w mikroprzedsiębiorstwach bezpośrednio związane z działaniami badawczymi i innowacyjnymi (3 695 </w:t>
            </w:r>
            <w:r w:rsidR="009423A5" w:rsidRPr="003A6407">
              <w:rPr>
                <w:rFonts w:eastAsia="Calibri" w:cs="Times New Roman"/>
              </w:rPr>
              <w:t>70</w:t>
            </w:r>
            <w:r w:rsidR="009423A5">
              <w:rPr>
                <w:rFonts w:eastAsia="Calibri" w:cs="Times New Roman"/>
              </w:rPr>
              <w:t>5</w:t>
            </w:r>
            <w:r w:rsidR="009423A5" w:rsidRPr="003A6407">
              <w:rPr>
                <w:rFonts w:eastAsia="Calibri" w:cs="Times New Roman"/>
              </w:rPr>
              <w:t xml:space="preserve"> </w:t>
            </w:r>
            <w:r w:rsidRPr="003A6407">
              <w:rPr>
                <w:rFonts w:eastAsia="Calibri" w:cs="Times New Roman"/>
              </w:rPr>
              <w:t>EUR);</w:t>
            </w:r>
          </w:p>
          <w:p w14:paraId="424F9BB8"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 Inwestycje w środki trwałe, w tym infrastrukturę badawczą, w małych i średnich przedsiębiorstwach (w tym prywatnych organizacjach badawczych) bezpośrednio związane z działaniami badawczymi i innowacyjnymi (27 688 305 EUR);</w:t>
            </w:r>
          </w:p>
          <w:p w14:paraId="0315B757" w14:textId="1EB0E7D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09 Działania badawcze i innowacyjne w mikroprzedsiębiorstwach, w tym tworzenie sieci kontaktów (badania przemysłowe, eksperymentalne prace rozwojowe, studia wykonalności): 85</w:t>
            </w:r>
            <w:r w:rsidR="00412D9C" w:rsidRPr="003A6407">
              <w:rPr>
                <w:rFonts w:eastAsia="Calibri" w:cs="Times New Roman"/>
              </w:rPr>
              <w:t>%</w:t>
            </w:r>
            <w:r w:rsidRPr="003A6407">
              <w:rPr>
                <w:rFonts w:eastAsia="Calibri" w:cs="Times New Roman"/>
              </w:rPr>
              <w:t xml:space="preserve"> (1 256 539,70 EUR).</w:t>
            </w:r>
          </w:p>
          <w:p w14:paraId="732741BF" w14:textId="31B5A494"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85</w:t>
            </w:r>
            <w:r w:rsidR="00412D9C" w:rsidRPr="003A6407">
              <w:rPr>
                <w:rFonts w:eastAsia="Calibri" w:cs="Times New Roman"/>
              </w:rPr>
              <w:t>%</w:t>
            </w:r>
            <w:r w:rsidRPr="003A6407">
              <w:rPr>
                <w:rFonts w:eastAsia="Calibri" w:cs="Times New Roman"/>
              </w:rPr>
              <w:t xml:space="preserve"> (26 676 410,20 EUR).</w:t>
            </w:r>
          </w:p>
          <w:p w14:paraId="44121E9F" w14:textId="63BDE045"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875916" w:rsidRPr="00875916">
              <w:rPr>
                <w:rFonts w:eastAsia="Calibri"/>
              </w:rPr>
              <w:t xml:space="preserve"> 263 960 471,56 </w:t>
            </w:r>
            <w:r w:rsidRPr="003A6407">
              <w:rPr>
                <w:rFonts w:eastAsia="Calibri"/>
              </w:rPr>
              <w:t xml:space="preserve">PLN. </w:t>
            </w:r>
          </w:p>
          <w:p w14:paraId="062D8944" w14:textId="44E98462"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Pr="003A6407">
              <w:rPr>
                <w:rFonts w:eastAsia="Calibri"/>
              </w:rPr>
              <w:br/>
              <w:t xml:space="preserve">2 005 174,36 PLN. Koszt jednostkowy został skorygowany w oparciu o wartość inflacji na poziomie 15% i wynosi 2 305 950,52 PLN, uwzględniając dofinansowanie na poziomie 70% wynosi 1 614 165,36 PLN, tj. 362 733,79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1BF79E77" w14:textId="77777777" w:rsidR="00BB0F80" w:rsidRPr="003A6407" w:rsidRDefault="00BB0F80" w:rsidP="00FD5A66">
            <w:pPr>
              <w:spacing w:before="60" w:after="60" w:line="240" w:lineRule="auto"/>
              <w:jc w:val="both"/>
              <w:rPr>
                <w:rFonts w:eastAsia="Calibri"/>
              </w:rPr>
            </w:pPr>
            <w:r w:rsidRPr="003A6407">
              <w:rPr>
                <w:rFonts w:eastAsia="Calibri"/>
              </w:rPr>
              <w:t xml:space="preserve">R= [(5*25)+(2*68)]/7= 37,2%. Wartość zaokrąglono do pełnej wartości 37%. </w:t>
            </w:r>
          </w:p>
          <w:p w14:paraId="05870DE1" w14:textId="77777777" w:rsidR="00BB0F80" w:rsidRPr="003A6407" w:rsidRDefault="00BB0F80" w:rsidP="00FD5A66">
            <w:pPr>
              <w:shd w:val="clear" w:color="auto" w:fill="FFFFFF"/>
              <w:spacing w:before="60" w:after="60" w:line="240" w:lineRule="auto"/>
              <w:jc w:val="both"/>
              <w:rPr>
                <w:rFonts w:eastAsia="Calibri"/>
              </w:rPr>
            </w:pPr>
          </w:p>
          <w:p w14:paraId="292C31A1"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1F78AC81" w14:textId="0651AA4F"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59 316 </w:t>
            </w:r>
            <w:r w:rsidR="00875916">
              <w:rPr>
                <w:rFonts w:eastAsia="Calibri"/>
              </w:rPr>
              <w:t>959</w:t>
            </w:r>
            <w:r w:rsidRPr="003A6407">
              <w:rPr>
                <w:rFonts w:eastAsia="Calibri"/>
              </w:rPr>
              <w:t>,90 / 362 733,79 * (1-0,37) = 103 przedsiębiorstw</w:t>
            </w:r>
          </w:p>
          <w:p w14:paraId="737EA17C"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5C05FCF8" w14:textId="77777777" w:rsidR="00BB0F80" w:rsidRPr="003A6407" w:rsidRDefault="00BB0F80" w:rsidP="00F20BCD">
            <w:pPr>
              <w:numPr>
                <w:ilvl w:val="0"/>
                <w:numId w:val="18"/>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lastRenderedPageBreak/>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CC697B9" w14:textId="77777777" w:rsidR="00BB0F80" w:rsidRPr="003A6407" w:rsidRDefault="00BB0F80" w:rsidP="00F20BCD">
            <w:pPr>
              <w:numPr>
                <w:ilvl w:val="0"/>
                <w:numId w:val="18"/>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Zawieszenie płatności </w:t>
            </w:r>
            <w:r w:rsidRPr="003A6407">
              <w:rPr>
                <w:rFonts w:eastAsia="Calibri" w:cs="Times New Roman"/>
                <w:bCs/>
                <w:color w:val="000000"/>
              </w:rPr>
              <w:t>przez KE dla danej osi priorytetowej</w:t>
            </w:r>
            <w:r w:rsidRPr="003A6407">
              <w:rPr>
                <w:rFonts w:eastAsia="Calibri" w:cs="Times New Roman"/>
                <w:color w:val="000000"/>
              </w:rPr>
              <w:t>; (istotność: umiarkowana);</w:t>
            </w:r>
          </w:p>
          <w:p w14:paraId="19B7880D" w14:textId="77777777" w:rsidR="00BB0F80" w:rsidRPr="003A6407" w:rsidRDefault="00BB0F80" w:rsidP="00F20BCD">
            <w:pPr>
              <w:numPr>
                <w:ilvl w:val="0"/>
                <w:numId w:val="18"/>
              </w:numPr>
              <w:shd w:val="clear" w:color="auto" w:fill="FFFFFF"/>
              <w:spacing w:before="60" w:after="60" w:line="240" w:lineRule="auto"/>
              <w:contextualSpacing/>
              <w:jc w:val="both"/>
              <w:rPr>
                <w:rFonts w:eastAsia="Calibri" w:cs="Times New Roman"/>
                <w:b/>
                <w:color w:val="000000"/>
              </w:rPr>
            </w:pPr>
            <w:r w:rsidRPr="003A6407">
              <w:rPr>
                <w:rFonts w:eastAsia="Calibri" w:cs="Times New Roman"/>
                <w:b/>
                <w:color w:val="000000"/>
              </w:rPr>
              <w:t xml:space="preserve">Opóźnienia, </w:t>
            </w:r>
            <w:r w:rsidRPr="003A6407">
              <w:rPr>
                <w:rFonts w:eastAsia="Calibri" w:cs="Times New Roman"/>
                <w:bCs/>
                <w:color w:val="000000"/>
              </w:rPr>
              <w:t>bądź niewykonanie projektu związane z problemem z zabezpieczenia wkładu własnego wnioskodawcy (istotność: poważna);</w:t>
            </w:r>
            <w:r w:rsidRPr="003A6407" w:rsidDel="00065428">
              <w:rPr>
                <w:rFonts w:eastAsia="Calibri" w:cs="Times New Roman"/>
                <w:b/>
                <w:color w:val="000000"/>
              </w:rPr>
              <w:t xml:space="preserve"> </w:t>
            </w:r>
          </w:p>
          <w:p w14:paraId="30EB074E" w14:textId="77777777" w:rsidR="00BB0F80" w:rsidRPr="003A6407" w:rsidRDefault="00BB0F80" w:rsidP="00F20BCD">
            <w:pPr>
              <w:numPr>
                <w:ilvl w:val="0"/>
                <w:numId w:val="18"/>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 xml:space="preserve">Wpływ pandemii Covid-19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43841819" w14:textId="77777777" w:rsidR="00BB0F80" w:rsidRPr="003A6407" w:rsidRDefault="00BB0F80" w:rsidP="00F20BCD">
            <w:pPr>
              <w:numPr>
                <w:ilvl w:val="0"/>
                <w:numId w:val="18"/>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bCs/>
                <w:color w:val="000000"/>
                <w:sz w:val="22"/>
                <w:szCs w:val="22"/>
              </w:rPr>
              <w:t>Brak zainteresowania oferowanym wsparciem</w:t>
            </w:r>
            <w:r w:rsidRPr="003A6407">
              <w:rPr>
                <w:rFonts w:eastAsia="Calibri" w:cs="Times New Roman"/>
                <w:color w:val="000000"/>
                <w:sz w:val="22"/>
                <w:szCs w:val="22"/>
              </w:rPr>
              <w:t xml:space="preserve"> ze strony przedsiębiorstw - (istotność: poważna);</w:t>
            </w:r>
          </w:p>
          <w:p w14:paraId="3D9D4BFA" w14:textId="77777777" w:rsidR="00BB0F80" w:rsidRPr="003A6407" w:rsidRDefault="00BB0F80" w:rsidP="00F20BCD">
            <w:pPr>
              <w:numPr>
                <w:ilvl w:val="0"/>
                <w:numId w:val="18"/>
              </w:numPr>
              <w:spacing w:after="0" w:line="240" w:lineRule="auto"/>
              <w:contextualSpacing/>
              <w:jc w:val="both"/>
              <w:rPr>
                <w:rFonts w:eastAsia="Calibri" w:cs="Times New Roman"/>
                <w:color w:val="000000"/>
              </w:rPr>
            </w:pPr>
            <w:r w:rsidRPr="003A6407">
              <w:rPr>
                <w:rFonts w:eastAsia="Calibri" w:cs="Times New Roman"/>
                <w:b/>
                <w:bCs/>
                <w:color w:val="000000"/>
              </w:rPr>
              <w:t>Duplikujące się przedsiębiorstwa</w:t>
            </w:r>
            <w:r w:rsidRPr="003A6407">
              <w:rPr>
                <w:rFonts w:eastAsia="Calibri" w:cs="Times New Roman"/>
                <w:color w:val="000000"/>
              </w:rPr>
              <w:t xml:space="preserve"> (istotność: umiarkowana);</w:t>
            </w:r>
          </w:p>
          <w:p w14:paraId="567887F1" w14:textId="71FF8026" w:rsidR="00BB0F80" w:rsidRPr="003A6407" w:rsidRDefault="00BB0F80" w:rsidP="00F20BCD">
            <w:pPr>
              <w:numPr>
                <w:ilvl w:val="0"/>
                <w:numId w:val="18"/>
              </w:numPr>
              <w:spacing w:after="0" w:line="240" w:lineRule="auto"/>
              <w:contextualSpacing/>
              <w:jc w:val="both"/>
              <w:rPr>
                <w:rFonts w:eastAsia="Calibri" w:cs="Times New Roman"/>
                <w:color w:val="000000"/>
                <w:sz w:val="22"/>
                <w:szCs w:val="22"/>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71E41ADA" w14:textId="05796863" w:rsidR="00D145C8" w:rsidRPr="003A6407" w:rsidRDefault="00D145C8" w:rsidP="00D145C8">
            <w:pPr>
              <w:spacing w:after="0" w:line="240" w:lineRule="auto"/>
              <w:contextualSpacing/>
              <w:jc w:val="both"/>
              <w:rPr>
                <w:rFonts w:eastAsia="Calibri" w:cs="Times New Roman"/>
                <w:b/>
                <w:bCs/>
                <w:color w:val="000000"/>
              </w:rPr>
            </w:pPr>
          </w:p>
          <w:p w14:paraId="1DA66021" w14:textId="2206F7F3" w:rsidR="00D145C8" w:rsidRPr="003A6407" w:rsidRDefault="00D145C8" w:rsidP="00D145C8">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0062E7F8" w14:textId="59ED0672" w:rsidR="00D145C8" w:rsidRPr="003A6407" w:rsidRDefault="00D145C8" w:rsidP="00412D9C">
            <w:pPr>
              <w:spacing w:after="0" w:line="240" w:lineRule="auto"/>
              <w:contextualSpacing/>
              <w:jc w:val="both"/>
              <w:rPr>
                <w:rFonts w:eastAsia="Calibri" w:cs="Times New Roman"/>
                <w:b/>
                <w:bCs/>
                <w:color w:val="000000"/>
              </w:rPr>
            </w:pPr>
            <w:r w:rsidRPr="003A6407">
              <w:rPr>
                <w:rFonts w:eastAsia="Calibri" w:cs="Times New Roman"/>
                <w:b/>
                <w:bCs/>
                <w:color w:val="000000"/>
              </w:rPr>
              <w:t xml:space="preserve">Projekty infrastrukturalne finansowane w ramach EFRR/FST cechują się dłuższym okresem realizacji i rozliczenia a biorąc pod uwagę termin zatwierdzenia programu </w:t>
            </w:r>
            <w:r w:rsidR="00243B24" w:rsidRPr="00243B24">
              <w:rPr>
                <w:rFonts w:eastAsia="Calibri" w:cs="Times New Roman"/>
                <w:b/>
                <w:bCs/>
                <w:color w:val="000000"/>
              </w:rPr>
              <w:t>cel pośredni dla 2024 r. będzie mógł być osiągnięty na niskim poziomie</w:t>
            </w:r>
            <w:r w:rsidRPr="003A6407">
              <w:rPr>
                <w:rFonts w:eastAsia="Calibri" w:cs="Times New Roman"/>
                <w:b/>
                <w:bCs/>
                <w:color w:val="000000"/>
              </w:rPr>
              <w:t xml:space="preserve">. Przeanalizowano dane historyczne z wdrażania RPO WD 2014-2020 (PI 1b ), na podstawie Sprawozdania rocznego z 2021 r. - wskaźnik pn. Liczba przedsiębiorstw współpracujących z ośrodkami badawczymi (CI 26) dopiero w 2017 r. osiągnął wartość 16, co wobec wartości z wykonania na 2021 r. (243) stanowi zaledwie 6,6%. Mając na uwadze, że 2017 r. był już czwartym rokiem wdrażania programu RPO WD 2014-2020, a rok 2024 będzie de facto dopiero drugim rokiem wdrażania FEDS, wartość pośrednią dla tego wskaźnika ustalono </w:t>
            </w:r>
            <w:r w:rsidR="0036719D" w:rsidRPr="0036719D">
              <w:rPr>
                <w:rFonts w:eastAsia="Calibri" w:cs="Times New Roman"/>
                <w:b/>
                <w:bCs/>
                <w:color w:val="000000"/>
              </w:rPr>
              <w:t>na poziomie 3% wartości docelowej.</w:t>
            </w:r>
          </w:p>
          <w:p w14:paraId="69040562" w14:textId="77777777" w:rsidR="00BB0F80" w:rsidRPr="003A6407" w:rsidRDefault="00BB0F80" w:rsidP="00FD5A66">
            <w:pPr>
              <w:spacing w:after="0" w:line="240" w:lineRule="auto"/>
              <w:jc w:val="both"/>
              <w:rPr>
                <w:rFonts w:eastAsia="Calibri"/>
                <w:color w:val="000000"/>
              </w:rPr>
            </w:pPr>
          </w:p>
        </w:tc>
      </w:tr>
      <w:bookmarkEnd w:id="53"/>
    </w:tbl>
    <w:p w14:paraId="375ACD04" w14:textId="77777777" w:rsidR="00BB0F80" w:rsidRPr="003A6407" w:rsidRDefault="00BB0F80" w:rsidP="00590330">
      <w:pPr>
        <w:pStyle w:val="Nagwek2"/>
        <w:spacing w:after="200"/>
        <w:rPr>
          <w:rFonts w:eastAsia="Calibri" w:cs="Arial"/>
          <w:b w:val="0"/>
          <w:bCs w:val="0"/>
          <w:color w:val="auto"/>
          <w:sz w:val="20"/>
          <w:szCs w:val="20"/>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0EAD6679" w14:textId="77777777" w:rsidTr="00716556">
        <w:trPr>
          <w:cantSplit/>
          <w:trHeight w:val="1647"/>
        </w:trPr>
        <w:tc>
          <w:tcPr>
            <w:tcW w:w="451" w:type="pct"/>
            <w:shd w:val="clear" w:color="auto" w:fill="auto"/>
            <w:vAlign w:val="center"/>
          </w:tcPr>
          <w:p w14:paraId="3177EFAA"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61322519" w14:textId="3D059180"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5BC60FD7"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585A8A30"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24744089" w14:textId="77777777" w:rsidR="00BB0F80" w:rsidRPr="003A6407" w:rsidRDefault="00BB0F80" w:rsidP="00716556">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1ADC8D3B" w14:textId="19ABC2FB"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1A22D286"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44F31A19"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D3D0C7F"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A152EB0"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49AD0BE0"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r>
      <w:tr w:rsidR="00191FE2" w:rsidRPr="003A6407" w14:paraId="4790A981" w14:textId="77777777" w:rsidTr="00716556">
        <w:trPr>
          <w:trHeight w:val="340"/>
        </w:trPr>
        <w:tc>
          <w:tcPr>
            <w:tcW w:w="451" w:type="pct"/>
            <w:shd w:val="clear" w:color="auto" w:fill="auto"/>
            <w:vAlign w:val="center"/>
          </w:tcPr>
          <w:p w14:paraId="30897986" w14:textId="77777777" w:rsidR="00BB0F80"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2D40D81F" w14:textId="552FB876" w:rsidR="00572DDA" w:rsidRPr="003A6407" w:rsidRDefault="00572DDA"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2BAFDE87"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14F89C8A"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209A1627"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RCO016</w:t>
            </w:r>
          </w:p>
        </w:tc>
        <w:tc>
          <w:tcPr>
            <w:tcW w:w="1206" w:type="pct"/>
            <w:shd w:val="clear" w:color="auto" w:fill="auto"/>
            <w:vAlign w:val="center"/>
          </w:tcPr>
          <w:p w14:paraId="52509C9A" w14:textId="77777777" w:rsidR="00BB0F80" w:rsidRPr="003A6407" w:rsidRDefault="00BB0F80" w:rsidP="00716556">
            <w:pPr>
              <w:keepNext/>
              <w:keepLines/>
              <w:spacing w:before="200" w:after="0"/>
              <w:jc w:val="center"/>
              <w:outlineLvl w:val="2"/>
              <w:rPr>
                <w:rFonts w:asciiTheme="minorHAnsi" w:eastAsia="Times New Roman" w:hAnsiTheme="minorHAnsi" w:cstheme="minorHAnsi"/>
                <w:bCs/>
                <w:noProof/>
              </w:rPr>
            </w:pPr>
            <w:bookmarkStart w:id="57" w:name="_Toc114662354"/>
            <w:bookmarkStart w:id="58" w:name="_Toc120464359"/>
            <w:r w:rsidRPr="003A6407">
              <w:rPr>
                <w:rFonts w:asciiTheme="minorHAnsi" w:eastAsia="Times New Roman" w:hAnsiTheme="minorHAnsi" w:cstheme="minorHAnsi"/>
                <w:bCs/>
                <w:noProof/>
              </w:rPr>
              <w:t>Udział podmiotów instytucjonalnych w procesie przedsiębiorczego odkrywania</w:t>
            </w:r>
            <w:bookmarkEnd w:id="57"/>
            <w:bookmarkEnd w:id="58"/>
          </w:p>
        </w:tc>
        <w:tc>
          <w:tcPr>
            <w:tcW w:w="884" w:type="pct"/>
            <w:shd w:val="clear" w:color="auto" w:fill="auto"/>
            <w:vAlign w:val="center"/>
          </w:tcPr>
          <w:p w14:paraId="79948FE4"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482" w:type="pct"/>
            <w:shd w:val="clear" w:color="auto" w:fill="auto"/>
            <w:vAlign w:val="center"/>
          </w:tcPr>
          <w:p w14:paraId="536116C3" w14:textId="2166ED71" w:rsidR="00BB0F80" w:rsidRPr="003A6407" w:rsidRDefault="00890103"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0,00</w:t>
            </w:r>
          </w:p>
        </w:tc>
        <w:tc>
          <w:tcPr>
            <w:tcW w:w="502" w:type="pct"/>
            <w:shd w:val="clear" w:color="auto" w:fill="auto"/>
            <w:vAlign w:val="center"/>
          </w:tcPr>
          <w:p w14:paraId="4EB31746" w14:textId="7041ADEA"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63</w:t>
            </w:r>
            <w:r w:rsidR="00716556" w:rsidRPr="003A6407">
              <w:rPr>
                <w:rFonts w:eastAsia="Calibri" w:cs="Times New Roman"/>
                <w:noProof/>
                <w:sz w:val="16"/>
                <w:szCs w:val="16"/>
              </w:rPr>
              <w:t>,00</w:t>
            </w:r>
          </w:p>
        </w:tc>
      </w:tr>
      <w:tr w:rsidR="00BB0F80" w:rsidRPr="003A6407" w14:paraId="2C1C54D5" w14:textId="77777777" w:rsidTr="00270B09">
        <w:trPr>
          <w:trHeight w:val="340"/>
        </w:trPr>
        <w:tc>
          <w:tcPr>
            <w:tcW w:w="5000" w:type="pct"/>
            <w:gridSpan w:val="8"/>
            <w:shd w:val="clear" w:color="auto" w:fill="auto"/>
          </w:tcPr>
          <w:p w14:paraId="13C381DF"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Metodologia:</w:t>
            </w:r>
          </w:p>
          <w:p w14:paraId="4E5A10D7"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Wskaźnik realizuje kod interwencji:</w:t>
            </w:r>
          </w:p>
          <w:p w14:paraId="7044F739" w14:textId="77777777" w:rsidR="00BB0F80" w:rsidRPr="003A6407" w:rsidRDefault="00BB0F80" w:rsidP="00270B09">
            <w:pPr>
              <w:numPr>
                <w:ilvl w:val="0"/>
                <w:numId w:val="12"/>
              </w:numPr>
              <w:contextualSpacing/>
              <w:rPr>
                <w:rFonts w:eastAsia="Calibri" w:cs="Times New Roman"/>
              </w:rPr>
            </w:pPr>
            <w:r w:rsidRPr="003A6407">
              <w:rPr>
                <w:rFonts w:eastAsia="Calibri" w:cs="Times New Roman"/>
              </w:rPr>
              <w:t>023 Rozwój umiejętności na rzecz inteligentnej specjalizacji, transformacji przemysłowej, przedsiębiorczości i zdolności przedsiębiorstw dostosowania się do zmian (3 510 943 EUR);</w:t>
            </w:r>
          </w:p>
          <w:p w14:paraId="20CD2DDC" w14:textId="77777777" w:rsidR="00BB0F80" w:rsidRPr="003A6407" w:rsidRDefault="00BB0F80" w:rsidP="00270B09">
            <w:pPr>
              <w:shd w:val="clear" w:color="auto" w:fill="FFFFFF"/>
              <w:spacing w:before="60" w:after="60" w:line="240" w:lineRule="auto"/>
              <w:ind w:left="770"/>
              <w:contextualSpacing/>
              <w:jc w:val="both"/>
              <w:rPr>
                <w:rFonts w:eastAsia="Calibri" w:cs="Times New Roman"/>
                <w:sz w:val="22"/>
                <w:szCs w:val="22"/>
              </w:rPr>
            </w:pPr>
          </w:p>
          <w:p w14:paraId="7A6516FA"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15 623 696,35 PLN. </w:t>
            </w:r>
          </w:p>
          <w:p w14:paraId="132F6EA8"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Wartość wskaźnika została określona na bazie doświadczeń z perspektywy 2014-2020 dot. projektu PPO. W procesie PPO uczestniczy ograniczona liczba instytucji (nie wliczając w to podmiotów z sektora przedsiębiorstw). W PPO ważne jest budowanie relacji i interakcji w ramach istniejącej sieci instytucji, a rozbudowywanie sieci o nowe instytucje jest tylko dodatkowym celem, aczkolwiek jest to możliwe w ograniczonym zakresie (gdyż nie ma tylu podmiotów instytucjonalnych, które związane byłyby z </w:t>
            </w:r>
            <w:r w:rsidRPr="003A6407">
              <w:rPr>
                <w:rFonts w:eastAsia="Calibri"/>
              </w:rPr>
              <w:lastRenderedPageBreak/>
              <w:t xml:space="preserve">prowadzeniem polityki innowacyjnej). Biorąc pod uwagę, że środki w celu iv, które zostaną przeznaczone na PPO nie będą dotyczyły wyłącznie działań, które mają włączać nowe podmioty do PPO, ale zostaną przeznaczone na budowanie trwałych relacji współpracy, projektów, badań w obrębie pewnej stałej grupy aktywnych podmiotów, dlatego oszacowano, iż ilość instytucji w całym kilkuletnim procesie PPO nie przekroczy 100. (np. Grupie ds. inteligentnych specjalizacji z 63 osób, aż 29 są to przedstawiciele przedsiębiorstw, a więc nie podmiotów instytucjonalnych). </w:t>
            </w:r>
          </w:p>
          <w:p w14:paraId="1DB4E3FF"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Na podstawie tych danych wyliczono wartość wskaźnika (100).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3F9B739F" w14:textId="77777777" w:rsidR="00BB0F80" w:rsidRPr="003A6407" w:rsidRDefault="00BB0F80" w:rsidP="00270B09">
            <w:pPr>
              <w:spacing w:before="60" w:after="60" w:line="240" w:lineRule="auto"/>
              <w:jc w:val="both"/>
              <w:rPr>
                <w:rFonts w:eastAsia="Calibri"/>
              </w:rPr>
            </w:pPr>
            <w:r w:rsidRPr="003A6407">
              <w:rPr>
                <w:rFonts w:eastAsia="Calibri"/>
              </w:rPr>
              <w:t xml:space="preserve">R= [(5*25)+(2*68)]/7= 37,2 Wartość zaokrąglono do pełnej wartości 37%. </w:t>
            </w:r>
          </w:p>
          <w:p w14:paraId="49AF6743" w14:textId="77777777" w:rsidR="00BB0F80" w:rsidRPr="003A6407" w:rsidRDefault="00BB0F80" w:rsidP="00270B09">
            <w:pPr>
              <w:shd w:val="clear" w:color="auto" w:fill="FFFFFF"/>
              <w:spacing w:before="60" w:after="60" w:line="240" w:lineRule="auto"/>
              <w:jc w:val="both"/>
              <w:rPr>
                <w:rFonts w:eastAsia="Calibri"/>
              </w:rPr>
            </w:pPr>
          </w:p>
          <w:p w14:paraId="691960A3"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Wyliczenie:</w:t>
            </w:r>
          </w:p>
          <w:p w14:paraId="0D9D2B41"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100 * (1-0,37) = 63 szt.</w:t>
            </w:r>
          </w:p>
          <w:p w14:paraId="61910E84" w14:textId="77777777" w:rsidR="00BB0F80" w:rsidRPr="003A6407" w:rsidRDefault="00BB0F80" w:rsidP="00270B09">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14E6B6BF" w14:textId="77777777" w:rsidR="00BB0F80" w:rsidRPr="003A6407" w:rsidRDefault="00BB0F80" w:rsidP="00270B09">
            <w:pPr>
              <w:numPr>
                <w:ilvl w:val="0"/>
                <w:numId w:val="2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71FD7A3A" w14:textId="77777777" w:rsidR="00BB0F80" w:rsidRPr="003A6407" w:rsidRDefault="00BB0F80" w:rsidP="00270B09">
            <w:pPr>
              <w:numPr>
                <w:ilvl w:val="0"/>
                <w:numId w:val="2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Zawieszenie płatności przez KE dla danej osi priorytetowej</w:t>
            </w:r>
            <w:r w:rsidRPr="003A6407">
              <w:rPr>
                <w:rFonts w:eastAsia="Calibri" w:cs="Times New Roman"/>
                <w:color w:val="000000"/>
              </w:rPr>
              <w:t>; (istotność: umiarkowana);</w:t>
            </w:r>
          </w:p>
          <w:p w14:paraId="2446EFCB" w14:textId="03017078" w:rsidR="00BB0F80" w:rsidRPr="003A6407" w:rsidRDefault="00BB0F80" w:rsidP="00270B09">
            <w:pPr>
              <w:numPr>
                <w:ilvl w:val="0"/>
                <w:numId w:val="29"/>
              </w:numPr>
              <w:shd w:val="clear" w:color="auto" w:fill="FFFFFF"/>
              <w:spacing w:before="60" w:after="60" w:line="240" w:lineRule="auto"/>
              <w:contextualSpacing/>
              <w:jc w:val="both"/>
              <w:rPr>
                <w:rFonts w:eastAsia="Calibri" w:cs="Times New Roman"/>
                <w:b/>
                <w:color w:val="000000"/>
              </w:rPr>
            </w:pPr>
            <w:r w:rsidRPr="003A6407">
              <w:rPr>
                <w:rFonts w:eastAsia="Calibri" w:cs="Times New Roman"/>
                <w:b/>
                <w:color w:val="000000"/>
              </w:rPr>
              <w:t>Opóźnienia, bądź niewykonanie projektu związane z problemem zabezpieczeni</w:t>
            </w:r>
            <w:r w:rsidR="00F47C66" w:rsidRPr="003A6407">
              <w:rPr>
                <w:rFonts w:eastAsia="Calibri" w:cs="Times New Roman"/>
                <w:b/>
                <w:color w:val="000000"/>
              </w:rPr>
              <w:t>a</w:t>
            </w:r>
            <w:r w:rsidRPr="003A6407">
              <w:rPr>
                <w:rFonts w:eastAsia="Calibri" w:cs="Times New Roman"/>
                <w:b/>
                <w:color w:val="000000"/>
              </w:rPr>
              <w:t xml:space="preserve"> wkładu własnego wnioskodawcy (istotność: poważna);</w:t>
            </w:r>
            <w:r w:rsidRPr="003A6407" w:rsidDel="00B27003">
              <w:rPr>
                <w:rFonts w:eastAsia="Calibri" w:cs="Times New Roman"/>
                <w:b/>
                <w:color w:val="000000"/>
              </w:rPr>
              <w:t xml:space="preserve"> </w:t>
            </w:r>
            <w:r w:rsidRPr="003A6407">
              <w:rPr>
                <w:rFonts w:eastAsia="Calibri" w:cs="Times New Roman"/>
                <w:bCs/>
                <w:color w:val="000000"/>
              </w:rPr>
              <w:t>(istotność: poważna);</w:t>
            </w:r>
          </w:p>
          <w:p w14:paraId="506A07CD" w14:textId="77777777" w:rsidR="00BB0F80" w:rsidRPr="003A6407" w:rsidRDefault="00BB0F80" w:rsidP="00270B09">
            <w:pPr>
              <w:numPr>
                <w:ilvl w:val="0"/>
                <w:numId w:val="29"/>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 xml:space="preserve">Wpływ pandemii Covid-19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EBA2123" w14:textId="77777777" w:rsidR="00BB0F80" w:rsidRPr="003A6407" w:rsidRDefault="00BB0F80" w:rsidP="00270B09">
            <w:pPr>
              <w:numPr>
                <w:ilvl w:val="0"/>
                <w:numId w:val="29"/>
              </w:numPr>
              <w:spacing w:after="0" w:line="240" w:lineRule="auto"/>
              <w:contextualSpacing/>
              <w:jc w:val="both"/>
              <w:rPr>
                <w:rFonts w:eastAsia="Calibri" w:cs="Times New Roman"/>
                <w:color w:val="000000"/>
              </w:rPr>
            </w:pPr>
            <w:r w:rsidRPr="003A6407">
              <w:rPr>
                <w:rFonts w:eastAsia="Calibri" w:cs="Times New Roman"/>
                <w:b/>
                <w:bCs/>
                <w:color w:val="000000"/>
              </w:rPr>
              <w:t>Duplikujące się przedsiębiorstwa</w:t>
            </w:r>
            <w:r w:rsidRPr="003A6407">
              <w:rPr>
                <w:rFonts w:eastAsia="Calibri" w:cs="Times New Roman"/>
                <w:color w:val="000000"/>
              </w:rPr>
              <w:t xml:space="preserve"> (istotność: umiarkowana);</w:t>
            </w:r>
          </w:p>
          <w:p w14:paraId="1595F124" w14:textId="77777777" w:rsidR="00BB0F80" w:rsidRPr="003A6407" w:rsidRDefault="00BB0F80" w:rsidP="00270B09">
            <w:pPr>
              <w:numPr>
                <w:ilvl w:val="0"/>
                <w:numId w:val="29"/>
              </w:numPr>
              <w:spacing w:after="0" w:line="240" w:lineRule="auto"/>
              <w:contextualSpacing/>
              <w:jc w:val="both"/>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3450B91C" w14:textId="2D4082B5" w:rsidR="00BB0F80" w:rsidRPr="003A6407" w:rsidRDefault="00BB0F80" w:rsidP="00270B09">
            <w:pPr>
              <w:numPr>
                <w:ilvl w:val="0"/>
                <w:numId w:val="29"/>
              </w:numPr>
              <w:spacing w:after="0" w:line="240" w:lineRule="auto"/>
              <w:contextualSpacing/>
              <w:jc w:val="both"/>
              <w:rPr>
                <w:rFonts w:eastAsia="Calibri" w:cs="Times New Roman"/>
                <w:color w:val="000000"/>
              </w:rPr>
            </w:pPr>
            <w:r w:rsidRPr="003A6407">
              <w:rPr>
                <w:rFonts w:eastAsia="Calibri" w:cs="Times New Roman"/>
                <w:b/>
                <w:bCs/>
                <w:color w:val="000000"/>
              </w:rPr>
              <w:t>Brak zainteresowania oferowanym wsparciem</w:t>
            </w:r>
            <w:r w:rsidRPr="003A6407">
              <w:rPr>
                <w:rFonts w:eastAsia="Calibri" w:cs="Times New Roman"/>
                <w:color w:val="000000"/>
              </w:rPr>
              <w:t xml:space="preserve"> ze strony przedsiębiorstw oraz podmiotów instytucjonalnych (istotność: poważna);</w:t>
            </w:r>
          </w:p>
          <w:p w14:paraId="1EE336AB" w14:textId="57AE7532" w:rsidR="00D145C8" w:rsidRPr="003A6407" w:rsidRDefault="00D145C8" w:rsidP="00D145C8">
            <w:pPr>
              <w:spacing w:after="0" w:line="240" w:lineRule="auto"/>
              <w:contextualSpacing/>
              <w:jc w:val="both"/>
              <w:rPr>
                <w:rFonts w:eastAsia="Calibri" w:cs="Times New Roman"/>
                <w:color w:val="000000"/>
              </w:rPr>
            </w:pPr>
          </w:p>
          <w:p w14:paraId="72CE44D0" w14:textId="2FC09E2C" w:rsidR="00D145C8" w:rsidRPr="003A6407" w:rsidRDefault="00D145C8" w:rsidP="00D145C8">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6F8AA0BA" w14:textId="0C7F729D" w:rsidR="00D145C8" w:rsidRPr="003A6407" w:rsidRDefault="00D145C8" w:rsidP="00D145C8">
            <w:pPr>
              <w:spacing w:after="0" w:line="240" w:lineRule="auto"/>
              <w:contextualSpacing/>
              <w:jc w:val="both"/>
              <w:rPr>
                <w:rFonts w:eastAsia="Calibri" w:cs="Times New Roman"/>
                <w:b/>
                <w:bCs/>
                <w:color w:val="000000"/>
              </w:rPr>
            </w:pPr>
            <w:r w:rsidRPr="003A6407">
              <w:rPr>
                <w:rFonts w:eastAsia="Calibri" w:cs="Times New Roman"/>
                <w:b/>
                <w:bCs/>
                <w:color w:val="000000"/>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1b ), na podstawie Sprawozdania rocznego z 2021 r. - wskaźnik pn. </w:t>
            </w:r>
            <w:r w:rsidR="00D60F4A" w:rsidRPr="00D60F4A">
              <w:rPr>
                <w:rFonts w:eastAsia="Calibri" w:cs="Times New Roman"/>
                <w:b/>
                <w:bCs/>
                <w:color w:val="000000"/>
              </w:rPr>
              <w:t>Liczba jednostek naukowych ponoszących nakłady inwestycyjne na działalność B+R   (produkt)</w:t>
            </w:r>
            <w:r w:rsidR="00D60F4A">
              <w:rPr>
                <w:rFonts w:eastAsia="Calibri" w:cs="Times New Roman"/>
                <w:b/>
                <w:bCs/>
                <w:color w:val="000000"/>
              </w:rPr>
              <w:t xml:space="preserve"> </w:t>
            </w:r>
            <w:r w:rsidRPr="003A6407">
              <w:rPr>
                <w:rFonts w:eastAsia="Calibri" w:cs="Times New Roman"/>
                <w:b/>
                <w:bCs/>
                <w:color w:val="000000"/>
              </w:rPr>
              <w:t>w 2017 r. osiągnął wartość 0, co wobec wartości z wykonania na 2021 r. (</w:t>
            </w:r>
            <w:r w:rsidR="00D60F4A">
              <w:rPr>
                <w:rFonts w:eastAsia="Calibri" w:cs="Times New Roman"/>
                <w:b/>
                <w:bCs/>
                <w:color w:val="000000"/>
              </w:rPr>
              <w:t>1</w:t>
            </w:r>
            <w:r w:rsidRPr="003A6407">
              <w:rPr>
                <w:rFonts w:eastAsia="Calibri" w:cs="Times New Roman"/>
                <w:b/>
                <w:bCs/>
                <w:color w:val="000000"/>
              </w:rPr>
              <w:t xml:space="preserve">) stanowi </w:t>
            </w:r>
            <w:r w:rsidR="00D60F4A">
              <w:rPr>
                <w:rFonts w:eastAsia="Calibri" w:cs="Times New Roman"/>
                <w:b/>
                <w:bCs/>
                <w:color w:val="000000"/>
              </w:rPr>
              <w:t>0</w:t>
            </w:r>
            <w:r w:rsidR="00412D9C" w:rsidRPr="003A6407">
              <w:rPr>
                <w:rFonts w:eastAsia="Calibri" w:cs="Times New Roman"/>
                <w:b/>
                <w:bCs/>
                <w:color w:val="000000"/>
              </w:rPr>
              <w:t>%</w:t>
            </w:r>
            <w:r w:rsidRPr="003A6407">
              <w:rPr>
                <w:rFonts w:eastAsia="Calibri" w:cs="Times New Roman"/>
                <w:b/>
                <w:bCs/>
                <w:color w:val="000000"/>
              </w:rPr>
              <w:t xml:space="preserve">. </w:t>
            </w:r>
          </w:p>
          <w:p w14:paraId="5AD2E0AF" w14:textId="52A51016" w:rsidR="00D145C8" w:rsidRPr="003A6407" w:rsidRDefault="00D145C8" w:rsidP="00412D9C">
            <w:pPr>
              <w:spacing w:after="0" w:line="240" w:lineRule="auto"/>
              <w:contextualSpacing/>
              <w:jc w:val="both"/>
              <w:rPr>
                <w:rFonts w:eastAsia="Calibri" w:cs="Times New Roman"/>
                <w:b/>
                <w:bCs/>
                <w:color w:val="000000"/>
              </w:rPr>
            </w:pPr>
            <w:r w:rsidRPr="003A6407">
              <w:rPr>
                <w:rFonts w:eastAsia="Calibri" w:cs="Times New Roman"/>
                <w:b/>
                <w:bCs/>
                <w:color w:val="000000"/>
              </w:rPr>
              <w:t>Mając na uwadze, że 2017 r. był już czwartym rokiem wdrażania programu RPO WD 2014-2020, a rok 2024 będzie de facto dopiero drugim rokiem wdrażania FEDS, wartość pośrednią dla tego wskaźnika ustalono jako 0.</w:t>
            </w:r>
          </w:p>
          <w:p w14:paraId="17DA4882" w14:textId="77777777" w:rsidR="00BB0F80" w:rsidRPr="003A6407" w:rsidRDefault="00BB0F80" w:rsidP="00270B09">
            <w:pPr>
              <w:spacing w:after="0" w:line="240" w:lineRule="auto"/>
              <w:ind w:left="720"/>
              <w:contextualSpacing/>
              <w:jc w:val="both"/>
              <w:rPr>
                <w:rFonts w:eastAsia="Calibri" w:cs="Times New Roman"/>
                <w:color w:val="000000"/>
                <w:sz w:val="22"/>
                <w:szCs w:val="22"/>
              </w:rPr>
            </w:pPr>
          </w:p>
        </w:tc>
      </w:tr>
    </w:tbl>
    <w:p w14:paraId="55EF2C4B" w14:textId="77777777" w:rsidR="00BB0F80" w:rsidRPr="003A6407" w:rsidRDefault="00BB0F80" w:rsidP="00590330">
      <w:pPr>
        <w:pStyle w:val="Nagwek2"/>
        <w:spacing w:after="200"/>
        <w:rPr>
          <w:rFonts w:cs="Arial"/>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159A5AFD" w14:textId="77777777" w:rsidTr="00716556">
        <w:trPr>
          <w:cantSplit/>
          <w:trHeight w:val="1647"/>
        </w:trPr>
        <w:tc>
          <w:tcPr>
            <w:tcW w:w="451" w:type="pct"/>
            <w:shd w:val="clear" w:color="auto" w:fill="auto"/>
            <w:vAlign w:val="center"/>
          </w:tcPr>
          <w:p w14:paraId="53832CEF"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6A5FB80B" w14:textId="4EF6A6FC"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75247B6C"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139FE0FD"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7786FC09" w14:textId="77777777" w:rsidR="00BB0F80" w:rsidRPr="003A6407" w:rsidRDefault="00BB0F80" w:rsidP="00716556">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107FD2F8" w14:textId="6770F44D"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12CD2493"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6300E2E2"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40CDCE2"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C828957"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66DBB422" w14:textId="77777777" w:rsidR="00BB0F80" w:rsidRPr="003A6407" w:rsidRDefault="00BB0F80" w:rsidP="00716556">
            <w:pPr>
              <w:shd w:val="clear" w:color="auto" w:fill="FFFFFF"/>
              <w:spacing w:before="120" w:after="120" w:line="240" w:lineRule="auto"/>
              <w:jc w:val="center"/>
              <w:rPr>
                <w:rFonts w:eastAsia="Calibri" w:cs="Times New Roman"/>
                <w:b/>
                <w:noProof/>
                <w:sz w:val="16"/>
                <w:szCs w:val="16"/>
              </w:rPr>
            </w:pPr>
          </w:p>
        </w:tc>
      </w:tr>
      <w:tr w:rsidR="00191FE2" w:rsidRPr="003A6407" w14:paraId="2062C89A" w14:textId="77777777" w:rsidTr="00716556">
        <w:trPr>
          <w:trHeight w:val="340"/>
        </w:trPr>
        <w:tc>
          <w:tcPr>
            <w:tcW w:w="451" w:type="pct"/>
            <w:shd w:val="clear" w:color="auto" w:fill="auto"/>
            <w:vAlign w:val="center"/>
          </w:tcPr>
          <w:p w14:paraId="37CB19DA" w14:textId="77777777" w:rsidR="00BB0F80"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w:t>
            </w:r>
          </w:p>
          <w:p w14:paraId="5DA15F32" w14:textId="300EF5A4" w:rsidR="00572DDA" w:rsidRPr="003A6407" w:rsidRDefault="00572DDA"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1.1</w:t>
            </w:r>
          </w:p>
        </w:tc>
        <w:tc>
          <w:tcPr>
            <w:tcW w:w="494" w:type="pct"/>
            <w:shd w:val="clear" w:color="auto" w:fill="auto"/>
            <w:vAlign w:val="center"/>
          </w:tcPr>
          <w:p w14:paraId="12CDDF5A"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7EFE3F88"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7AD83B50"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PLRO018</w:t>
            </w:r>
          </w:p>
        </w:tc>
        <w:tc>
          <w:tcPr>
            <w:tcW w:w="1206" w:type="pct"/>
            <w:shd w:val="clear" w:color="auto" w:fill="auto"/>
            <w:vAlign w:val="center"/>
          </w:tcPr>
          <w:p w14:paraId="54687674" w14:textId="77777777" w:rsidR="00BB0F80" w:rsidRPr="003A6407" w:rsidRDefault="00BB0F80" w:rsidP="00716556">
            <w:pPr>
              <w:keepNext/>
              <w:keepLines/>
              <w:spacing w:before="200" w:after="0"/>
              <w:jc w:val="center"/>
              <w:outlineLvl w:val="2"/>
              <w:rPr>
                <w:rFonts w:eastAsia="Times New Roman" w:cs="Times New Roman"/>
                <w:b/>
                <w:bCs/>
                <w:noProof/>
                <w:sz w:val="16"/>
                <w:szCs w:val="16"/>
              </w:rPr>
            </w:pPr>
            <w:bookmarkStart w:id="59" w:name="_Toc114662355"/>
            <w:bookmarkStart w:id="60" w:name="_Toc120464360"/>
            <w:r w:rsidRPr="003A6407">
              <w:rPr>
                <w:rFonts w:asciiTheme="minorHAnsi" w:eastAsia="Times New Roman" w:hAnsiTheme="minorHAnsi" w:cstheme="minorHAnsi"/>
                <w:bCs/>
                <w:noProof/>
                <w:sz w:val="16"/>
                <w:szCs w:val="16"/>
              </w:rPr>
              <w:t>Liczba wspartych klastrów</w:t>
            </w:r>
            <w:bookmarkEnd w:id="59"/>
            <w:bookmarkEnd w:id="60"/>
          </w:p>
        </w:tc>
        <w:tc>
          <w:tcPr>
            <w:tcW w:w="884" w:type="pct"/>
            <w:shd w:val="clear" w:color="auto" w:fill="auto"/>
            <w:vAlign w:val="center"/>
          </w:tcPr>
          <w:p w14:paraId="46952CDD" w14:textId="77777777"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482" w:type="pct"/>
            <w:shd w:val="clear" w:color="auto" w:fill="auto"/>
            <w:vAlign w:val="center"/>
          </w:tcPr>
          <w:p w14:paraId="63E6E343" w14:textId="0FB573DD" w:rsidR="00BB0F80" w:rsidRPr="003A6407" w:rsidRDefault="00890103"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0,00</w:t>
            </w:r>
          </w:p>
        </w:tc>
        <w:tc>
          <w:tcPr>
            <w:tcW w:w="502" w:type="pct"/>
            <w:shd w:val="clear" w:color="auto" w:fill="auto"/>
            <w:vAlign w:val="center"/>
          </w:tcPr>
          <w:p w14:paraId="2BA97E66" w14:textId="1FA34B40" w:rsidR="00BB0F80" w:rsidRPr="003A6407" w:rsidRDefault="00BB0F80"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w:t>
            </w:r>
            <w:r w:rsidR="00716556" w:rsidRPr="003A6407">
              <w:rPr>
                <w:rFonts w:eastAsia="Calibri" w:cs="Times New Roman"/>
                <w:noProof/>
                <w:sz w:val="16"/>
                <w:szCs w:val="16"/>
              </w:rPr>
              <w:t>,00</w:t>
            </w:r>
          </w:p>
        </w:tc>
      </w:tr>
      <w:tr w:rsidR="00BB0F80" w:rsidRPr="003A6407" w14:paraId="6852CB2B" w14:textId="77777777" w:rsidTr="00270B09">
        <w:trPr>
          <w:trHeight w:val="340"/>
        </w:trPr>
        <w:tc>
          <w:tcPr>
            <w:tcW w:w="5000" w:type="pct"/>
            <w:gridSpan w:val="8"/>
            <w:shd w:val="clear" w:color="auto" w:fill="auto"/>
          </w:tcPr>
          <w:p w14:paraId="08B6829B"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Metodologia:</w:t>
            </w:r>
          </w:p>
          <w:p w14:paraId="5CBD32CC"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lastRenderedPageBreak/>
              <w:t>Wskaźnik realizuje kod interwencji:</w:t>
            </w:r>
          </w:p>
          <w:p w14:paraId="6152A8AE" w14:textId="77777777" w:rsidR="00BB0F80" w:rsidRPr="003A6407" w:rsidRDefault="00BB0F80" w:rsidP="00270B09">
            <w:pPr>
              <w:numPr>
                <w:ilvl w:val="0"/>
                <w:numId w:val="12"/>
              </w:numPr>
              <w:contextualSpacing/>
              <w:rPr>
                <w:rFonts w:eastAsia="Calibri" w:cs="Times New Roman"/>
              </w:rPr>
            </w:pPr>
            <w:r w:rsidRPr="003A6407">
              <w:rPr>
                <w:rFonts w:eastAsia="Calibri" w:cs="Times New Roman"/>
              </w:rPr>
              <w:t>026 Wsparcie dla klastrów innowacyjnych, w tym między przedsiębiorstwami, organizacjami badawczymi i organami publicznymi oraz sieciami biznesowymi, z korzyścią głównie dla MŚP (3 000 000 EUR);</w:t>
            </w:r>
          </w:p>
          <w:p w14:paraId="3B1DFC9E" w14:textId="77777777" w:rsidR="00BB0F80" w:rsidRPr="003A6407" w:rsidRDefault="00BB0F80" w:rsidP="00270B09">
            <w:pPr>
              <w:shd w:val="clear" w:color="auto" w:fill="FFFFFF"/>
              <w:spacing w:before="60" w:after="60" w:line="240" w:lineRule="auto"/>
              <w:ind w:left="770"/>
              <w:contextualSpacing/>
              <w:jc w:val="both"/>
              <w:rPr>
                <w:rFonts w:eastAsia="Calibri" w:cs="Times New Roman"/>
                <w:sz w:val="22"/>
                <w:szCs w:val="22"/>
              </w:rPr>
            </w:pPr>
          </w:p>
          <w:p w14:paraId="08711856"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13 350 000,00 PLN. </w:t>
            </w:r>
          </w:p>
          <w:p w14:paraId="75BF5409"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Historyczny kwalifikowalny koszt jednostkowy został wyznaczony na bazie doświadczeń z perspektywy 2014-2020 w zakresie średniej wartość projektu przypadającej na DIS, która wynosi 1 400 000 PLN* oraz liczby zidentyfikowanych w 2021 r. klastrów w regionie – 42 szt., co daje koszt jednostkowy w kwocie 11 200 000,00 PLN.</w:t>
            </w:r>
            <w:r w:rsidRPr="003A6407">
              <w:t xml:space="preserve"> </w:t>
            </w:r>
            <w:r w:rsidRPr="003A6407">
              <w:rPr>
                <w:rFonts w:eastAsia="Calibri"/>
              </w:rPr>
              <w:t xml:space="preserve">Koszt jednostkowy został skorygowany w oparciu o wartość inflacji na poziomie 15% i wynosi 12 880 000,00 PLN, a obniżony do wartości dofinansowania na poziomie 70% wynosi 9 016 000,00 PLN, tj. 2 026 067,42 EUR. </w:t>
            </w:r>
          </w:p>
          <w:p w14:paraId="4807D155"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sz w:val="18"/>
                <w:szCs w:val="18"/>
              </w:rPr>
              <w:t>*Dane z Ewaluacja efektów wsparcia przedsiębiorstw (w tym MŚP) oraz ich innowacyjności i internacjonalizacji w województwie dolnośląskim w perspektywie 2014-2020</w:t>
            </w:r>
          </w:p>
          <w:p w14:paraId="6EF691A7"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043EA377"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R=[(4*25)+(2*68)]/6= 39,2%. Wartość zaokrąglono do pełnej wartości 39%. </w:t>
            </w:r>
          </w:p>
          <w:p w14:paraId="7211C001"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Wyliczenie:</w:t>
            </w:r>
          </w:p>
          <w:p w14:paraId="2DFFD3E9"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3 000 000 / 2 026 067,42 * (1-0,39) = 1 szt.</w:t>
            </w:r>
          </w:p>
          <w:p w14:paraId="4A715AB3" w14:textId="77777777" w:rsidR="00BB0F80" w:rsidRPr="003A6407" w:rsidRDefault="00BB0F80" w:rsidP="00270B09">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79B162AF" w14:textId="77777777" w:rsidR="00BB0F80" w:rsidRPr="003A6407" w:rsidRDefault="00BB0F80" w:rsidP="00270B09">
            <w:pPr>
              <w:numPr>
                <w:ilvl w:val="0"/>
                <w:numId w:val="2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 );</w:t>
            </w:r>
          </w:p>
          <w:p w14:paraId="2523D5BA" w14:textId="77777777" w:rsidR="00BB0F80" w:rsidRPr="003A6407" w:rsidRDefault="00BB0F80" w:rsidP="00270B09">
            <w:pPr>
              <w:numPr>
                <w:ilvl w:val="0"/>
                <w:numId w:val="2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w:t>
            </w:r>
            <w:r w:rsidRPr="003A6407">
              <w:rPr>
                <w:rFonts w:eastAsia="Calibri" w:cs="Times New Roman"/>
                <w:color w:val="000000"/>
              </w:rPr>
              <w:t xml:space="preserve"> przez KE dla danej osi priorytetowej; (istotność: umiarkowana);</w:t>
            </w:r>
          </w:p>
          <w:p w14:paraId="6ACB07AD" w14:textId="77777777" w:rsidR="00BB0F80" w:rsidRPr="003A6407" w:rsidRDefault="00BB0F80" w:rsidP="00270B09">
            <w:pPr>
              <w:numPr>
                <w:ilvl w:val="0"/>
                <w:numId w:val="2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Ostateczne ustalenia dot. występowania i poziomu pomocy publicznej</w:t>
            </w:r>
            <w:r w:rsidRPr="003A6407">
              <w:rPr>
                <w:rFonts w:eastAsia="Calibri" w:cs="Times New Roman"/>
                <w:color w:val="000000"/>
              </w:rPr>
              <w:t xml:space="preserve">; (istotność: umiarkowana); </w:t>
            </w:r>
          </w:p>
          <w:p w14:paraId="09F26027" w14:textId="77777777" w:rsidR="00BB0F80" w:rsidRPr="003A6407" w:rsidRDefault="00BB0F80" w:rsidP="00270B09">
            <w:pPr>
              <w:numPr>
                <w:ilvl w:val="0"/>
                <w:numId w:val="2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Brak zainteresowania oferowanym wsparciem</w:t>
            </w:r>
            <w:r w:rsidRPr="003A6407">
              <w:rPr>
                <w:rFonts w:eastAsia="Calibri" w:cs="Times New Roman"/>
                <w:color w:val="000000"/>
              </w:rPr>
              <w:t xml:space="preserve"> ze strony przedsiębiorstw - (istotność: poważna); </w:t>
            </w:r>
          </w:p>
          <w:p w14:paraId="325F65A7" w14:textId="77777777" w:rsidR="00BB0F80" w:rsidRPr="003A6407" w:rsidRDefault="00BB0F80" w:rsidP="00270B09">
            <w:pPr>
              <w:numPr>
                <w:ilvl w:val="0"/>
                <w:numId w:val="2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Problemy z zabezpieczeniem wkładu</w:t>
            </w:r>
            <w:r w:rsidRPr="003A6407">
              <w:rPr>
                <w:rFonts w:eastAsia="Calibri" w:cs="Times New Roman"/>
                <w:color w:val="000000"/>
              </w:rPr>
              <w:t xml:space="preserve"> własnego wnioskodawcy (istotność: poważna);</w:t>
            </w:r>
          </w:p>
          <w:p w14:paraId="03826BEA" w14:textId="77777777" w:rsidR="00BB0F80" w:rsidRPr="003A6407" w:rsidRDefault="00BB0F80" w:rsidP="00270B09">
            <w:pPr>
              <w:numPr>
                <w:ilvl w:val="0"/>
                <w:numId w:val="24"/>
              </w:numPr>
              <w:spacing w:after="0" w:line="240" w:lineRule="auto"/>
              <w:contextualSpacing/>
              <w:jc w:val="both"/>
              <w:rPr>
                <w:rFonts w:eastAsia="Calibri" w:cs="Times New Roman"/>
                <w:color w:val="000000"/>
                <w:sz w:val="22"/>
                <w:szCs w:val="22"/>
              </w:rPr>
            </w:pPr>
            <w:r w:rsidRPr="003A6407">
              <w:rPr>
                <w:rFonts w:eastAsia="Calibri" w:cs="Times New Roman"/>
                <w:b/>
                <w:bCs/>
                <w:color w:val="000000"/>
                <w:sz w:val="22"/>
                <w:szCs w:val="22"/>
              </w:rPr>
              <w:t>Rozwiązane umowy o dofinansowanie</w:t>
            </w:r>
            <w:r w:rsidRPr="003A6407">
              <w:rPr>
                <w:rFonts w:eastAsia="Calibri" w:cs="Times New Roman"/>
                <w:color w:val="000000"/>
                <w:sz w:val="22"/>
                <w:szCs w:val="22"/>
              </w:rPr>
              <w:t xml:space="preserve"> realizacji projektu – (istotność: umiarkowana).</w:t>
            </w:r>
          </w:p>
          <w:p w14:paraId="27456BDA" w14:textId="77777777" w:rsidR="00BF6897" w:rsidRPr="003A6407" w:rsidRDefault="00BF6897" w:rsidP="00BF6897">
            <w:pPr>
              <w:spacing w:after="0" w:line="240" w:lineRule="auto"/>
              <w:contextualSpacing/>
              <w:jc w:val="both"/>
              <w:rPr>
                <w:rFonts w:eastAsia="Calibri" w:cs="Times New Roman"/>
                <w:color w:val="000000"/>
                <w:sz w:val="22"/>
                <w:szCs w:val="22"/>
              </w:rPr>
            </w:pPr>
          </w:p>
          <w:p w14:paraId="727266E3" w14:textId="77777777" w:rsidR="00BF6897" w:rsidRPr="003A6407" w:rsidRDefault="00BF6897" w:rsidP="00BF6897">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10CB74F6" w14:textId="3E039B1F" w:rsidR="00BF6897" w:rsidRPr="003A6407" w:rsidRDefault="00BF6897" w:rsidP="00412D9C">
            <w:pPr>
              <w:spacing w:after="0" w:line="240" w:lineRule="auto"/>
              <w:contextualSpacing/>
              <w:jc w:val="both"/>
              <w:rPr>
                <w:rFonts w:eastAsia="Calibri" w:cs="Times New Roman"/>
                <w:color w:val="000000"/>
                <w:sz w:val="22"/>
                <w:szCs w:val="22"/>
              </w:rPr>
            </w:pPr>
            <w:r w:rsidRPr="003A6407">
              <w:rPr>
                <w:rFonts w:eastAsia="Calibri" w:cs="Times New Roman"/>
                <w:b/>
                <w:bCs/>
                <w:color w:val="000000"/>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w:t>
            </w:r>
            <w:r w:rsidR="00243B24" w:rsidRPr="00243B24">
              <w:rPr>
                <w:rFonts w:eastAsia="Calibri" w:cs="Times New Roman"/>
                <w:b/>
                <w:bCs/>
                <w:color w:val="000000"/>
              </w:rPr>
              <w:t>Ponadto uwzględniając długotrwałość procesu tworzenia przedsięwzięć infrastrukturalnych w ramach klastrów  cel pośredni dla 2024 r. został określony na poziomie 0.</w:t>
            </w:r>
          </w:p>
        </w:tc>
      </w:tr>
    </w:tbl>
    <w:p w14:paraId="4B492D9A" w14:textId="77777777" w:rsidR="00BB0F80" w:rsidRPr="003A6407" w:rsidRDefault="00BB0F80" w:rsidP="0070626C"/>
    <w:p w14:paraId="516745E2" w14:textId="77777777" w:rsidR="00BB0F80" w:rsidRPr="003A6407" w:rsidRDefault="00BB0F80" w:rsidP="00590330">
      <w:pPr>
        <w:pStyle w:val="Nagwek2"/>
        <w:spacing w:after="200"/>
        <w:rPr>
          <w:rFonts w:cs="Arial"/>
        </w:rPr>
      </w:pPr>
    </w:p>
    <w:p w14:paraId="01F0E03F" w14:textId="77777777" w:rsidR="00BB0F80" w:rsidRPr="003A6407" w:rsidRDefault="00BB0F80" w:rsidP="00590330">
      <w:pPr>
        <w:pStyle w:val="Nagwek2"/>
        <w:spacing w:after="200"/>
      </w:pPr>
      <w:bookmarkStart w:id="61" w:name="_Toc114662356"/>
      <w:bookmarkStart w:id="62" w:name="_Toc120464361"/>
      <w:r w:rsidRPr="003A6407">
        <w:t>Wskaźniki rezultatu</w:t>
      </w:r>
      <w:bookmarkEnd w:id="61"/>
      <w:bookmarkEnd w:id="62"/>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850"/>
        <w:gridCol w:w="1418"/>
        <w:gridCol w:w="850"/>
        <w:gridCol w:w="813"/>
        <w:gridCol w:w="554"/>
        <w:gridCol w:w="691"/>
        <w:gridCol w:w="691"/>
        <w:gridCol w:w="690"/>
      </w:tblGrid>
      <w:tr w:rsidR="00191FE2" w:rsidRPr="003A6407" w14:paraId="0394C05A" w14:textId="77777777" w:rsidTr="00716556">
        <w:trPr>
          <w:cantSplit/>
          <w:trHeight w:val="1768"/>
        </w:trPr>
        <w:tc>
          <w:tcPr>
            <w:tcW w:w="375" w:type="pct"/>
            <w:vAlign w:val="center"/>
          </w:tcPr>
          <w:p w14:paraId="10D78F01" w14:textId="77777777" w:rsidR="00BB0F80" w:rsidRPr="003A6407" w:rsidRDefault="00BB0F80" w:rsidP="00716556">
            <w:pPr>
              <w:spacing w:before="120" w:after="120" w:line="240" w:lineRule="auto"/>
              <w:jc w:val="center"/>
              <w:rPr>
                <w:rFonts w:eastAsia="Calibri" w:cs="Times New Roman"/>
                <w:b/>
                <w:noProof/>
                <w:sz w:val="16"/>
                <w:szCs w:val="16"/>
                <w:lang w:eastAsia="pl-PL"/>
              </w:rPr>
            </w:pPr>
            <w:bookmarkStart w:id="63" w:name="_Hlk117715030"/>
            <w:r w:rsidRPr="003A6407">
              <w:rPr>
                <w:rFonts w:eastAsia="Calibri" w:cs="Times New Roman"/>
                <w:b/>
                <w:noProof/>
                <w:sz w:val="16"/>
                <w:szCs w:val="16"/>
                <w:lang w:eastAsia="pl-PL"/>
              </w:rPr>
              <w:t>CP 1</w:t>
            </w:r>
          </w:p>
          <w:p w14:paraId="3895E319"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 (i)</w:t>
            </w:r>
          </w:p>
        </w:tc>
        <w:tc>
          <w:tcPr>
            <w:tcW w:w="345" w:type="pct"/>
            <w:vAlign w:val="center"/>
          </w:tcPr>
          <w:p w14:paraId="6935F65E"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56396E81"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82" w:type="pct"/>
            <w:textDirection w:val="btLr"/>
            <w:vAlign w:val="center"/>
          </w:tcPr>
          <w:p w14:paraId="74513C74"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04" w:type="pct"/>
            <w:shd w:val="clear" w:color="auto" w:fill="auto"/>
            <w:vAlign w:val="center"/>
          </w:tcPr>
          <w:p w14:paraId="6B891610"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0520619F"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61" w:type="pct"/>
            <w:textDirection w:val="btLr"/>
            <w:vAlign w:val="center"/>
          </w:tcPr>
          <w:p w14:paraId="464DC357"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304BAB63"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61FAB314"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69B4F65B" w14:textId="77777777" w:rsidR="00BB0F80" w:rsidRPr="003A6407" w:rsidRDefault="00BB0F80" w:rsidP="00716556">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5E5BF712" w14:textId="77777777" w:rsidR="00BB0F80" w:rsidRPr="003A6407" w:rsidRDefault="00BB0F80" w:rsidP="00716556">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09224A9B" w14:textId="77777777" w:rsidR="00BB0F80" w:rsidRPr="003A6407" w:rsidRDefault="00BB0F80" w:rsidP="00716556">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174E6CEA" w14:textId="77777777" w:rsidTr="00716556">
        <w:trPr>
          <w:trHeight w:val="434"/>
        </w:trPr>
        <w:tc>
          <w:tcPr>
            <w:tcW w:w="375" w:type="pct"/>
            <w:vAlign w:val="center"/>
          </w:tcPr>
          <w:p w14:paraId="66873652" w14:textId="77777777" w:rsidR="00BB0F80" w:rsidRDefault="00BB0F80" w:rsidP="00716556">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lastRenderedPageBreak/>
              <w:t>1 (i)</w:t>
            </w:r>
          </w:p>
          <w:p w14:paraId="7CA3FE54" w14:textId="7330A3F1" w:rsidR="00572DDA" w:rsidRPr="003A6407" w:rsidRDefault="00572DDA" w:rsidP="00716556">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1.1</w:t>
            </w:r>
          </w:p>
        </w:tc>
        <w:tc>
          <w:tcPr>
            <w:tcW w:w="345" w:type="pct"/>
            <w:vAlign w:val="center"/>
          </w:tcPr>
          <w:p w14:paraId="3A60E137" w14:textId="77777777" w:rsidR="00BB0F80" w:rsidRPr="003A6407" w:rsidRDefault="00BB0F80" w:rsidP="00716556">
            <w:pPr>
              <w:jc w:val="center"/>
              <w:rPr>
                <w:rFonts w:eastAsia="Calibri" w:cs="Times New Roman"/>
                <w:sz w:val="16"/>
                <w:szCs w:val="16"/>
              </w:rPr>
            </w:pPr>
            <w:r w:rsidRPr="003A6407">
              <w:rPr>
                <w:rFonts w:eastAsia="Calibri" w:cs="Times New Roman"/>
                <w:noProof/>
                <w:sz w:val="16"/>
                <w:szCs w:val="16"/>
              </w:rPr>
              <w:t>EFRR</w:t>
            </w:r>
          </w:p>
        </w:tc>
        <w:tc>
          <w:tcPr>
            <w:tcW w:w="562" w:type="pct"/>
            <w:vAlign w:val="center"/>
          </w:tcPr>
          <w:p w14:paraId="31ACC8D5" w14:textId="77777777" w:rsidR="00BB0F80" w:rsidRPr="003A6407" w:rsidRDefault="00BB0F80" w:rsidP="00716556">
            <w:pPr>
              <w:jc w:val="center"/>
              <w:rPr>
                <w:rFonts w:eastAsia="Calibri" w:cs="Times New Roman"/>
                <w:sz w:val="16"/>
                <w:szCs w:val="16"/>
              </w:rPr>
            </w:pPr>
            <w:r w:rsidRPr="003A6407">
              <w:rPr>
                <w:rFonts w:eastAsia="Calibri" w:cs="Times New Roman"/>
                <w:noProof/>
                <w:sz w:val="16"/>
                <w:szCs w:val="16"/>
              </w:rPr>
              <w:t>Przejściowy</w:t>
            </w:r>
          </w:p>
        </w:tc>
        <w:tc>
          <w:tcPr>
            <w:tcW w:w="482" w:type="pct"/>
            <w:vAlign w:val="center"/>
          </w:tcPr>
          <w:p w14:paraId="4CA162A7" w14:textId="77777777" w:rsidR="00BB0F80" w:rsidRPr="003A6407" w:rsidRDefault="00BB0F80" w:rsidP="00716556">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PLRR001</w:t>
            </w:r>
          </w:p>
        </w:tc>
        <w:tc>
          <w:tcPr>
            <w:tcW w:w="804" w:type="pct"/>
            <w:shd w:val="clear" w:color="auto" w:fill="auto"/>
            <w:vAlign w:val="center"/>
          </w:tcPr>
          <w:p w14:paraId="66528140" w14:textId="77777777" w:rsidR="00BB0F80" w:rsidRPr="003A6407" w:rsidRDefault="00BB0F80" w:rsidP="00716556">
            <w:pPr>
              <w:keepNext/>
              <w:keepLines/>
              <w:spacing w:before="200" w:after="0"/>
              <w:jc w:val="center"/>
              <w:outlineLvl w:val="2"/>
              <w:rPr>
                <w:rFonts w:eastAsia="Calibri" w:cs="Times New Roman"/>
                <w:bCs/>
                <w:noProof/>
                <w:sz w:val="16"/>
                <w:szCs w:val="16"/>
                <w:lang w:eastAsia="pl-PL"/>
              </w:rPr>
            </w:pPr>
            <w:bookmarkStart w:id="64" w:name="_Toc97127025"/>
            <w:bookmarkStart w:id="65" w:name="_Toc114662357"/>
            <w:bookmarkStart w:id="66" w:name="_Toc120464362"/>
            <w:r w:rsidRPr="003A6407">
              <w:rPr>
                <w:rFonts w:asciiTheme="minorHAnsi" w:eastAsia="Times New Roman" w:hAnsiTheme="minorHAnsi" w:cstheme="minorHAnsi"/>
                <w:bCs/>
                <w:noProof/>
                <w:sz w:val="16"/>
                <w:szCs w:val="16"/>
              </w:rPr>
              <w:t>Wartość nakładów na działalność B+R we wspartych przedsiębiorstwach</w:t>
            </w:r>
            <w:bookmarkEnd w:id="64"/>
            <w:bookmarkEnd w:id="65"/>
            <w:bookmarkEnd w:id="66"/>
          </w:p>
        </w:tc>
        <w:tc>
          <w:tcPr>
            <w:tcW w:w="482" w:type="pct"/>
            <w:vAlign w:val="center"/>
          </w:tcPr>
          <w:p w14:paraId="06355343" w14:textId="77777777" w:rsidR="00BB0F80" w:rsidRPr="003A6407" w:rsidRDefault="00BB0F80" w:rsidP="00716556">
            <w:pPr>
              <w:jc w:val="center"/>
              <w:rPr>
                <w:rFonts w:eastAsia="Calibri" w:cs="Times New Roman"/>
                <w:noProof/>
                <w:sz w:val="16"/>
                <w:szCs w:val="16"/>
                <w:lang w:eastAsia="pl-PL"/>
              </w:rPr>
            </w:pPr>
            <w:r w:rsidRPr="003A6407">
              <w:rPr>
                <w:rFonts w:eastAsia="Calibri" w:cs="Times New Roman"/>
                <w:noProof/>
                <w:sz w:val="16"/>
                <w:szCs w:val="16"/>
                <w:lang w:eastAsia="pl-PL"/>
              </w:rPr>
              <w:t>PLN</w:t>
            </w:r>
          </w:p>
        </w:tc>
        <w:tc>
          <w:tcPr>
            <w:tcW w:w="461" w:type="pct"/>
            <w:vAlign w:val="center"/>
          </w:tcPr>
          <w:p w14:paraId="46C7F11B" w14:textId="65E98409" w:rsidR="00BB0F80" w:rsidRPr="003A6407" w:rsidRDefault="00890103" w:rsidP="00716556">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4" w:type="pct"/>
            <w:vAlign w:val="center"/>
          </w:tcPr>
          <w:p w14:paraId="7F796262" w14:textId="1D92FACD" w:rsidR="00BB0F80" w:rsidRPr="00875916" w:rsidRDefault="00890103" w:rsidP="00716556">
            <w:pPr>
              <w:spacing w:before="120" w:after="120" w:line="240" w:lineRule="auto"/>
              <w:jc w:val="center"/>
              <w:rPr>
                <w:rFonts w:eastAsia="Calibri" w:cs="Times New Roman"/>
                <w:bCs/>
                <w:noProof/>
                <w:sz w:val="16"/>
                <w:szCs w:val="16"/>
                <w:lang w:eastAsia="pl-PL"/>
              </w:rPr>
            </w:pPr>
            <w:r w:rsidRPr="00875916">
              <w:rPr>
                <w:rFonts w:eastAsia="Calibri" w:cs="Times New Roman"/>
                <w:bCs/>
                <w:noProof/>
                <w:sz w:val="16"/>
                <w:szCs w:val="16"/>
                <w:lang w:eastAsia="pl-PL"/>
              </w:rPr>
              <w:t>2022</w:t>
            </w:r>
          </w:p>
        </w:tc>
        <w:tc>
          <w:tcPr>
            <w:tcW w:w="392" w:type="pct"/>
            <w:shd w:val="clear" w:color="auto" w:fill="auto"/>
            <w:vAlign w:val="center"/>
          </w:tcPr>
          <w:p w14:paraId="6EC0580A" w14:textId="2B62CF27" w:rsidR="00BB0F80" w:rsidRPr="00875916" w:rsidRDefault="00C0296F" w:rsidP="00716556">
            <w:pPr>
              <w:spacing w:before="120" w:after="120" w:line="240" w:lineRule="auto"/>
              <w:jc w:val="center"/>
              <w:rPr>
                <w:rFonts w:eastAsia="Calibri" w:cs="Times New Roman"/>
                <w:bCs/>
                <w:noProof/>
                <w:sz w:val="16"/>
                <w:szCs w:val="16"/>
                <w:lang w:eastAsia="pl-PL"/>
              </w:rPr>
            </w:pPr>
            <w:r w:rsidRPr="00C0296F">
              <w:rPr>
                <w:rFonts w:eastAsia="Calibri" w:cs="Times New Roman"/>
                <w:bCs/>
                <w:noProof/>
                <w:sz w:val="16"/>
                <w:szCs w:val="16"/>
                <w:lang w:eastAsia="pl-PL"/>
              </w:rPr>
              <w:t>242 578 469,00</w:t>
            </w:r>
          </w:p>
        </w:tc>
        <w:tc>
          <w:tcPr>
            <w:tcW w:w="392" w:type="pct"/>
            <w:shd w:val="clear" w:color="auto" w:fill="auto"/>
            <w:vAlign w:val="center"/>
          </w:tcPr>
          <w:p w14:paraId="63FE5D02" w14:textId="109B01F4" w:rsidR="00BB0F80" w:rsidRPr="003A6407" w:rsidRDefault="00890103" w:rsidP="00716556">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1" w:type="pct"/>
            <w:vAlign w:val="center"/>
          </w:tcPr>
          <w:p w14:paraId="30430CCA" w14:textId="77777777" w:rsidR="00BB0F80" w:rsidRPr="003A6407" w:rsidRDefault="00BB0F80" w:rsidP="00716556">
            <w:pPr>
              <w:jc w:val="center"/>
              <w:rPr>
                <w:rFonts w:eastAsia="Calibri" w:cs="Times New Roman"/>
                <w:noProof/>
                <w:sz w:val="16"/>
                <w:szCs w:val="16"/>
              </w:rPr>
            </w:pPr>
          </w:p>
        </w:tc>
      </w:tr>
      <w:bookmarkEnd w:id="63"/>
      <w:tr w:rsidR="00BB0F80" w:rsidRPr="003A6407" w14:paraId="00030295" w14:textId="77777777" w:rsidTr="00270B09">
        <w:trPr>
          <w:trHeight w:val="434"/>
        </w:trPr>
        <w:tc>
          <w:tcPr>
            <w:tcW w:w="5000" w:type="pct"/>
            <w:gridSpan w:val="11"/>
          </w:tcPr>
          <w:p w14:paraId="36B50415" w14:textId="77777777" w:rsidR="00BB0F80" w:rsidRPr="003A6407" w:rsidRDefault="00BB0F80" w:rsidP="005428F7">
            <w:pPr>
              <w:shd w:val="clear" w:color="auto" w:fill="FFFFFF"/>
              <w:spacing w:before="60" w:after="60" w:line="240" w:lineRule="auto"/>
              <w:jc w:val="both"/>
              <w:rPr>
                <w:rFonts w:eastAsia="Calibri"/>
              </w:rPr>
            </w:pPr>
            <w:r w:rsidRPr="003A6407">
              <w:rPr>
                <w:rFonts w:eastAsia="Calibri"/>
              </w:rPr>
              <w:t>Metodologia:</w:t>
            </w:r>
          </w:p>
          <w:p w14:paraId="596A6083" w14:textId="77777777" w:rsidR="00BB0F80" w:rsidRPr="003A6407" w:rsidRDefault="00BB0F80" w:rsidP="005428F7">
            <w:pPr>
              <w:shd w:val="clear" w:color="auto" w:fill="FFFFFF"/>
              <w:spacing w:before="60" w:after="60" w:line="240" w:lineRule="auto"/>
              <w:jc w:val="both"/>
              <w:rPr>
                <w:rFonts w:eastAsia="Calibri"/>
              </w:rPr>
            </w:pPr>
            <w:r w:rsidRPr="003A6407">
              <w:rPr>
                <w:rFonts w:eastAsia="Calibri"/>
              </w:rPr>
              <w:t>Wskaźnik realizuje kod interwencji:</w:t>
            </w:r>
          </w:p>
          <w:p w14:paraId="610554FC" w14:textId="69F6CF1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 Inwestycje w środki trwałe, w tym infrastrukturę badawczą, w mikroprzedsiębiorstwach bezpośrednio związane z działaniami badawczymi i innowacyjnymi (3 695 </w:t>
            </w:r>
            <w:r w:rsidR="00875916" w:rsidRPr="003A6407">
              <w:rPr>
                <w:rFonts w:eastAsia="Calibri" w:cs="Times New Roman"/>
              </w:rPr>
              <w:t>70</w:t>
            </w:r>
            <w:r w:rsidR="00875916">
              <w:rPr>
                <w:rFonts w:eastAsia="Calibri" w:cs="Times New Roman"/>
              </w:rPr>
              <w:t>5</w:t>
            </w:r>
            <w:r w:rsidR="00875916" w:rsidRPr="003A6407">
              <w:rPr>
                <w:rFonts w:eastAsia="Calibri" w:cs="Times New Roman"/>
              </w:rPr>
              <w:t xml:space="preserve"> </w:t>
            </w:r>
            <w:r w:rsidRPr="003A6407">
              <w:rPr>
                <w:rFonts w:eastAsia="Calibri" w:cs="Times New Roman"/>
              </w:rPr>
              <w:t>EUR);</w:t>
            </w:r>
          </w:p>
          <w:p w14:paraId="249A27C2"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 Inwestycje w środki trwałe, w tym infrastrukturę badawczą, w małych i średnich przedsiębiorstwach (w tym prywatnych organizacjach badawczych) bezpośrednio związane z działaniami badawczymi i innowacyjnymi (27 688 305 EUR);</w:t>
            </w:r>
          </w:p>
          <w:p w14:paraId="48F3F9A5"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09 Działania badawcze i innowacyjne w mikroprzedsiębiorstwach, w tym tworzenie sieci kontaktów (badania przemysłowe, eksperymentalne prace rozwojowe, studia wykonalności) </w:t>
            </w:r>
          </w:p>
          <w:p w14:paraId="52BD034F" w14:textId="77777777" w:rsidR="00BB0F80" w:rsidRPr="003A6407" w:rsidRDefault="00BB0F80" w:rsidP="005428F7">
            <w:pPr>
              <w:shd w:val="clear" w:color="auto" w:fill="FFFFFF"/>
              <w:spacing w:before="60" w:after="60" w:line="240" w:lineRule="auto"/>
              <w:ind w:left="770"/>
              <w:contextualSpacing/>
              <w:jc w:val="both"/>
              <w:rPr>
                <w:rFonts w:eastAsia="Calibri" w:cs="Times New Roman"/>
              </w:rPr>
            </w:pPr>
            <w:r w:rsidRPr="003A6407">
              <w:rPr>
                <w:rFonts w:eastAsia="Calibri" w:cs="Times New Roman"/>
              </w:rPr>
              <w:t>(1 478 282,00 EUR).</w:t>
            </w:r>
          </w:p>
          <w:p w14:paraId="3834DBC5"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(31 384 012,00 EUR).</w:t>
            </w:r>
          </w:p>
          <w:p w14:paraId="5EDFE7E3" w14:textId="3C7383C4" w:rsidR="00BB0F80" w:rsidRPr="003A6407" w:rsidRDefault="00BB0F80" w:rsidP="005428F7">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875916" w:rsidRPr="00875916">
              <w:rPr>
                <w:rFonts w:eastAsia="Calibri"/>
              </w:rPr>
              <w:t xml:space="preserve"> 285 896 052,80    </w:t>
            </w:r>
            <w:r w:rsidRPr="003A6407">
              <w:rPr>
                <w:rFonts w:eastAsia="Calibri"/>
              </w:rPr>
              <w:t xml:space="preserve">PLN. </w:t>
            </w:r>
          </w:p>
          <w:p w14:paraId="4ECFC8B4" w14:textId="3692CAF3" w:rsidR="00BB0F80" w:rsidRPr="003A6407" w:rsidRDefault="00BB0F80" w:rsidP="005428F7">
            <w:pPr>
              <w:shd w:val="clear" w:color="auto" w:fill="FFFFFF"/>
              <w:spacing w:before="60" w:after="60" w:line="240" w:lineRule="auto"/>
              <w:jc w:val="both"/>
              <w:rPr>
                <w:rFonts w:eastAsia="Calibri"/>
              </w:rPr>
            </w:pPr>
            <w:r w:rsidRPr="003A6407">
              <w:rPr>
                <w:rFonts w:eastAsia="Calibri"/>
              </w:rPr>
              <w:t>Wskaźnik dot. wartości nakładów został wyliczony w oparciu o całkowite koszty kwalifikowalne przypadające na projekty w CP1 i</w:t>
            </w:r>
            <w:r w:rsidR="007807E7">
              <w:rPr>
                <w:rFonts w:eastAsia="Calibri"/>
              </w:rPr>
              <w:t xml:space="preserve"> (w zakresie B+R)</w:t>
            </w:r>
            <w:r w:rsidRPr="003A6407">
              <w:rPr>
                <w:rFonts w:eastAsia="Calibri"/>
              </w:rPr>
              <w:t>, czyli wartości alokacji 64 246 30</w:t>
            </w:r>
            <w:r w:rsidR="00875916">
              <w:rPr>
                <w:rFonts w:eastAsia="Calibri"/>
              </w:rPr>
              <w:t>4</w:t>
            </w:r>
            <w:r w:rsidRPr="003A6407">
              <w:rPr>
                <w:rFonts w:eastAsia="Calibri"/>
              </w:rPr>
              <w:t>,00 EUR + zakładany wkład własny.</w:t>
            </w:r>
          </w:p>
          <w:p w14:paraId="1453880C" w14:textId="713440DF" w:rsidR="00BB0F80" w:rsidRPr="003A6407" w:rsidRDefault="00BB0F80" w:rsidP="005428F7">
            <w:pPr>
              <w:shd w:val="clear" w:color="auto" w:fill="FFFFFF"/>
              <w:spacing w:before="60" w:after="60" w:line="240" w:lineRule="auto"/>
              <w:jc w:val="both"/>
              <w:rPr>
                <w:rFonts w:eastAsia="Calibri"/>
              </w:rPr>
            </w:pPr>
            <w:r w:rsidRPr="003A6407">
              <w:rPr>
                <w:rFonts w:eastAsia="Calibri"/>
              </w:rPr>
              <w:t>Wkład własny obliczono biorąc pod uwagę średni</w:t>
            </w:r>
            <w:r w:rsidR="00412D9C" w:rsidRPr="003A6407">
              <w:rPr>
                <w:rFonts w:eastAsia="Calibri"/>
              </w:rPr>
              <w:t>%</w:t>
            </w:r>
            <w:r w:rsidRPr="003A6407">
              <w:rPr>
                <w:rFonts w:eastAsia="Calibri"/>
              </w:rPr>
              <w:t xml:space="preserve"> poziomu dofinansowania, przypadający na projekty w perspektywie 2014-2020 z działania 1.2 schemat A,B,C) tj. w analogicznym zakresie wsparcia jak w CP1 i, czyli 66%</w:t>
            </w:r>
          </w:p>
          <w:p w14:paraId="6396E1FD" w14:textId="2B5EDD8D" w:rsidR="00BB0F80" w:rsidRPr="003A6407" w:rsidRDefault="00C0296F" w:rsidP="005428F7">
            <w:pPr>
              <w:shd w:val="clear" w:color="auto" w:fill="FFFFFF"/>
              <w:spacing w:before="60" w:after="60" w:line="240" w:lineRule="auto"/>
              <w:jc w:val="both"/>
              <w:rPr>
                <w:rFonts w:eastAsia="Calibri"/>
              </w:rPr>
            </w:pPr>
            <w:r>
              <w:rPr>
                <w:rFonts w:eastAsia="Calibri"/>
              </w:rPr>
              <w:t>(</w:t>
            </w:r>
            <w:r w:rsidR="00BB0F80" w:rsidRPr="003A6407">
              <w:rPr>
                <w:rFonts w:eastAsia="Calibri"/>
              </w:rPr>
              <w:t>64 246 30</w:t>
            </w:r>
            <w:r w:rsidR="00875916">
              <w:rPr>
                <w:rFonts w:eastAsia="Calibri"/>
              </w:rPr>
              <w:t>4</w:t>
            </w:r>
            <w:r w:rsidR="00BB0F80" w:rsidRPr="003A6407">
              <w:rPr>
                <w:rFonts w:eastAsia="Calibri"/>
              </w:rPr>
              <w:t xml:space="preserve">,00 EUR </w:t>
            </w:r>
            <w:r>
              <w:rPr>
                <w:rFonts w:eastAsia="Calibri"/>
              </w:rPr>
              <w:t>100)/66</w:t>
            </w:r>
            <w:r w:rsidR="00BB0F80" w:rsidRPr="003A6407">
              <w:rPr>
                <w:rFonts w:eastAsia="Calibri"/>
              </w:rPr>
              <w:t xml:space="preserve"> EUR = </w:t>
            </w:r>
            <w:r w:rsidR="00E620F0">
              <w:rPr>
                <w:rFonts w:eastAsia="Calibri"/>
              </w:rPr>
              <w:t xml:space="preserve">w zaokrągleniu </w:t>
            </w:r>
            <w:r w:rsidR="00BB0F80" w:rsidRPr="003A6407">
              <w:rPr>
                <w:rFonts w:eastAsia="Calibri"/>
              </w:rPr>
              <w:t>97 342 </w:t>
            </w:r>
            <w:r w:rsidR="00875916" w:rsidRPr="003A6407">
              <w:rPr>
                <w:rFonts w:eastAsia="Calibri"/>
              </w:rPr>
              <w:t>88</w:t>
            </w:r>
            <w:r w:rsidR="00875916">
              <w:rPr>
                <w:rFonts w:eastAsia="Calibri"/>
              </w:rPr>
              <w:t>5</w:t>
            </w:r>
            <w:r w:rsidR="00BB0F80" w:rsidRPr="003A6407">
              <w:rPr>
                <w:rFonts w:eastAsia="Calibri"/>
              </w:rPr>
              <w:t xml:space="preserve"> EUR</w:t>
            </w:r>
          </w:p>
          <w:p w14:paraId="2E689881" w14:textId="500ED917" w:rsidR="00BB0F80" w:rsidRPr="003A6407" w:rsidRDefault="00BB0F80" w:rsidP="005428F7">
            <w:pPr>
              <w:shd w:val="clear" w:color="auto" w:fill="FFFFFF"/>
              <w:spacing w:before="60" w:after="60" w:line="240" w:lineRule="auto"/>
              <w:jc w:val="both"/>
              <w:rPr>
                <w:rFonts w:eastAsia="Calibri"/>
              </w:rPr>
            </w:pPr>
            <w:r w:rsidRPr="003A6407">
              <w:rPr>
                <w:rFonts w:eastAsia="Calibri"/>
              </w:rPr>
              <w:t xml:space="preserve">97 342 </w:t>
            </w:r>
            <w:r w:rsidR="00875916" w:rsidRPr="003A6407">
              <w:rPr>
                <w:rFonts w:eastAsia="Calibri"/>
              </w:rPr>
              <w:t>88</w:t>
            </w:r>
            <w:r w:rsidR="00875916">
              <w:rPr>
                <w:rFonts w:eastAsia="Calibri"/>
              </w:rPr>
              <w:t>5</w:t>
            </w:r>
            <w:r w:rsidRPr="003A6407">
              <w:rPr>
                <w:rFonts w:eastAsia="Calibri"/>
              </w:rPr>
              <w:t xml:space="preserve"> EUR*4,45= </w:t>
            </w:r>
            <w:r w:rsidR="00C0296F" w:rsidRPr="00C0296F">
              <w:rPr>
                <w:rFonts w:eastAsia="Calibri"/>
              </w:rPr>
              <w:t xml:space="preserve"> 433 175 838,00 </w:t>
            </w:r>
            <w:r w:rsidRPr="003A6407">
              <w:rPr>
                <w:rFonts w:eastAsia="Calibri"/>
              </w:rPr>
              <w:t>PLN</w:t>
            </w:r>
            <w:r w:rsidR="00C0296F">
              <w:rPr>
                <w:rFonts w:eastAsia="Calibri"/>
              </w:rPr>
              <w:t xml:space="preserve"> (wartość zaokrąglono do pełnych PLN)</w:t>
            </w:r>
          </w:p>
          <w:p w14:paraId="7DAF4E6C" w14:textId="77777777" w:rsidR="00BB0F80" w:rsidRPr="003A6407" w:rsidRDefault="00BB0F80" w:rsidP="005428F7">
            <w:pPr>
              <w:shd w:val="clear" w:color="auto" w:fill="FFFFFF"/>
              <w:spacing w:before="60" w:after="60" w:line="240" w:lineRule="auto"/>
              <w:jc w:val="both"/>
              <w:rPr>
                <w:rFonts w:eastAsia="Calibri"/>
              </w:rPr>
            </w:pPr>
            <w:r w:rsidRPr="003A6407">
              <w:rPr>
                <w:rFonts w:eastAsia="Calibri"/>
              </w:rPr>
              <w:t xml:space="preserve">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496082F7" w14:textId="77777777" w:rsidR="00BB0F80" w:rsidRPr="003A6407" w:rsidRDefault="00BB0F80" w:rsidP="005428F7">
            <w:pPr>
              <w:spacing w:before="60" w:after="60" w:line="240" w:lineRule="auto"/>
              <w:jc w:val="both"/>
              <w:rPr>
                <w:rFonts w:eastAsia="Calibri"/>
              </w:rPr>
            </w:pPr>
            <w:r w:rsidRPr="003A6407">
              <w:rPr>
                <w:rFonts w:eastAsia="Calibri"/>
              </w:rPr>
              <w:t xml:space="preserve">R= [(5*25)+(4*68)]/9= 44,11. Wartość zaokrąglono do pełnej wartości 44%. </w:t>
            </w:r>
          </w:p>
          <w:p w14:paraId="168D0FC8" w14:textId="77777777" w:rsidR="00BB0F80" w:rsidRPr="003A6407" w:rsidRDefault="00BB0F80" w:rsidP="005428F7">
            <w:pPr>
              <w:shd w:val="clear" w:color="auto" w:fill="FFFFFF"/>
              <w:spacing w:before="60" w:after="60" w:line="240" w:lineRule="auto"/>
              <w:jc w:val="both"/>
              <w:rPr>
                <w:rFonts w:eastAsia="Calibri"/>
              </w:rPr>
            </w:pPr>
          </w:p>
          <w:p w14:paraId="3CA31B29" w14:textId="77777777" w:rsidR="00BB0F80" w:rsidRPr="003A6407" w:rsidRDefault="00BB0F80" w:rsidP="005428F7">
            <w:pPr>
              <w:shd w:val="clear" w:color="auto" w:fill="FFFFFF"/>
              <w:spacing w:before="60" w:after="60" w:line="240" w:lineRule="auto"/>
              <w:jc w:val="both"/>
              <w:rPr>
                <w:rFonts w:eastAsia="Calibri"/>
              </w:rPr>
            </w:pPr>
            <w:r w:rsidRPr="003A6407">
              <w:rPr>
                <w:rFonts w:eastAsia="Calibri"/>
              </w:rPr>
              <w:t>Wyliczenie:</w:t>
            </w:r>
          </w:p>
          <w:p w14:paraId="5855D3E0" w14:textId="143C4BCE" w:rsidR="00BB0F80" w:rsidRPr="003A6407" w:rsidRDefault="00C0296F" w:rsidP="005428F7">
            <w:pPr>
              <w:shd w:val="clear" w:color="auto" w:fill="FFFFFF"/>
              <w:spacing w:before="60" w:after="60" w:line="240" w:lineRule="auto"/>
              <w:jc w:val="both"/>
              <w:rPr>
                <w:rFonts w:eastAsia="Calibri"/>
              </w:rPr>
            </w:pPr>
            <w:r w:rsidRPr="00C0296F">
              <w:rPr>
                <w:rFonts w:eastAsia="Calibri"/>
              </w:rPr>
              <w:t xml:space="preserve">433 175 838,00 </w:t>
            </w:r>
            <w:r w:rsidR="00BB0F80" w:rsidRPr="003A6407">
              <w:rPr>
                <w:rFonts w:eastAsia="Calibri"/>
              </w:rPr>
              <w:t xml:space="preserve">* (1-0,44) = </w:t>
            </w:r>
            <w:r w:rsidRPr="00C0296F">
              <w:rPr>
                <w:rFonts w:eastAsia="Calibri"/>
              </w:rPr>
              <w:t xml:space="preserve"> 242 578 469,00 </w:t>
            </w:r>
            <w:r w:rsidR="00BB0F80" w:rsidRPr="003A6407">
              <w:rPr>
                <w:rFonts w:eastAsia="Calibri"/>
              </w:rPr>
              <w:t xml:space="preserve">PLN </w:t>
            </w:r>
          </w:p>
          <w:p w14:paraId="6FAE2C5D" w14:textId="77777777" w:rsidR="00BB0F80" w:rsidRPr="003A6407" w:rsidRDefault="00BB0F80" w:rsidP="005428F7">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07E8CC85" w14:textId="77777777" w:rsidR="00BB0F80" w:rsidRPr="003A6407" w:rsidRDefault="00BB0F80" w:rsidP="00F20BCD">
            <w:pPr>
              <w:numPr>
                <w:ilvl w:val="0"/>
                <w:numId w:val="17"/>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08FAD0FA" w14:textId="77777777" w:rsidR="00BB0F80" w:rsidRPr="003A6407" w:rsidRDefault="00BB0F80" w:rsidP="00F20BCD">
            <w:pPr>
              <w:numPr>
                <w:ilvl w:val="0"/>
                <w:numId w:val="17"/>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Zawieszenie płatności przez KE dla danej osi priorytetowej</w:t>
            </w:r>
            <w:r w:rsidRPr="003A6407">
              <w:rPr>
                <w:rFonts w:eastAsia="Calibri" w:cs="Times New Roman"/>
                <w:color w:val="000000"/>
              </w:rPr>
              <w:t>; (istotność: umiarkowana);</w:t>
            </w:r>
          </w:p>
          <w:p w14:paraId="192FC550" w14:textId="77777777" w:rsidR="00BB0F80" w:rsidRPr="003A6407" w:rsidRDefault="00BB0F80" w:rsidP="00F20BCD">
            <w:pPr>
              <w:numPr>
                <w:ilvl w:val="0"/>
                <w:numId w:val="17"/>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Ostateczne ustalenia dot. występowania i poziomu pomocy publicznej </w:t>
            </w:r>
            <w:r w:rsidRPr="003A6407">
              <w:rPr>
                <w:rFonts w:eastAsia="Calibri" w:cs="Times New Roman"/>
                <w:color w:val="000000"/>
              </w:rPr>
              <w:t>(istotność: umiarkowana);</w:t>
            </w:r>
          </w:p>
          <w:p w14:paraId="58B15445" w14:textId="69446716" w:rsidR="00BB0F80" w:rsidRPr="003A6407" w:rsidRDefault="00BB0F80" w:rsidP="00F20BCD">
            <w:pPr>
              <w:numPr>
                <w:ilvl w:val="0"/>
                <w:numId w:val="17"/>
              </w:numPr>
              <w:shd w:val="clear" w:color="auto" w:fill="FFFFFF"/>
              <w:spacing w:before="60" w:after="60" w:line="240" w:lineRule="auto"/>
              <w:contextualSpacing/>
              <w:jc w:val="both"/>
              <w:rPr>
                <w:rFonts w:eastAsia="Calibri" w:cs="Times New Roman"/>
                <w:b/>
                <w:color w:val="000000"/>
              </w:rPr>
            </w:pPr>
            <w:r w:rsidRPr="003A6407">
              <w:rPr>
                <w:rFonts w:eastAsia="Calibri" w:cs="Times New Roman"/>
                <w:b/>
                <w:color w:val="000000"/>
              </w:rPr>
              <w:t xml:space="preserve">Opóźnienia, </w:t>
            </w:r>
            <w:r w:rsidRPr="003A6407">
              <w:rPr>
                <w:rFonts w:eastAsia="Calibri" w:cs="Times New Roman"/>
                <w:bCs/>
                <w:color w:val="000000"/>
              </w:rPr>
              <w:t xml:space="preserve">bądź niewykonanie projektu związane z trybem konkurencyjnym i brakiem / ograniczonym dostępem do materiałów/surowców/półproduktów, </w:t>
            </w:r>
            <w:proofErr w:type="spellStart"/>
            <w:r w:rsidRPr="003A6407">
              <w:rPr>
                <w:rFonts w:eastAsia="Calibri" w:cs="Times New Roman"/>
                <w:bCs/>
                <w:color w:val="000000"/>
              </w:rPr>
              <w:t>ect</w:t>
            </w:r>
            <w:proofErr w:type="spellEnd"/>
            <w:r w:rsidRPr="003A6407">
              <w:rPr>
                <w:rFonts w:eastAsia="Calibri" w:cs="Times New Roman"/>
                <w:bCs/>
                <w:color w:val="000000"/>
              </w:rPr>
              <w:t>.</w:t>
            </w:r>
            <w:r w:rsidRPr="003A6407">
              <w:rPr>
                <w:rFonts w:eastAsia="Calibri" w:cs="Times New Roman"/>
                <w:b/>
                <w:color w:val="000000"/>
              </w:rPr>
              <w:t xml:space="preserve"> </w:t>
            </w:r>
            <w:r w:rsidRPr="003A6407">
              <w:rPr>
                <w:rFonts w:eastAsia="Calibri" w:cs="Times New Roman"/>
                <w:bCs/>
                <w:color w:val="000000"/>
              </w:rPr>
              <w:t>(istotność: poważna);</w:t>
            </w:r>
          </w:p>
          <w:p w14:paraId="25FABC7A" w14:textId="00339961" w:rsidR="00BB0F80" w:rsidRPr="003A6407" w:rsidRDefault="00BB0F80" w:rsidP="00F20BCD">
            <w:pPr>
              <w:numPr>
                <w:ilvl w:val="0"/>
                <w:numId w:val="17"/>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Wpływ pandemii Co</w:t>
            </w:r>
            <w:r w:rsidR="00F47C66" w:rsidRPr="003A6407">
              <w:rPr>
                <w:rFonts w:eastAsia="Calibri" w:cs="Times New Roman"/>
                <w:b/>
                <w:color w:val="000000"/>
              </w:rPr>
              <w:t>v</w:t>
            </w:r>
            <w:r w:rsidRPr="003A6407">
              <w:rPr>
                <w:rFonts w:eastAsia="Calibri" w:cs="Times New Roman"/>
                <w:b/>
                <w:color w:val="000000"/>
              </w:rPr>
              <w:t xml:space="preserve">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w B+R, zdolność administracyjną i kadrową (istotność: umiarkowana);</w:t>
            </w:r>
          </w:p>
          <w:p w14:paraId="1F1D4CE5" w14:textId="77777777" w:rsidR="00BB0F80" w:rsidRPr="003A6407" w:rsidRDefault="00BB0F80" w:rsidP="00F20BCD">
            <w:pPr>
              <w:numPr>
                <w:ilvl w:val="0"/>
                <w:numId w:val="17"/>
              </w:numPr>
              <w:shd w:val="clear" w:color="auto" w:fill="FFFFFF"/>
              <w:spacing w:before="60" w:after="0" w:line="240" w:lineRule="auto"/>
              <w:contextualSpacing/>
              <w:jc w:val="both"/>
              <w:rPr>
                <w:rFonts w:eastAsia="Calibri" w:cs="Times New Roman"/>
                <w:color w:val="000000"/>
              </w:rPr>
            </w:pPr>
            <w:r w:rsidRPr="003A6407">
              <w:rPr>
                <w:rFonts w:eastAsia="Calibri" w:cs="Times New Roman"/>
                <w:b/>
                <w:color w:val="000000"/>
              </w:rPr>
              <w:t>Ryzyko wzrostu cen</w:t>
            </w:r>
            <w:r w:rsidRPr="003A6407">
              <w:rPr>
                <w:rFonts w:eastAsia="Calibri" w:cs="Times New Roman"/>
                <w:bCs/>
                <w:color w:val="000000"/>
              </w:rPr>
              <w:t xml:space="preserve"> związane ze wzrostem cen w gospodarce związane głównie ze wzrostem cen energii, gazu, usług, </w:t>
            </w:r>
            <w:proofErr w:type="spellStart"/>
            <w:r w:rsidRPr="003A6407">
              <w:rPr>
                <w:rFonts w:eastAsia="Calibri" w:cs="Times New Roman"/>
                <w:bCs/>
                <w:color w:val="000000"/>
              </w:rPr>
              <w:t>ect</w:t>
            </w:r>
            <w:proofErr w:type="spellEnd"/>
            <w:r w:rsidRPr="003A6407">
              <w:rPr>
                <w:rFonts w:eastAsia="Calibri" w:cs="Times New Roman"/>
                <w:bCs/>
                <w:color w:val="000000"/>
              </w:rPr>
              <w:t xml:space="preserve">, oraz poziomem inflacji (istotność: poważna); </w:t>
            </w:r>
          </w:p>
          <w:p w14:paraId="421BA5FD" w14:textId="77777777" w:rsidR="00BB0F80" w:rsidRPr="003A6407" w:rsidRDefault="00BB0F80" w:rsidP="00F20BCD">
            <w:pPr>
              <w:numPr>
                <w:ilvl w:val="0"/>
                <w:numId w:val="17"/>
              </w:numPr>
              <w:shd w:val="clear" w:color="auto" w:fill="FFFFFF"/>
              <w:spacing w:before="60" w:after="0" w:line="240" w:lineRule="auto"/>
              <w:contextualSpacing/>
              <w:jc w:val="both"/>
              <w:rPr>
                <w:rFonts w:eastAsia="Calibri" w:cs="Times New Roman"/>
                <w:color w:val="000000"/>
              </w:rPr>
            </w:pPr>
            <w:r w:rsidRPr="003A6407">
              <w:rPr>
                <w:rFonts w:eastAsia="Calibri" w:cs="Times New Roman"/>
                <w:b/>
                <w:bCs/>
                <w:color w:val="000000"/>
              </w:rPr>
              <w:t>Brak zainteresowania oferowanym wsparciem</w:t>
            </w:r>
            <w:r w:rsidRPr="003A6407">
              <w:rPr>
                <w:rFonts w:eastAsia="Calibri" w:cs="Times New Roman"/>
                <w:color w:val="000000"/>
              </w:rPr>
              <w:t xml:space="preserve"> ze strony przedsiębiorstw - (istotność: poważna);</w:t>
            </w:r>
          </w:p>
          <w:p w14:paraId="39BBA89D" w14:textId="77777777" w:rsidR="00BB0F80" w:rsidRPr="003A6407" w:rsidRDefault="00BB0F80" w:rsidP="00F20BCD">
            <w:pPr>
              <w:numPr>
                <w:ilvl w:val="0"/>
                <w:numId w:val="17"/>
              </w:numPr>
              <w:spacing w:after="0" w:line="240" w:lineRule="auto"/>
              <w:contextualSpacing/>
              <w:jc w:val="both"/>
              <w:rPr>
                <w:rFonts w:eastAsia="Calibri" w:cs="Times New Roman"/>
                <w:color w:val="000000"/>
              </w:rPr>
            </w:pPr>
            <w:r w:rsidRPr="003A6407">
              <w:rPr>
                <w:rFonts w:eastAsia="Calibri" w:cs="Times New Roman"/>
                <w:b/>
                <w:bCs/>
                <w:color w:val="000000"/>
              </w:rPr>
              <w:t>Problemy z zabezpieczeniem wkładu własnego</w:t>
            </w:r>
            <w:r w:rsidRPr="003A6407">
              <w:rPr>
                <w:rFonts w:eastAsia="Calibri" w:cs="Times New Roman"/>
                <w:color w:val="000000"/>
              </w:rPr>
              <w:t xml:space="preserve"> wnioskodawcy (istotność: poważna);</w:t>
            </w:r>
          </w:p>
          <w:p w14:paraId="0449AC0F" w14:textId="1F2C5DBA" w:rsidR="007A24C5" w:rsidRPr="003A6407" w:rsidRDefault="00BB0F80" w:rsidP="00270B09">
            <w:pPr>
              <w:numPr>
                <w:ilvl w:val="0"/>
                <w:numId w:val="17"/>
              </w:numPr>
              <w:spacing w:after="0" w:line="240" w:lineRule="auto"/>
              <w:contextualSpacing/>
              <w:jc w:val="both"/>
              <w:rPr>
                <w:rFonts w:eastAsia="Calibri" w:cs="Times New Roman"/>
                <w:color w:val="000000"/>
                <w:sz w:val="22"/>
                <w:szCs w:val="22"/>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11583557" w14:textId="77777777" w:rsidR="00BB0F80" w:rsidRPr="003A6407" w:rsidRDefault="00BB0F80" w:rsidP="00716556">
            <w:pPr>
              <w:spacing w:after="0" w:line="240" w:lineRule="auto"/>
              <w:contextualSpacing/>
              <w:jc w:val="both"/>
              <w:rPr>
                <w:rFonts w:eastAsia="Calibri" w:cs="Times New Roman"/>
                <w:noProof/>
                <w:sz w:val="16"/>
                <w:szCs w:val="16"/>
              </w:rPr>
            </w:pPr>
          </w:p>
        </w:tc>
      </w:tr>
    </w:tbl>
    <w:p w14:paraId="0E86B58B" w14:textId="77777777" w:rsidR="00BB0F80" w:rsidRPr="003A6407" w:rsidRDefault="00BB0F80" w:rsidP="00FD5A66">
      <w:pPr>
        <w:rPr>
          <w:rFonts w:eastAsia="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92"/>
        <w:gridCol w:w="991"/>
        <w:gridCol w:w="567"/>
        <w:gridCol w:w="1559"/>
        <w:gridCol w:w="567"/>
        <w:gridCol w:w="1135"/>
        <w:gridCol w:w="567"/>
        <w:gridCol w:w="852"/>
        <w:gridCol w:w="761"/>
        <w:gridCol w:w="649"/>
      </w:tblGrid>
      <w:tr w:rsidR="00191FE2" w:rsidRPr="003A6407" w14:paraId="717E55F3" w14:textId="77777777" w:rsidTr="00716556">
        <w:trPr>
          <w:cantSplit/>
          <w:trHeight w:val="1768"/>
        </w:trPr>
        <w:tc>
          <w:tcPr>
            <w:tcW w:w="343" w:type="pct"/>
            <w:vAlign w:val="center"/>
          </w:tcPr>
          <w:p w14:paraId="60EF5DCD"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1</w:t>
            </w:r>
          </w:p>
          <w:p w14:paraId="59EE7400" w14:textId="6F446453"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437" w:type="pct"/>
            <w:vAlign w:val="center"/>
          </w:tcPr>
          <w:p w14:paraId="2BE50329"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47" w:type="pct"/>
            <w:vAlign w:val="center"/>
          </w:tcPr>
          <w:p w14:paraId="0BB70999"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313" w:type="pct"/>
            <w:textDirection w:val="btLr"/>
            <w:vAlign w:val="center"/>
          </w:tcPr>
          <w:p w14:paraId="07F7F3EC"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60" w:type="pct"/>
            <w:shd w:val="clear" w:color="auto" w:fill="auto"/>
            <w:vAlign w:val="center"/>
          </w:tcPr>
          <w:p w14:paraId="4E556732"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313" w:type="pct"/>
            <w:textDirection w:val="btLr"/>
            <w:vAlign w:val="center"/>
          </w:tcPr>
          <w:p w14:paraId="3D64C76D"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626" w:type="pct"/>
            <w:textDirection w:val="btLr"/>
            <w:vAlign w:val="center"/>
          </w:tcPr>
          <w:p w14:paraId="5E436767"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3" w:type="pct"/>
            <w:textDirection w:val="btLr"/>
            <w:vAlign w:val="center"/>
          </w:tcPr>
          <w:p w14:paraId="5AE2CD35" w14:textId="77777777" w:rsidR="00BB0F80" w:rsidRPr="003A6407" w:rsidRDefault="00BB0F80" w:rsidP="00716556">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470" w:type="pct"/>
            <w:shd w:val="clear" w:color="auto" w:fill="auto"/>
            <w:vAlign w:val="center"/>
          </w:tcPr>
          <w:p w14:paraId="49E74E95" w14:textId="77777777" w:rsidR="00BB0F80" w:rsidRPr="003A6407" w:rsidRDefault="00BB0F80" w:rsidP="00716556">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49BE8C49" w14:textId="77777777" w:rsidR="00BB0F80" w:rsidRPr="003A6407" w:rsidRDefault="00BB0F80" w:rsidP="00716556">
            <w:pPr>
              <w:spacing w:before="120" w:after="120" w:line="240" w:lineRule="auto"/>
              <w:jc w:val="center"/>
              <w:rPr>
                <w:rFonts w:eastAsia="Calibri" w:cs="Times New Roman"/>
                <w:b/>
                <w:noProof/>
                <w:sz w:val="16"/>
                <w:szCs w:val="16"/>
                <w:lang w:eastAsia="pl-PL"/>
              </w:rPr>
            </w:pPr>
          </w:p>
        </w:tc>
        <w:tc>
          <w:tcPr>
            <w:tcW w:w="420" w:type="pct"/>
            <w:shd w:val="clear" w:color="auto" w:fill="auto"/>
            <w:vAlign w:val="center"/>
          </w:tcPr>
          <w:p w14:paraId="2E18A469" w14:textId="77777777" w:rsidR="00BB0F80" w:rsidRPr="003A6407" w:rsidRDefault="00BB0F80" w:rsidP="00716556">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58" w:type="pct"/>
            <w:vAlign w:val="center"/>
          </w:tcPr>
          <w:p w14:paraId="02682C76" w14:textId="77777777" w:rsidR="00BB0F80" w:rsidRPr="003A6407" w:rsidRDefault="00BB0F80" w:rsidP="00716556">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7174BE94" w14:textId="77777777" w:rsidTr="00716556">
        <w:trPr>
          <w:trHeight w:val="434"/>
        </w:trPr>
        <w:tc>
          <w:tcPr>
            <w:tcW w:w="343" w:type="pct"/>
            <w:vAlign w:val="center"/>
          </w:tcPr>
          <w:p w14:paraId="45A4776A" w14:textId="77777777" w:rsidR="00BB0F80" w:rsidRDefault="00BB0F80" w:rsidP="00716556">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1 (i)</w:t>
            </w:r>
          </w:p>
          <w:p w14:paraId="16B43621" w14:textId="0FDE082F" w:rsidR="00572DDA" w:rsidRPr="003A6407" w:rsidRDefault="00572DDA" w:rsidP="00716556">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1.1</w:t>
            </w:r>
          </w:p>
        </w:tc>
        <w:tc>
          <w:tcPr>
            <w:tcW w:w="437" w:type="pct"/>
            <w:vAlign w:val="center"/>
          </w:tcPr>
          <w:p w14:paraId="1A8D5B4B" w14:textId="77777777" w:rsidR="00BB0F80" w:rsidRPr="003A6407" w:rsidRDefault="00BB0F80" w:rsidP="00716556">
            <w:pPr>
              <w:jc w:val="center"/>
              <w:rPr>
                <w:rFonts w:eastAsia="Calibri" w:cs="Times New Roman"/>
                <w:sz w:val="16"/>
                <w:szCs w:val="16"/>
              </w:rPr>
            </w:pPr>
            <w:r w:rsidRPr="003A6407">
              <w:rPr>
                <w:rFonts w:eastAsia="Calibri" w:cs="Times New Roman"/>
                <w:noProof/>
                <w:sz w:val="16"/>
                <w:szCs w:val="16"/>
              </w:rPr>
              <w:t>EFRR</w:t>
            </w:r>
          </w:p>
        </w:tc>
        <w:tc>
          <w:tcPr>
            <w:tcW w:w="547" w:type="pct"/>
            <w:vAlign w:val="center"/>
          </w:tcPr>
          <w:p w14:paraId="3BF414C7" w14:textId="77777777" w:rsidR="00BB0F80" w:rsidRPr="003A6407" w:rsidRDefault="00BB0F80" w:rsidP="00716556">
            <w:pPr>
              <w:jc w:val="center"/>
              <w:rPr>
                <w:rFonts w:eastAsia="Calibri" w:cs="Times New Roman"/>
                <w:sz w:val="16"/>
                <w:szCs w:val="16"/>
              </w:rPr>
            </w:pPr>
            <w:r w:rsidRPr="003A6407">
              <w:rPr>
                <w:rFonts w:eastAsia="Calibri" w:cs="Times New Roman"/>
                <w:noProof/>
                <w:sz w:val="16"/>
                <w:szCs w:val="16"/>
              </w:rPr>
              <w:t>Przejściowy</w:t>
            </w:r>
          </w:p>
        </w:tc>
        <w:tc>
          <w:tcPr>
            <w:tcW w:w="313" w:type="pct"/>
            <w:vAlign w:val="center"/>
          </w:tcPr>
          <w:p w14:paraId="1DCDE98A" w14:textId="6834D641" w:rsidR="00BB0F80" w:rsidRPr="003A6407" w:rsidRDefault="00BB0F80" w:rsidP="00716556">
            <w:pPr>
              <w:spacing w:before="120" w:after="120" w:line="240" w:lineRule="auto"/>
              <w:jc w:val="center"/>
              <w:rPr>
                <w:rFonts w:eastAsia="Calibri" w:cs="Times New Roman"/>
                <w:noProof/>
                <w:sz w:val="16"/>
                <w:szCs w:val="16"/>
              </w:rPr>
            </w:pPr>
            <w:r w:rsidRPr="003A6407">
              <w:rPr>
                <w:rFonts w:eastAsia="Calibri" w:cs="Times New Roman"/>
                <w:noProof/>
                <w:sz w:val="16"/>
                <w:szCs w:val="16"/>
              </w:rPr>
              <w:t>RCR98</w:t>
            </w:r>
          </w:p>
        </w:tc>
        <w:tc>
          <w:tcPr>
            <w:tcW w:w="860" w:type="pct"/>
            <w:shd w:val="clear" w:color="auto" w:fill="auto"/>
            <w:vAlign w:val="center"/>
          </w:tcPr>
          <w:p w14:paraId="7F852567" w14:textId="77777777" w:rsidR="00BB0F80" w:rsidRPr="003A6407" w:rsidRDefault="00BB0F80" w:rsidP="00716556">
            <w:pPr>
              <w:keepNext/>
              <w:keepLines/>
              <w:spacing w:before="200" w:after="0"/>
              <w:jc w:val="center"/>
              <w:outlineLvl w:val="2"/>
              <w:rPr>
                <w:rFonts w:asciiTheme="minorHAnsi" w:eastAsia="Times New Roman" w:hAnsiTheme="minorHAnsi" w:cstheme="minorHAnsi"/>
                <w:bCs/>
                <w:noProof/>
                <w:sz w:val="16"/>
                <w:szCs w:val="16"/>
              </w:rPr>
            </w:pPr>
            <w:bookmarkStart w:id="67" w:name="_Toc114662358"/>
            <w:bookmarkStart w:id="68" w:name="_Toc120464363"/>
            <w:r w:rsidRPr="003A6407">
              <w:rPr>
                <w:rFonts w:asciiTheme="minorHAnsi" w:eastAsia="Times New Roman" w:hAnsiTheme="minorHAnsi" w:cstheme="minorHAnsi"/>
                <w:bCs/>
                <w:noProof/>
                <w:sz w:val="16"/>
                <w:szCs w:val="16"/>
              </w:rPr>
              <w:t>Pracownicy MŚP kończący szkolenia w zakresie rozwoju umiejętności w zakresie inteligentnej specjalizacji, transformacji przemysłowej i przedsiębiorczości (według rodzaju umiejętności: techniczne, zarzadzanie, przedsiębiorczość́, ekologiczne, inne)</w:t>
            </w:r>
            <w:bookmarkEnd w:id="67"/>
            <w:bookmarkEnd w:id="68"/>
          </w:p>
        </w:tc>
        <w:tc>
          <w:tcPr>
            <w:tcW w:w="313" w:type="pct"/>
            <w:vAlign w:val="center"/>
          </w:tcPr>
          <w:p w14:paraId="31F8CB31" w14:textId="4E0C7333" w:rsidR="00BB0F80" w:rsidRPr="003A6407" w:rsidRDefault="00C0296F" w:rsidP="00716556">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uczestnicy</w:t>
            </w:r>
          </w:p>
        </w:tc>
        <w:tc>
          <w:tcPr>
            <w:tcW w:w="626" w:type="pct"/>
            <w:vAlign w:val="center"/>
          </w:tcPr>
          <w:p w14:paraId="3097EA7F" w14:textId="0057385E" w:rsidR="00BB0F80" w:rsidRPr="003A6407" w:rsidRDefault="00890103" w:rsidP="00716556">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3" w:type="pct"/>
            <w:vAlign w:val="center"/>
          </w:tcPr>
          <w:p w14:paraId="4F0BDFDB" w14:textId="6CB6E7EC" w:rsidR="00BB0F80" w:rsidRPr="003A6407" w:rsidRDefault="00890103" w:rsidP="00716556">
            <w:pPr>
              <w:spacing w:before="120" w:after="120" w:line="240" w:lineRule="auto"/>
              <w:jc w:val="center"/>
              <w:rPr>
                <w:rFonts w:eastAsia="Calibri" w:cs="Times New Roman"/>
                <w:bCs/>
                <w:noProof/>
                <w:sz w:val="16"/>
                <w:szCs w:val="16"/>
                <w:lang w:eastAsia="pl-PL"/>
              </w:rPr>
            </w:pPr>
            <w:r w:rsidRPr="003A6407">
              <w:rPr>
                <w:rFonts w:eastAsia="Calibri" w:cs="Times New Roman"/>
                <w:bCs/>
                <w:noProof/>
                <w:sz w:val="16"/>
                <w:szCs w:val="16"/>
                <w:lang w:eastAsia="pl-PL"/>
              </w:rPr>
              <w:t>2022</w:t>
            </w:r>
          </w:p>
        </w:tc>
        <w:tc>
          <w:tcPr>
            <w:tcW w:w="470" w:type="pct"/>
            <w:shd w:val="clear" w:color="auto" w:fill="auto"/>
            <w:vAlign w:val="center"/>
          </w:tcPr>
          <w:p w14:paraId="1597A69C" w14:textId="123029D2" w:rsidR="00BB0F80" w:rsidRPr="003A6407" w:rsidRDefault="00BB0F80" w:rsidP="00716556">
            <w:pPr>
              <w:spacing w:before="120" w:after="120" w:line="240" w:lineRule="auto"/>
              <w:jc w:val="center"/>
              <w:rPr>
                <w:rFonts w:eastAsia="Calibri" w:cs="Times New Roman"/>
                <w:bCs/>
                <w:noProof/>
                <w:sz w:val="16"/>
                <w:szCs w:val="16"/>
                <w:lang w:eastAsia="pl-PL"/>
              </w:rPr>
            </w:pPr>
            <w:r w:rsidRPr="003A6407">
              <w:rPr>
                <w:rFonts w:eastAsia="Calibri" w:cs="Times New Roman"/>
                <w:bCs/>
                <w:noProof/>
                <w:sz w:val="16"/>
                <w:szCs w:val="16"/>
                <w:lang w:eastAsia="pl-PL"/>
              </w:rPr>
              <w:t>109</w:t>
            </w:r>
            <w:r w:rsidR="00716556" w:rsidRPr="003A6407">
              <w:rPr>
                <w:rFonts w:eastAsia="Calibri" w:cs="Times New Roman"/>
                <w:bCs/>
                <w:noProof/>
                <w:sz w:val="16"/>
                <w:szCs w:val="16"/>
                <w:lang w:eastAsia="pl-PL"/>
              </w:rPr>
              <w:t>,00</w:t>
            </w:r>
          </w:p>
        </w:tc>
        <w:tc>
          <w:tcPr>
            <w:tcW w:w="420" w:type="pct"/>
            <w:shd w:val="clear" w:color="auto" w:fill="auto"/>
            <w:vAlign w:val="center"/>
          </w:tcPr>
          <w:p w14:paraId="75DF5E2C" w14:textId="0239D8D5" w:rsidR="00BB0F80" w:rsidRPr="003A6407" w:rsidRDefault="00890103" w:rsidP="00716556">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58" w:type="pct"/>
            <w:vAlign w:val="center"/>
          </w:tcPr>
          <w:p w14:paraId="152CC455" w14:textId="77777777" w:rsidR="00BB0F80" w:rsidRPr="003A6407" w:rsidRDefault="00BB0F80" w:rsidP="00716556">
            <w:pPr>
              <w:jc w:val="center"/>
              <w:rPr>
                <w:rFonts w:eastAsia="Calibri" w:cs="Times New Roman"/>
                <w:noProof/>
                <w:sz w:val="16"/>
                <w:szCs w:val="16"/>
              </w:rPr>
            </w:pPr>
          </w:p>
        </w:tc>
      </w:tr>
      <w:tr w:rsidR="00BB0F80" w:rsidRPr="003A6407" w14:paraId="23815305" w14:textId="77777777" w:rsidTr="00270B09">
        <w:trPr>
          <w:trHeight w:val="434"/>
        </w:trPr>
        <w:tc>
          <w:tcPr>
            <w:tcW w:w="5000" w:type="pct"/>
            <w:gridSpan w:val="11"/>
          </w:tcPr>
          <w:p w14:paraId="26C01B78"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Metodologia:</w:t>
            </w:r>
          </w:p>
          <w:p w14:paraId="32EA8D0E"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Wskaźnik realizuje kod interwencji:</w:t>
            </w:r>
          </w:p>
          <w:p w14:paraId="6B323058" w14:textId="77777777" w:rsidR="00BB0F80" w:rsidRPr="003A6407" w:rsidRDefault="00BB0F80" w:rsidP="00270B09">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23 Rozwój umiejętności na rzecz inteligentnej specjalizacji, transformacji przemysłowej, przedsiębiorczości zdolności przedsiębiorstw dostosowania się do zmian (3 510 943 EUR);</w:t>
            </w:r>
          </w:p>
          <w:p w14:paraId="7F758D23"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Na potrzeby wyliczenia wartości alokacji z ww. kodu interwencji, przyjęto, że wskaźnik realizuje 30% łącznej sumy alokacji kodu 23 (3 510 943 EUR), tj. 1 053 282,90 EUR </w:t>
            </w:r>
          </w:p>
          <w:p w14:paraId="5BB46A94"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Biorąc pod uwagę kurs EUR na poziomie 4,45 suma alokacji na realizację wskaźnika wynosi 4 687 108,91 PLN.</w:t>
            </w:r>
          </w:p>
          <w:p w14:paraId="33699B24"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Koszt jednostkowy został obliczony na bazie doświadczeń z perspektywy 2014-2020 (suma wydatków na cross </w:t>
            </w:r>
            <w:proofErr w:type="spellStart"/>
            <w:r w:rsidRPr="003A6407">
              <w:rPr>
                <w:rFonts w:eastAsia="Calibri"/>
              </w:rPr>
              <w:t>financing</w:t>
            </w:r>
            <w:proofErr w:type="spellEnd"/>
            <w:r w:rsidRPr="003A6407">
              <w:rPr>
                <w:rFonts w:eastAsia="Calibri"/>
              </w:rPr>
              <w:t>* w ramach umów podpisanych umów z działania 1.2 została podzielona przez ilość umów, tj. 725 729,51PLN/23 umowy), wynosi 31 553,46 PLN.</w:t>
            </w:r>
            <w:r w:rsidRPr="003A6407">
              <w:t xml:space="preserve"> </w:t>
            </w:r>
            <w:r w:rsidRPr="003A6407">
              <w:rPr>
                <w:rFonts w:eastAsia="Calibri"/>
              </w:rPr>
              <w:t xml:space="preserve">Koszt jednostkowy został skorygowany w oparciu o wartość inflacji na poziomie 15% i wynosi 36 286,48 PLN , a obniżony do wartości dofinansowania na poziomie 70% wynosi 25 400,53 PLN, tj. 5 707,98 EUR. Na podstawie tych danych wyliczono wartość wskaźnika. </w:t>
            </w:r>
          </w:p>
          <w:p w14:paraId="757172B7" w14:textId="77777777" w:rsidR="00BB0F80" w:rsidRPr="003A6407" w:rsidRDefault="00BB0F80" w:rsidP="00270B09">
            <w:pPr>
              <w:shd w:val="clear" w:color="auto" w:fill="FFFFFF"/>
              <w:spacing w:before="60" w:after="60" w:line="240" w:lineRule="auto"/>
              <w:jc w:val="both"/>
              <w:rPr>
                <w:rFonts w:eastAsia="Calibri"/>
                <w:sz w:val="18"/>
                <w:szCs w:val="18"/>
              </w:rPr>
            </w:pPr>
            <w:r w:rsidRPr="003A6407">
              <w:rPr>
                <w:rFonts w:eastAsia="Calibri"/>
                <w:sz w:val="18"/>
                <w:szCs w:val="18"/>
              </w:rPr>
              <w:t xml:space="preserve">*zgodnie z SZOOP RPO WD 2014-2020 – wydatki na działania związane z rozwojem umiejętności kadr przedsiębiorstwa z zakresu wykorzystania nowej infrastruktury/aparatury badawczej były realizowane w ramach cross </w:t>
            </w:r>
            <w:proofErr w:type="spellStart"/>
            <w:r w:rsidRPr="003A6407">
              <w:rPr>
                <w:rFonts w:eastAsia="Calibri"/>
                <w:sz w:val="18"/>
                <w:szCs w:val="18"/>
              </w:rPr>
              <w:t>financingu</w:t>
            </w:r>
            <w:proofErr w:type="spellEnd"/>
            <w:r w:rsidRPr="003A6407">
              <w:rPr>
                <w:rFonts w:eastAsia="Calibri"/>
                <w:sz w:val="18"/>
                <w:szCs w:val="18"/>
              </w:rPr>
              <w:t>.</w:t>
            </w:r>
          </w:p>
          <w:p w14:paraId="1C4AD0FE"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7D405325" w14:textId="77777777" w:rsidR="00BB0F80" w:rsidRPr="003A6407" w:rsidRDefault="00BB0F80" w:rsidP="00270B09">
            <w:pPr>
              <w:spacing w:before="60" w:after="60" w:line="240" w:lineRule="auto"/>
              <w:jc w:val="both"/>
              <w:rPr>
                <w:rFonts w:eastAsia="Calibri"/>
              </w:rPr>
            </w:pPr>
            <w:r w:rsidRPr="003A6407">
              <w:rPr>
                <w:rFonts w:eastAsia="Calibri"/>
              </w:rPr>
              <w:t xml:space="preserve">R [(5*25)+(3*68)]/8= 41,1%. Wartość zaokrąglono do pełnej wartości 41%. </w:t>
            </w:r>
          </w:p>
          <w:p w14:paraId="27C2BF75" w14:textId="77777777" w:rsidR="00BB0F80" w:rsidRPr="003A6407" w:rsidRDefault="00BB0F80" w:rsidP="00270B09">
            <w:pPr>
              <w:shd w:val="clear" w:color="auto" w:fill="FFFFFF"/>
              <w:spacing w:before="60" w:after="60" w:line="240" w:lineRule="auto"/>
              <w:jc w:val="both"/>
              <w:rPr>
                <w:rFonts w:eastAsia="Calibri"/>
              </w:rPr>
            </w:pPr>
          </w:p>
          <w:p w14:paraId="7537BFA5"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Wyliczenie:</w:t>
            </w:r>
          </w:p>
          <w:p w14:paraId="76C01C77"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1 053 282,90 / 5 707,98 * (1-0,41) = 109 osób</w:t>
            </w:r>
          </w:p>
          <w:p w14:paraId="4311076D"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color w:val="000000"/>
              </w:rPr>
              <w:t>Czynniki ryzyka, które mogą mieć wpływ na poziom osiągnięcia założonej wartości docelowej:</w:t>
            </w:r>
          </w:p>
          <w:p w14:paraId="7F56C6B9"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3F129726"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lastRenderedPageBreak/>
              <w:t>Zawieszenie płatności przez KE dla danej osi priorytetowej</w:t>
            </w:r>
            <w:r w:rsidRPr="003A6407">
              <w:rPr>
                <w:rFonts w:eastAsia="Calibri" w:cs="Times New Roman"/>
                <w:color w:val="000000"/>
              </w:rPr>
              <w:t>; (istotność: umiarkowana);</w:t>
            </w:r>
          </w:p>
          <w:p w14:paraId="473D7508"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Ostateczne ustalenia dot. występowania i poziomu pomocy publicznej</w:t>
            </w:r>
            <w:r w:rsidRPr="003A6407">
              <w:rPr>
                <w:rFonts w:eastAsia="Calibri" w:cs="Times New Roman"/>
                <w:color w:val="000000"/>
              </w:rPr>
              <w:t>; (istotność: umiarkowana);</w:t>
            </w:r>
          </w:p>
          <w:p w14:paraId="1BBF80C9"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Opóźnienia, bądź niewykonanie projektu związane z trybem konkurencyjnym;</w:t>
            </w:r>
            <w:r w:rsidRPr="003A6407">
              <w:rPr>
                <w:rFonts w:eastAsia="Calibri" w:cs="Times New Roman"/>
                <w:color w:val="000000"/>
              </w:rPr>
              <w:t xml:space="preserve"> (istotność: poważna);</w:t>
            </w:r>
          </w:p>
          <w:p w14:paraId="1CBC606F" w14:textId="77777777" w:rsidR="00BB0F80" w:rsidRPr="003A6407" w:rsidRDefault="00BB0F80" w:rsidP="00270B09">
            <w:pPr>
              <w:numPr>
                <w:ilvl w:val="0"/>
                <w:numId w:val="23"/>
              </w:numPr>
              <w:shd w:val="clear" w:color="auto" w:fill="FFFFFF"/>
              <w:spacing w:before="60" w:after="60" w:line="240" w:lineRule="auto"/>
              <w:jc w:val="both"/>
              <w:rPr>
                <w:rFonts w:eastAsia="Calibri"/>
                <w:color w:val="000000"/>
              </w:rPr>
            </w:pPr>
            <w:r w:rsidRPr="003A6407">
              <w:rPr>
                <w:rFonts w:eastAsia="Calibri"/>
                <w:b/>
                <w:color w:val="000000"/>
              </w:rPr>
              <w:t>Ryzyko wzrostu cen</w:t>
            </w:r>
            <w:r w:rsidRPr="003A6407">
              <w:rPr>
                <w:rFonts w:eastAsia="Calibri"/>
                <w:bCs/>
                <w:color w:val="000000"/>
              </w:rPr>
              <w:t xml:space="preserve"> związane ze wzrostem cen w gospodarce związane głównie ze wzrostem cen usług, </w:t>
            </w:r>
            <w:proofErr w:type="spellStart"/>
            <w:r w:rsidRPr="003A6407">
              <w:rPr>
                <w:rFonts w:eastAsia="Calibri"/>
                <w:bCs/>
                <w:color w:val="000000"/>
              </w:rPr>
              <w:t>ect</w:t>
            </w:r>
            <w:proofErr w:type="spellEnd"/>
            <w:r w:rsidRPr="003A6407">
              <w:rPr>
                <w:rFonts w:eastAsia="Calibri"/>
                <w:bCs/>
                <w:color w:val="000000"/>
              </w:rPr>
              <w:t>, oraz poziomem inflacji (istotność: poważna);</w:t>
            </w:r>
          </w:p>
          <w:p w14:paraId="01CC4BC2"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Problemy z zabezpieczeniem wkładu</w:t>
            </w:r>
            <w:r w:rsidRPr="003A6407">
              <w:rPr>
                <w:rFonts w:eastAsia="Calibri" w:cs="Times New Roman"/>
                <w:color w:val="000000"/>
              </w:rPr>
              <w:t xml:space="preserve"> własnego wnioskodawcy (istotność: poważna);</w:t>
            </w:r>
          </w:p>
          <w:p w14:paraId="15830541"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Brak na rynku firm szkoleniowych</w:t>
            </w:r>
            <w:r w:rsidRPr="003A6407">
              <w:rPr>
                <w:rFonts w:eastAsia="Calibri" w:cs="Times New Roman"/>
                <w:color w:val="000000"/>
              </w:rPr>
              <w:t>, prowadzących specjalistyczne szkolenia (istotność: umiarkowana);</w:t>
            </w:r>
          </w:p>
          <w:p w14:paraId="713587EA" w14:textId="77777777" w:rsidR="00BB0F80" w:rsidRPr="003A6407" w:rsidRDefault="00BB0F80" w:rsidP="00270B09">
            <w:pPr>
              <w:numPr>
                <w:ilvl w:val="0"/>
                <w:numId w:val="23"/>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5E6D55CC" w14:textId="1487A11B" w:rsidR="00623854" w:rsidRPr="003A6407" w:rsidRDefault="00623854" w:rsidP="00412D9C">
            <w:pPr>
              <w:shd w:val="clear" w:color="auto" w:fill="FFFFFF"/>
              <w:spacing w:before="60" w:after="60" w:line="240" w:lineRule="auto"/>
              <w:contextualSpacing/>
              <w:jc w:val="both"/>
              <w:rPr>
                <w:rFonts w:eastAsia="Calibri" w:cs="Times New Roman"/>
                <w:color w:val="000000"/>
              </w:rPr>
            </w:pPr>
          </w:p>
        </w:tc>
      </w:tr>
    </w:tbl>
    <w:p w14:paraId="335AAD7A" w14:textId="63C125EA" w:rsidR="00BB0F80" w:rsidRDefault="00BB0F80" w:rsidP="00FD5A66">
      <w:pPr>
        <w:rPr>
          <w:rFonts w:eastAsia="Calibri"/>
          <w:b/>
          <w:bCs/>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711"/>
        <w:gridCol w:w="1557"/>
        <w:gridCol w:w="850"/>
        <w:gridCol w:w="813"/>
        <w:gridCol w:w="554"/>
        <w:gridCol w:w="691"/>
        <w:gridCol w:w="691"/>
        <w:gridCol w:w="690"/>
      </w:tblGrid>
      <w:tr w:rsidR="00515880" w:rsidRPr="003A6407" w14:paraId="05D5C56C" w14:textId="77777777" w:rsidTr="00DF03DB">
        <w:trPr>
          <w:cantSplit/>
          <w:trHeight w:val="1768"/>
        </w:trPr>
        <w:tc>
          <w:tcPr>
            <w:tcW w:w="375" w:type="pct"/>
            <w:vAlign w:val="center"/>
          </w:tcPr>
          <w:p w14:paraId="27EC5561" w14:textId="77777777" w:rsidR="00515880" w:rsidRPr="003A6407" w:rsidRDefault="00515880" w:rsidP="00DF03DB">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1</w:t>
            </w:r>
          </w:p>
          <w:p w14:paraId="3094364B" w14:textId="77777777" w:rsidR="00515880" w:rsidRPr="003A6407" w:rsidRDefault="00515880" w:rsidP="00DF03DB">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345" w:type="pct"/>
            <w:vAlign w:val="center"/>
          </w:tcPr>
          <w:p w14:paraId="40F39CBC" w14:textId="77777777" w:rsidR="00515880" w:rsidRPr="003A6407" w:rsidRDefault="00515880" w:rsidP="00DF03DB">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5CD0A8B2" w14:textId="77777777" w:rsidR="00515880" w:rsidRPr="003A6407" w:rsidRDefault="00515880" w:rsidP="00DF03DB">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03" w:type="pct"/>
            <w:textDirection w:val="btLr"/>
            <w:vAlign w:val="center"/>
          </w:tcPr>
          <w:p w14:paraId="4BE48AAE" w14:textId="77777777" w:rsidR="00515880" w:rsidRPr="003A6407" w:rsidRDefault="00515880" w:rsidP="00DF03DB">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83" w:type="pct"/>
            <w:shd w:val="clear" w:color="auto" w:fill="auto"/>
            <w:vAlign w:val="center"/>
          </w:tcPr>
          <w:p w14:paraId="19A92322" w14:textId="77777777" w:rsidR="00515880" w:rsidRPr="003A6407" w:rsidRDefault="00515880" w:rsidP="00DF03DB">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08B594BD" w14:textId="77777777" w:rsidR="00515880" w:rsidRPr="003A6407" w:rsidRDefault="00515880" w:rsidP="00DF03DB">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61" w:type="pct"/>
            <w:textDirection w:val="btLr"/>
            <w:vAlign w:val="center"/>
          </w:tcPr>
          <w:p w14:paraId="3917D1C8" w14:textId="77777777" w:rsidR="00515880" w:rsidRPr="003A6407" w:rsidRDefault="00515880" w:rsidP="00DF03DB">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61D7A532" w14:textId="77777777" w:rsidR="00515880" w:rsidRPr="003A6407" w:rsidRDefault="00515880" w:rsidP="00DF03DB">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28E94A34" w14:textId="77777777" w:rsidR="00515880" w:rsidRPr="003A6407" w:rsidRDefault="00515880" w:rsidP="00DF03DB">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18D07AF8" w14:textId="77777777" w:rsidR="00515880" w:rsidRPr="003A6407" w:rsidRDefault="00515880" w:rsidP="00DF03DB">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110A39EA" w14:textId="77777777" w:rsidR="00515880" w:rsidRPr="003A6407" w:rsidRDefault="00515880" w:rsidP="00DF03DB">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505C73DD" w14:textId="77777777" w:rsidR="00515880" w:rsidRPr="003A6407" w:rsidRDefault="00515880" w:rsidP="00DF03DB">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515880" w:rsidRPr="003A6407" w14:paraId="4ABF8A06" w14:textId="77777777" w:rsidTr="00DF03DB">
        <w:trPr>
          <w:trHeight w:val="434"/>
        </w:trPr>
        <w:tc>
          <w:tcPr>
            <w:tcW w:w="375" w:type="pct"/>
            <w:vAlign w:val="center"/>
          </w:tcPr>
          <w:p w14:paraId="7503756E" w14:textId="6D98DF91" w:rsidR="00515880" w:rsidRDefault="00515880" w:rsidP="00DF03DB">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1 (i)</w:t>
            </w:r>
          </w:p>
          <w:p w14:paraId="20BCFBD1" w14:textId="0A63ED5A" w:rsidR="00515880" w:rsidRPr="003A6407" w:rsidRDefault="00515880" w:rsidP="00DF03DB">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1.1</w:t>
            </w:r>
          </w:p>
        </w:tc>
        <w:tc>
          <w:tcPr>
            <w:tcW w:w="345" w:type="pct"/>
            <w:vAlign w:val="center"/>
          </w:tcPr>
          <w:p w14:paraId="0D154856" w14:textId="77777777" w:rsidR="00515880" w:rsidRPr="003A6407" w:rsidRDefault="00515880" w:rsidP="00DF03DB">
            <w:pPr>
              <w:jc w:val="center"/>
              <w:rPr>
                <w:rFonts w:eastAsia="Calibri" w:cs="Times New Roman"/>
                <w:sz w:val="16"/>
                <w:szCs w:val="16"/>
              </w:rPr>
            </w:pPr>
            <w:r w:rsidRPr="003A6407">
              <w:rPr>
                <w:rFonts w:eastAsia="Calibri" w:cs="Times New Roman"/>
                <w:noProof/>
                <w:sz w:val="16"/>
                <w:szCs w:val="16"/>
              </w:rPr>
              <w:t>EFRR</w:t>
            </w:r>
          </w:p>
        </w:tc>
        <w:tc>
          <w:tcPr>
            <w:tcW w:w="562" w:type="pct"/>
            <w:vAlign w:val="center"/>
          </w:tcPr>
          <w:p w14:paraId="0484C2B1" w14:textId="77777777" w:rsidR="00515880" w:rsidRPr="003A6407" w:rsidRDefault="00515880" w:rsidP="00DF03DB">
            <w:pPr>
              <w:jc w:val="center"/>
              <w:rPr>
                <w:rFonts w:eastAsia="Calibri" w:cs="Times New Roman"/>
                <w:sz w:val="16"/>
                <w:szCs w:val="16"/>
              </w:rPr>
            </w:pPr>
            <w:r w:rsidRPr="003A6407">
              <w:rPr>
                <w:rFonts w:eastAsia="Calibri" w:cs="Times New Roman"/>
                <w:noProof/>
                <w:sz w:val="16"/>
                <w:szCs w:val="16"/>
              </w:rPr>
              <w:t>Przejściowy</w:t>
            </w:r>
          </w:p>
        </w:tc>
        <w:tc>
          <w:tcPr>
            <w:tcW w:w="403" w:type="pct"/>
            <w:vAlign w:val="center"/>
          </w:tcPr>
          <w:p w14:paraId="742DC3A9" w14:textId="21F9A99A" w:rsidR="00515880" w:rsidRPr="003A6407" w:rsidRDefault="00515880" w:rsidP="00DF03DB">
            <w:pPr>
              <w:spacing w:before="120" w:after="120" w:line="240" w:lineRule="auto"/>
              <w:jc w:val="center"/>
              <w:rPr>
                <w:rFonts w:eastAsia="Calibri" w:cs="Times New Roman"/>
                <w:noProof/>
                <w:sz w:val="16"/>
                <w:szCs w:val="16"/>
              </w:rPr>
            </w:pPr>
            <w:r w:rsidRPr="003A6407">
              <w:rPr>
                <w:rFonts w:eastAsia="Calibri" w:cs="Times New Roman"/>
                <w:noProof/>
                <w:sz w:val="16"/>
                <w:szCs w:val="16"/>
              </w:rPr>
              <w:t>RCR0</w:t>
            </w:r>
            <w:r w:rsidR="00240C59">
              <w:rPr>
                <w:rFonts w:eastAsia="Calibri" w:cs="Times New Roman"/>
                <w:noProof/>
                <w:sz w:val="16"/>
                <w:szCs w:val="16"/>
              </w:rPr>
              <w:t>2</w:t>
            </w:r>
          </w:p>
        </w:tc>
        <w:tc>
          <w:tcPr>
            <w:tcW w:w="883" w:type="pct"/>
            <w:shd w:val="clear" w:color="auto" w:fill="auto"/>
            <w:vAlign w:val="center"/>
          </w:tcPr>
          <w:p w14:paraId="1AB80F8D" w14:textId="421B5C99" w:rsidR="00515880" w:rsidRPr="003A6407" w:rsidRDefault="00240C59" w:rsidP="00DF03DB">
            <w:pPr>
              <w:keepNext/>
              <w:keepLines/>
              <w:spacing w:before="200" w:after="0"/>
              <w:jc w:val="center"/>
              <w:outlineLvl w:val="2"/>
              <w:rPr>
                <w:rFonts w:eastAsia="Calibri" w:cs="Times New Roman"/>
                <w:b/>
                <w:bCs/>
                <w:noProof/>
                <w:sz w:val="16"/>
                <w:szCs w:val="16"/>
              </w:rPr>
            </w:pPr>
            <w:bookmarkStart w:id="69" w:name="_Toc120464364"/>
            <w:r w:rsidRPr="00240C59">
              <w:rPr>
                <w:rFonts w:asciiTheme="minorHAnsi" w:eastAsia="Times New Roman" w:hAnsiTheme="minorHAnsi" w:cstheme="minorHAnsi"/>
                <w:bCs/>
                <w:noProof/>
                <w:sz w:val="16"/>
                <w:szCs w:val="16"/>
              </w:rPr>
              <w:t>Inwestycje prywatne uzupełniające wsparcie publiczne (w tym: dotacje, instrumenty finansowe)</w:t>
            </w:r>
            <w:bookmarkEnd w:id="69"/>
          </w:p>
        </w:tc>
        <w:tc>
          <w:tcPr>
            <w:tcW w:w="482" w:type="pct"/>
            <w:vAlign w:val="center"/>
          </w:tcPr>
          <w:p w14:paraId="22395018" w14:textId="729E8081" w:rsidR="00515880" w:rsidRPr="003A6407" w:rsidRDefault="00334A97" w:rsidP="00DF03DB">
            <w:pPr>
              <w:jc w:val="center"/>
              <w:rPr>
                <w:rFonts w:eastAsia="Calibri" w:cs="Times New Roman"/>
                <w:noProof/>
                <w:sz w:val="16"/>
                <w:szCs w:val="16"/>
                <w:lang w:eastAsia="pl-PL"/>
              </w:rPr>
            </w:pPr>
            <w:r>
              <w:rPr>
                <w:rFonts w:eastAsia="Calibri" w:cs="Times New Roman"/>
                <w:noProof/>
                <w:sz w:val="16"/>
                <w:szCs w:val="16"/>
                <w:lang w:eastAsia="pl-PL"/>
              </w:rPr>
              <w:t>euro</w:t>
            </w:r>
          </w:p>
        </w:tc>
        <w:tc>
          <w:tcPr>
            <w:tcW w:w="461" w:type="pct"/>
            <w:vAlign w:val="center"/>
          </w:tcPr>
          <w:p w14:paraId="0BC26138" w14:textId="77777777" w:rsidR="00515880" w:rsidRPr="003A6407" w:rsidRDefault="00515880" w:rsidP="00DF03DB">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4" w:type="pct"/>
            <w:vAlign w:val="center"/>
          </w:tcPr>
          <w:p w14:paraId="3B18532C" w14:textId="77777777" w:rsidR="00515880" w:rsidRPr="00160708" w:rsidRDefault="00515880" w:rsidP="00DF03DB">
            <w:pPr>
              <w:spacing w:before="120" w:after="120" w:line="240" w:lineRule="auto"/>
              <w:jc w:val="center"/>
              <w:rPr>
                <w:rFonts w:eastAsia="Calibri" w:cs="Times New Roman"/>
                <w:bCs/>
                <w:noProof/>
                <w:sz w:val="16"/>
                <w:szCs w:val="16"/>
                <w:lang w:eastAsia="pl-PL"/>
              </w:rPr>
            </w:pPr>
            <w:r w:rsidRPr="00160708">
              <w:rPr>
                <w:rFonts w:eastAsia="Calibri" w:cs="Times New Roman"/>
                <w:bCs/>
                <w:noProof/>
                <w:sz w:val="16"/>
                <w:szCs w:val="16"/>
                <w:lang w:eastAsia="pl-PL"/>
              </w:rPr>
              <w:t>2022</w:t>
            </w:r>
          </w:p>
        </w:tc>
        <w:tc>
          <w:tcPr>
            <w:tcW w:w="392" w:type="pct"/>
            <w:shd w:val="clear" w:color="auto" w:fill="auto"/>
            <w:vAlign w:val="center"/>
          </w:tcPr>
          <w:p w14:paraId="2F3B90CF" w14:textId="36E5A731" w:rsidR="00515880" w:rsidRPr="00160708" w:rsidRDefault="00B71474" w:rsidP="00DF03DB">
            <w:pPr>
              <w:spacing w:before="120" w:after="120" w:line="240" w:lineRule="auto"/>
              <w:jc w:val="center"/>
              <w:rPr>
                <w:rFonts w:eastAsia="Calibri" w:cs="Times New Roman"/>
                <w:bCs/>
                <w:noProof/>
                <w:sz w:val="16"/>
                <w:szCs w:val="16"/>
                <w:lang w:eastAsia="pl-PL"/>
              </w:rPr>
            </w:pPr>
            <w:r w:rsidRPr="00B71474">
              <w:rPr>
                <w:rFonts w:eastAsia="Calibri" w:cs="Times New Roman"/>
                <w:bCs/>
                <w:noProof/>
                <w:sz w:val="16"/>
                <w:szCs w:val="16"/>
                <w:lang w:eastAsia="pl-PL"/>
              </w:rPr>
              <w:t>26 252 449</w:t>
            </w:r>
          </w:p>
        </w:tc>
        <w:tc>
          <w:tcPr>
            <w:tcW w:w="392" w:type="pct"/>
            <w:shd w:val="clear" w:color="auto" w:fill="auto"/>
            <w:vAlign w:val="center"/>
          </w:tcPr>
          <w:p w14:paraId="1B2F162A" w14:textId="77777777" w:rsidR="00515880" w:rsidRPr="003A6407" w:rsidRDefault="00515880" w:rsidP="00DF03DB">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1" w:type="pct"/>
            <w:vAlign w:val="center"/>
          </w:tcPr>
          <w:p w14:paraId="78720F3D" w14:textId="77777777" w:rsidR="00515880" w:rsidRPr="003A6407" w:rsidRDefault="00515880" w:rsidP="00DF03DB">
            <w:pPr>
              <w:jc w:val="center"/>
              <w:rPr>
                <w:rFonts w:eastAsia="Calibri" w:cs="Times New Roman"/>
                <w:noProof/>
                <w:sz w:val="16"/>
                <w:szCs w:val="16"/>
              </w:rPr>
            </w:pPr>
          </w:p>
        </w:tc>
      </w:tr>
      <w:tr w:rsidR="00515880" w:rsidRPr="003A6407" w14:paraId="5F39391C" w14:textId="77777777" w:rsidTr="00DF03DB">
        <w:trPr>
          <w:trHeight w:val="434"/>
        </w:trPr>
        <w:tc>
          <w:tcPr>
            <w:tcW w:w="5000" w:type="pct"/>
            <w:gridSpan w:val="11"/>
          </w:tcPr>
          <w:p w14:paraId="311EF38E" w14:textId="77777777" w:rsidR="00515880" w:rsidRPr="003A6407" w:rsidRDefault="00515880" w:rsidP="00DF03DB">
            <w:pPr>
              <w:shd w:val="clear" w:color="auto" w:fill="FFFFFF"/>
              <w:spacing w:before="60" w:after="60" w:line="240" w:lineRule="auto"/>
              <w:jc w:val="both"/>
              <w:rPr>
                <w:rFonts w:eastAsia="Calibri"/>
              </w:rPr>
            </w:pPr>
            <w:r w:rsidRPr="003A6407">
              <w:rPr>
                <w:rFonts w:eastAsia="Calibri"/>
              </w:rPr>
              <w:t>Metodologia:</w:t>
            </w:r>
          </w:p>
          <w:p w14:paraId="0B724D3B" w14:textId="77777777" w:rsidR="00515880" w:rsidRPr="003A6407" w:rsidRDefault="00515880" w:rsidP="00DF03DB">
            <w:pPr>
              <w:shd w:val="clear" w:color="auto" w:fill="FFFFFF"/>
              <w:spacing w:before="60" w:after="60" w:line="240" w:lineRule="auto"/>
              <w:jc w:val="both"/>
              <w:rPr>
                <w:rFonts w:eastAsia="Calibri"/>
              </w:rPr>
            </w:pPr>
            <w:r w:rsidRPr="003A6407">
              <w:rPr>
                <w:rFonts w:eastAsia="Calibri"/>
              </w:rPr>
              <w:t>Wskaźnik realizuje kod interwencji:</w:t>
            </w:r>
          </w:p>
          <w:p w14:paraId="55CA748D" w14:textId="77777777" w:rsidR="008C4A35" w:rsidRPr="008C4A35" w:rsidRDefault="008C4A35" w:rsidP="008C4A35">
            <w:pPr>
              <w:numPr>
                <w:ilvl w:val="0"/>
                <w:numId w:val="12"/>
              </w:numPr>
              <w:shd w:val="clear" w:color="auto" w:fill="FFFFFF"/>
              <w:spacing w:before="60" w:after="60" w:line="240" w:lineRule="auto"/>
              <w:contextualSpacing/>
              <w:jc w:val="both"/>
              <w:rPr>
                <w:rFonts w:eastAsia="Calibri" w:cs="Times New Roman"/>
              </w:rPr>
            </w:pPr>
            <w:r w:rsidRPr="008C4A35">
              <w:rPr>
                <w:rFonts w:eastAsia="Calibri" w:cs="Times New Roman"/>
              </w:rPr>
              <w:t>01 Inwestycje w środki trwałe, w tym infrastrukturę badawczą, w mikroprzedsiębiorstwach bezpośrednio związane z działaniami badawczymi i innowacyjnymi (3 695 705 EUR);</w:t>
            </w:r>
          </w:p>
          <w:p w14:paraId="52E61E89" w14:textId="77777777" w:rsidR="008C4A35" w:rsidRPr="008C4A35" w:rsidRDefault="008C4A35" w:rsidP="008C4A35">
            <w:pPr>
              <w:numPr>
                <w:ilvl w:val="0"/>
                <w:numId w:val="12"/>
              </w:numPr>
              <w:shd w:val="clear" w:color="auto" w:fill="FFFFFF"/>
              <w:spacing w:before="60" w:after="60" w:line="240" w:lineRule="auto"/>
              <w:contextualSpacing/>
              <w:jc w:val="both"/>
              <w:rPr>
                <w:rFonts w:eastAsia="Calibri" w:cs="Times New Roman"/>
              </w:rPr>
            </w:pPr>
            <w:r w:rsidRPr="008C4A35">
              <w:rPr>
                <w:rFonts w:eastAsia="Calibri" w:cs="Times New Roman"/>
              </w:rPr>
              <w:t>02 Inwestycje w środki trwałe, w tym infrastrukturę badawczą, w małych i średnich przedsiębiorstwach (w tym prywatnych organizacjach badawczych) bezpośrednio związane z działaniami badawczymi i innowacyjnymi (27 688 305 EUR);</w:t>
            </w:r>
          </w:p>
          <w:p w14:paraId="612E5B63" w14:textId="77777777" w:rsidR="008C4A35" w:rsidRPr="008C4A35" w:rsidRDefault="008C4A35" w:rsidP="008C4A35">
            <w:pPr>
              <w:numPr>
                <w:ilvl w:val="0"/>
                <w:numId w:val="12"/>
              </w:numPr>
              <w:shd w:val="clear" w:color="auto" w:fill="FFFFFF"/>
              <w:spacing w:before="60" w:after="60" w:line="240" w:lineRule="auto"/>
              <w:contextualSpacing/>
              <w:jc w:val="both"/>
              <w:rPr>
                <w:rFonts w:eastAsia="Calibri" w:cs="Times New Roman"/>
              </w:rPr>
            </w:pPr>
            <w:r w:rsidRPr="008C4A35">
              <w:rPr>
                <w:rFonts w:eastAsia="Calibri" w:cs="Times New Roman"/>
              </w:rPr>
              <w:t xml:space="preserve">09 Działania badawcze i innowacyjne w mikroprzedsiębiorstwach, w tym tworzenie sieci kontaktów (badania przemysłowe, eksperymentalne prace rozwojowe, studia wykonalności) </w:t>
            </w:r>
          </w:p>
          <w:p w14:paraId="4A74DB34" w14:textId="77777777" w:rsidR="008C4A35" w:rsidRPr="008C4A35" w:rsidRDefault="008C4A35" w:rsidP="008C4A35">
            <w:pPr>
              <w:shd w:val="clear" w:color="auto" w:fill="FFFFFF"/>
              <w:spacing w:before="60" w:after="60" w:line="240" w:lineRule="auto"/>
              <w:ind w:left="928"/>
              <w:contextualSpacing/>
              <w:jc w:val="both"/>
              <w:rPr>
                <w:rFonts w:eastAsia="Calibri" w:cs="Times New Roman"/>
              </w:rPr>
            </w:pPr>
            <w:r w:rsidRPr="008C4A35">
              <w:rPr>
                <w:rFonts w:eastAsia="Calibri" w:cs="Times New Roman"/>
              </w:rPr>
              <w:t>(1 478 282,00 EUR).</w:t>
            </w:r>
          </w:p>
          <w:p w14:paraId="000A257F" w14:textId="16A96C9D" w:rsidR="008C4A35" w:rsidRDefault="008C4A35" w:rsidP="008C4A35">
            <w:pPr>
              <w:numPr>
                <w:ilvl w:val="0"/>
                <w:numId w:val="12"/>
              </w:numPr>
              <w:shd w:val="clear" w:color="auto" w:fill="FFFFFF"/>
              <w:spacing w:before="60" w:after="60" w:line="240" w:lineRule="auto"/>
              <w:contextualSpacing/>
              <w:jc w:val="both"/>
              <w:rPr>
                <w:rFonts w:eastAsia="Calibri" w:cs="Times New Roman"/>
              </w:rPr>
            </w:pPr>
            <w:r w:rsidRPr="008C4A35">
              <w:rPr>
                <w:rFonts w:eastAsia="Calibri" w:cs="Times New Roman"/>
              </w:rPr>
              <w:t>010 Działania badawcze i innowacyjne w MŚP, w tym tworzenie sieci kontaktów (31 384 012,00 EUR)</w:t>
            </w:r>
            <w:r w:rsidR="00686D9E">
              <w:rPr>
                <w:rFonts w:eastAsia="Calibri" w:cs="Times New Roman"/>
              </w:rPr>
              <w:t>;</w:t>
            </w:r>
          </w:p>
          <w:p w14:paraId="7CB878FB" w14:textId="54AA4473" w:rsidR="00686D9E" w:rsidRPr="00686D9E" w:rsidRDefault="00686D9E" w:rsidP="00686D9E">
            <w:pPr>
              <w:numPr>
                <w:ilvl w:val="0"/>
                <w:numId w:val="12"/>
              </w:numPr>
              <w:shd w:val="clear" w:color="auto" w:fill="FFFFFF"/>
              <w:spacing w:before="60" w:after="60" w:line="240" w:lineRule="auto"/>
              <w:contextualSpacing/>
              <w:jc w:val="both"/>
              <w:rPr>
                <w:rFonts w:eastAsia="Calibri" w:cs="Times New Roman"/>
              </w:rPr>
            </w:pPr>
            <w:r w:rsidRPr="00686D9E">
              <w:rPr>
                <w:rFonts w:eastAsia="Calibri" w:cs="Times New Roman"/>
              </w:rPr>
              <w:t>04 Inwestycje w środki trwałe, w tym infrastrukturę badawczą, w publicznych ośrodkach badawczych i instytucjach szkolnictwa wyższego bezpośrednio związane z działaniami badawczymi i innowacyjnymi</w:t>
            </w:r>
            <w:r>
              <w:rPr>
                <w:rFonts w:eastAsia="Calibri" w:cs="Times New Roman"/>
              </w:rPr>
              <w:t xml:space="preserve"> (</w:t>
            </w:r>
            <w:r w:rsidRPr="00686D9E">
              <w:rPr>
                <w:rFonts w:eastAsia="Calibri" w:cs="Times New Roman"/>
              </w:rPr>
              <w:t>20 695 955,00</w:t>
            </w:r>
            <w:r>
              <w:rPr>
                <w:rFonts w:eastAsia="Calibri" w:cs="Times New Roman"/>
              </w:rPr>
              <w:t xml:space="preserve"> EUR);</w:t>
            </w:r>
          </w:p>
          <w:p w14:paraId="64A4D6BF" w14:textId="77777777" w:rsidR="00686D9E" w:rsidRPr="00686D9E" w:rsidRDefault="00686D9E" w:rsidP="00686D9E">
            <w:pPr>
              <w:pStyle w:val="Akapitzlist"/>
              <w:numPr>
                <w:ilvl w:val="0"/>
                <w:numId w:val="12"/>
              </w:numPr>
              <w:rPr>
                <w:rFonts w:eastAsia="Calibri" w:cs="Times New Roman"/>
              </w:rPr>
            </w:pPr>
            <w:r w:rsidRPr="00686D9E">
              <w:rPr>
                <w:rFonts w:eastAsia="Calibri" w:cs="Times New Roman"/>
              </w:rPr>
              <w:t>23 Rozwój umiejętności na rzecz inteligentnej specjalizacji, transformacji przemysłowej, przedsiębiorczości zdolności przedsiębiorstw dostosowania się do zmian (3 510 943 EUR);</w:t>
            </w:r>
          </w:p>
          <w:p w14:paraId="550D1516" w14:textId="77777777" w:rsidR="00686D9E" w:rsidRPr="00686D9E" w:rsidRDefault="00686D9E" w:rsidP="00686D9E">
            <w:pPr>
              <w:pStyle w:val="Akapitzlist"/>
              <w:numPr>
                <w:ilvl w:val="0"/>
                <w:numId w:val="12"/>
              </w:numPr>
              <w:rPr>
                <w:rFonts w:eastAsia="Calibri" w:cs="Times New Roman"/>
              </w:rPr>
            </w:pPr>
            <w:r w:rsidRPr="00686D9E">
              <w:rPr>
                <w:rFonts w:eastAsia="Calibri" w:cs="Times New Roman"/>
              </w:rPr>
              <w:t>026 Wsparcie dla klastrów innowacyjnych, w tym między przedsiębiorstwami, organizacjami badawczymi i organami publicznymi oraz sieciami biznesowymi, z korzyścią głównie dla MŚP (3 000 000 EUR);</w:t>
            </w:r>
          </w:p>
          <w:p w14:paraId="37CDB816" w14:textId="535EAA63" w:rsidR="00686D9E" w:rsidRDefault="00686D9E" w:rsidP="00686D9E">
            <w:pPr>
              <w:shd w:val="clear" w:color="auto" w:fill="FFFFFF"/>
              <w:spacing w:before="60" w:after="60" w:line="240" w:lineRule="auto"/>
              <w:contextualSpacing/>
              <w:jc w:val="both"/>
              <w:rPr>
                <w:rFonts w:eastAsia="Calibri" w:cs="Times New Roman"/>
              </w:rPr>
            </w:pPr>
            <w:r>
              <w:rPr>
                <w:rFonts w:eastAsia="Calibri" w:cs="Times New Roman"/>
              </w:rPr>
              <w:t xml:space="preserve">Alokacja łącznie </w:t>
            </w:r>
            <w:r w:rsidRPr="00686D9E">
              <w:rPr>
                <w:rFonts w:eastAsia="Calibri" w:cs="Times New Roman"/>
              </w:rPr>
              <w:t>91 453 202,00</w:t>
            </w:r>
            <w:r>
              <w:rPr>
                <w:rFonts w:eastAsia="Calibri" w:cs="Times New Roman"/>
              </w:rPr>
              <w:t xml:space="preserve"> EUR</w:t>
            </w:r>
          </w:p>
          <w:p w14:paraId="50A92B83" w14:textId="77777777" w:rsidR="00686D9E" w:rsidRPr="008C4A35" w:rsidRDefault="00686D9E" w:rsidP="00686D9E">
            <w:pPr>
              <w:shd w:val="clear" w:color="auto" w:fill="FFFFFF"/>
              <w:spacing w:before="60" w:after="60" w:line="240" w:lineRule="auto"/>
              <w:contextualSpacing/>
              <w:jc w:val="both"/>
              <w:rPr>
                <w:rFonts w:eastAsia="Calibri" w:cs="Times New Roman"/>
              </w:rPr>
            </w:pPr>
          </w:p>
          <w:p w14:paraId="204D372E" w14:textId="04DDF34C" w:rsidR="008C4A35" w:rsidRPr="008C4A35" w:rsidRDefault="008C4A35" w:rsidP="008C4A35">
            <w:pPr>
              <w:shd w:val="clear" w:color="auto" w:fill="FFFFFF"/>
              <w:spacing w:before="60" w:after="60" w:line="240" w:lineRule="auto"/>
              <w:contextualSpacing/>
              <w:jc w:val="both"/>
              <w:rPr>
                <w:rFonts w:eastAsia="Calibri" w:cs="Times New Roman"/>
              </w:rPr>
            </w:pPr>
            <w:r w:rsidRPr="008C4A35">
              <w:rPr>
                <w:rFonts w:eastAsia="Calibri" w:cs="Times New Roman"/>
              </w:rPr>
              <w:t xml:space="preserve">Biorąc pod uwagę kurs EUR na poziomie 4,45 suma alokacji na realizację wskaźnika wynosi </w:t>
            </w:r>
            <w:r w:rsidR="00686D9E" w:rsidRPr="00686D9E">
              <w:rPr>
                <w:rFonts w:eastAsia="Calibri" w:cs="Times New Roman"/>
              </w:rPr>
              <w:t>406 966 748,90</w:t>
            </w:r>
            <w:r w:rsidR="00686D9E">
              <w:rPr>
                <w:rFonts w:eastAsia="Calibri" w:cs="Times New Roman"/>
              </w:rPr>
              <w:t xml:space="preserve"> PLN</w:t>
            </w:r>
            <w:r w:rsidR="002C01F8">
              <w:rPr>
                <w:rFonts w:eastAsia="Calibri" w:cs="Times New Roman"/>
              </w:rPr>
              <w:t>.</w:t>
            </w:r>
            <w:r w:rsidR="00686D9E" w:rsidRPr="00686D9E">
              <w:rPr>
                <w:rFonts w:eastAsia="Calibri" w:cs="Times New Roman"/>
              </w:rPr>
              <w:t xml:space="preserve">    </w:t>
            </w:r>
          </w:p>
          <w:p w14:paraId="0DC9662C" w14:textId="77777777" w:rsidR="008C4A35" w:rsidRPr="003A6407" w:rsidRDefault="008C4A35" w:rsidP="00DF03DB">
            <w:pPr>
              <w:shd w:val="clear" w:color="auto" w:fill="FFFFFF"/>
              <w:spacing w:before="60" w:after="60" w:line="240" w:lineRule="auto"/>
              <w:jc w:val="both"/>
              <w:rPr>
                <w:rFonts w:eastAsia="Calibri"/>
              </w:rPr>
            </w:pPr>
          </w:p>
          <w:p w14:paraId="0384A554" w14:textId="01F8CE36" w:rsidR="00686D9E" w:rsidRDefault="00334A97" w:rsidP="00DF03DB">
            <w:pPr>
              <w:shd w:val="clear" w:color="auto" w:fill="FFFFFF"/>
              <w:spacing w:before="60" w:after="60" w:line="240" w:lineRule="auto"/>
              <w:jc w:val="both"/>
              <w:rPr>
                <w:rFonts w:eastAsia="Calibri"/>
              </w:rPr>
            </w:pPr>
            <w:r>
              <w:rPr>
                <w:rFonts w:eastAsia="Calibri"/>
              </w:rPr>
              <w:lastRenderedPageBreak/>
              <w:t>S</w:t>
            </w:r>
            <w:r w:rsidRPr="00334A97">
              <w:rPr>
                <w:rFonts w:eastAsia="Calibri"/>
              </w:rPr>
              <w:t>zacowanie wartości wskaźnika  oparto na doświadczeniach z perspektywy 2014-2020. Wartość wskaźnika została oszacowana na podstawie wartości umów realizowanych w ramach zbliżonych działań z RPO 2014-20 tj.</w:t>
            </w:r>
            <w:r>
              <w:rPr>
                <w:rFonts w:eastAsia="Calibri"/>
              </w:rPr>
              <w:t xml:space="preserve"> </w:t>
            </w:r>
            <w:r w:rsidR="001B0A46">
              <w:rPr>
                <w:rFonts w:eastAsia="Calibri"/>
              </w:rPr>
              <w:t>1.2 schemat A,B,C,E</w:t>
            </w:r>
            <w:r w:rsidRPr="00334A97">
              <w:rPr>
                <w:rFonts w:eastAsia="Calibri"/>
              </w:rPr>
              <w:t xml:space="preserve">, biorąc pod uwagę procentowy udział  wkładu własnego Beneficjenta, w stosunku do wartość ogółem </w:t>
            </w:r>
            <w:r w:rsidR="00710D5A">
              <w:rPr>
                <w:rFonts w:eastAsia="Calibri"/>
              </w:rPr>
              <w:t>wydatków kwalifikowalnych</w:t>
            </w:r>
            <w:r w:rsidR="002C01F8">
              <w:rPr>
                <w:rFonts w:eastAsia="Calibri"/>
              </w:rPr>
              <w:t xml:space="preserve">. </w:t>
            </w:r>
            <w:r w:rsidR="00B71474">
              <w:rPr>
                <w:rFonts w:eastAsia="Calibri"/>
              </w:rPr>
              <w:t xml:space="preserve"> </w:t>
            </w:r>
            <w:r w:rsidR="002C01F8">
              <w:rPr>
                <w:rFonts w:eastAsia="Calibri"/>
              </w:rPr>
              <w:t>U</w:t>
            </w:r>
            <w:r w:rsidR="002C01F8" w:rsidRPr="002C01F8">
              <w:rPr>
                <w:rFonts w:eastAsia="Calibri"/>
              </w:rPr>
              <w:t xml:space="preserve">dział  </w:t>
            </w:r>
            <w:r w:rsidR="002C01F8">
              <w:rPr>
                <w:rFonts w:eastAsia="Calibri"/>
              </w:rPr>
              <w:t>ten</w:t>
            </w:r>
            <w:r w:rsidR="002C01F8" w:rsidRPr="002C01F8">
              <w:rPr>
                <w:rFonts w:eastAsia="Calibri"/>
              </w:rPr>
              <w:t xml:space="preserve"> </w:t>
            </w:r>
            <w:r w:rsidR="002C01F8">
              <w:rPr>
                <w:rFonts w:eastAsia="Calibri"/>
              </w:rPr>
              <w:t>wg danych historycznych wynosi</w:t>
            </w:r>
            <w:r w:rsidR="00B71474">
              <w:rPr>
                <w:rFonts w:eastAsia="Calibri"/>
              </w:rPr>
              <w:t xml:space="preserve"> </w:t>
            </w:r>
            <w:r w:rsidR="00710D5A">
              <w:rPr>
                <w:rFonts w:eastAsia="Calibri"/>
              </w:rPr>
              <w:t>32</w:t>
            </w:r>
            <w:r w:rsidRPr="00334A97">
              <w:rPr>
                <w:rFonts w:eastAsia="Calibri"/>
              </w:rPr>
              <w:t>%</w:t>
            </w:r>
            <w:r w:rsidR="002C01F8">
              <w:rPr>
                <w:rFonts w:eastAsia="Calibri"/>
              </w:rPr>
              <w:t>.</w:t>
            </w:r>
            <w:r w:rsidR="00A94C28">
              <w:rPr>
                <w:rFonts w:eastAsia="Calibri"/>
              </w:rPr>
              <w:t xml:space="preserve"> Na potrzeby metodologii przyjęto, że</w:t>
            </w:r>
            <w:r w:rsidRPr="00334A97">
              <w:rPr>
                <w:rFonts w:eastAsia="Calibri"/>
              </w:rPr>
              <w:t xml:space="preserve"> </w:t>
            </w:r>
            <w:r w:rsidR="00A94C28" w:rsidRPr="00A94C28">
              <w:rPr>
                <w:rFonts w:eastAsia="Calibri"/>
              </w:rPr>
              <w:t>wartość ogółem wydatków kwalifikowalnych</w:t>
            </w:r>
            <w:r w:rsidR="00A94C28">
              <w:rPr>
                <w:rFonts w:eastAsia="Calibri"/>
              </w:rPr>
              <w:t xml:space="preserve"> = wartości całkowitej projektu.</w:t>
            </w:r>
          </w:p>
          <w:p w14:paraId="234D2DD4" w14:textId="2202E3C5" w:rsidR="002C01F8" w:rsidRDefault="002C01F8" w:rsidP="00DF03DB">
            <w:pPr>
              <w:shd w:val="clear" w:color="auto" w:fill="FFFFFF"/>
              <w:spacing w:before="60" w:after="60" w:line="240" w:lineRule="auto"/>
              <w:jc w:val="both"/>
              <w:rPr>
                <w:rFonts w:eastAsia="Calibri"/>
              </w:rPr>
            </w:pPr>
            <w:r>
              <w:rPr>
                <w:rFonts w:eastAsia="Calibri"/>
              </w:rPr>
              <w:t>Założono, że</w:t>
            </w:r>
            <w:r w:rsidR="00CE27BA">
              <w:rPr>
                <w:rFonts w:eastAsia="Calibri"/>
              </w:rPr>
              <w:t xml:space="preserve"> wartość alokacji</w:t>
            </w:r>
            <w:r>
              <w:rPr>
                <w:rFonts w:eastAsia="Calibri"/>
              </w:rPr>
              <w:t>, tj.</w:t>
            </w:r>
            <w:r w:rsidR="00CE27BA">
              <w:rPr>
                <w:rFonts w:eastAsia="Calibri"/>
              </w:rPr>
              <w:t xml:space="preserve"> </w:t>
            </w:r>
            <w:r w:rsidRPr="002C01F8">
              <w:rPr>
                <w:rFonts w:eastAsia="Calibri"/>
              </w:rPr>
              <w:t>91 453 202,00 EUR</w:t>
            </w:r>
            <w:r>
              <w:rPr>
                <w:rFonts w:eastAsia="Calibri"/>
              </w:rPr>
              <w:t xml:space="preserve">, </w:t>
            </w:r>
            <w:r w:rsidR="00A94C28">
              <w:rPr>
                <w:rFonts w:eastAsia="Calibri"/>
              </w:rPr>
              <w:t>która stanowi wkład UE</w:t>
            </w:r>
            <w:r>
              <w:rPr>
                <w:rFonts w:eastAsia="Calibri"/>
              </w:rPr>
              <w:t xml:space="preserve">, wynosi 68 % </w:t>
            </w:r>
            <w:r w:rsidR="00724737">
              <w:rPr>
                <w:rFonts w:eastAsia="Calibri"/>
              </w:rPr>
              <w:t xml:space="preserve">w odniesieniu do szacowanej wartości całkowitej projektów </w:t>
            </w:r>
            <w:r>
              <w:rPr>
                <w:rFonts w:eastAsia="Calibri"/>
              </w:rPr>
              <w:t xml:space="preserve">[100% - 32%= 68%]. Następnie obliczono prognozowaną </w:t>
            </w:r>
            <w:r w:rsidRPr="002C01F8">
              <w:rPr>
                <w:rFonts w:eastAsia="Calibri"/>
              </w:rPr>
              <w:t>wartość ogółem wydatków kwalifikowalnych</w:t>
            </w:r>
            <w:r w:rsidR="00724737">
              <w:rPr>
                <w:rFonts w:eastAsia="Calibri"/>
              </w:rPr>
              <w:t xml:space="preserve">, tj. </w:t>
            </w:r>
            <w:r w:rsidR="00724737" w:rsidRPr="00724737">
              <w:rPr>
                <w:rFonts w:eastAsia="Calibri"/>
              </w:rPr>
              <w:t>wartości całkowit</w:t>
            </w:r>
            <w:r w:rsidR="00724737">
              <w:rPr>
                <w:rFonts w:eastAsia="Calibri"/>
              </w:rPr>
              <w:t>ą</w:t>
            </w:r>
            <w:r w:rsidR="00724737" w:rsidRPr="00724737">
              <w:rPr>
                <w:rFonts w:eastAsia="Calibri"/>
              </w:rPr>
              <w:t xml:space="preserve"> projektów</w:t>
            </w:r>
            <w:r>
              <w:rPr>
                <w:rFonts w:eastAsia="Calibri"/>
              </w:rPr>
              <w:t xml:space="preserve"> (100%</w:t>
            </w:r>
            <w:r w:rsidR="00724737">
              <w:rPr>
                <w:rFonts w:eastAsia="Calibri"/>
              </w:rPr>
              <w:t>) czyli</w:t>
            </w:r>
            <w:r>
              <w:rPr>
                <w:rFonts w:eastAsia="Calibri"/>
              </w:rPr>
              <w:t xml:space="preserve"> 134 490 002,94 EUR. </w:t>
            </w:r>
          </w:p>
          <w:p w14:paraId="50E70B0D" w14:textId="25EC5B84" w:rsidR="002C01F8" w:rsidRDefault="002C01F8" w:rsidP="00DF03DB">
            <w:pPr>
              <w:shd w:val="clear" w:color="auto" w:fill="FFFFFF"/>
              <w:spacing w:before="60" w:after="60" w:line="240" w:lineRule="auto"/>
              <w:jc w:val="both"/>
              <w:rPr>
                <w:rFonts w:eastAsia="Calibri"/>
              </w:rPr>
            </w:pPr>
            <w:r w:rsidRPr="002C01F8">
              <w:rPr>
                <w:rFonts w:eastAsia="Calibri"/>
              </w:rPr>
              <w:t xml:space="preserve">134 490 002,94 </w:t>
            </w:r>
            <w:r>
              <w:rPr>
                <w:rFonts w:eastAsia="Calibri"/>
              </w:rPr>
              <w:t xml:space="preserve">- </w:t>
            </w:r>
            <w:r w:rsidRPr="002C01F8">
              <w:rPr>
                <w:rFonts w:eastAsia="Calibri"/>
              </w:rPr>
              <w:t>91 453 202,00</w:t>
            </w:r>
            <w:r>
              <w:rPr>
                <w:rFonts w:eastAsia="Calibri"/>
              </w:rPr>
              <w:t xml:space="preserve"> = </w:t>
            </w:r>
            <w:r w:rsidR="00724737">
              <w:rPr>
                <w:rFonts w:eastAsia="Calibri"/>
              </w:rPr>
              <w:t xml:space="preserve">ok </w:t>
            </w:r>
            <w:r>
              <w:rPr>
                <w:rFonts w:eastAsia="Calibri"/>
              </w:rPr>
              <w:t>43 036</w:t>
            </w:r>
            <w:r w:rsidR="00724737">
              <w:rPr>
                <w:rFonts w:eastAsia="Calibri"/>
              </w:rPr>
              <w:t> </w:t>
            </w:r>
            <w:r>
              <w:rPr>
                <w:rFonts w:eastAsia="Calibri"/>
              </w:rPr>
              <w:t>800</w:t>
            </w:r>
            <w:r w:rsidR="00724737">
              <w:rPr>
                <w:rFonts w:eastAsia="Calibri"/>
              </w:rPr>
              <w:t xml:space="preserve"> EUR</w:t>
            </w:r>
          </w:p>
          <w:p w14:paraId="05C498EF" w14:textId="775B7D6B" w:rsidR="00334A97" w:rsidRDefault="00A94C28" w:rsidP="00DF03DB">
            <w:pPr>
              <w:shd w:val="clear" w:color="auto" w:fill="FFFFFF"/>
              <w:spacing w:before="60" w:after="60" w:line="240" w:lineRule="auto"/>
              <w:jc w:val="both"/>
              <w:rPr>
                <w:rFonts w:eastAsia="Calibri"/>
              </w:rPr>
            </w:pPr>
            <w:r>
              <w:rPr>
                <w:rFonts w:eastAsia="Calibri"/>
              </w:rPr>
              <w:t xml:space="preserve"> </w:t>
            </w:r>
            <w:r w:rsidR="00724737">
              <w:rPr>
                <w:rFonts w:eastAsia="Calibri"/>
              </w:rPr>
              <w:t xml:space="preserve">Zgodnie z powyższym </w:t>
            </w:r>
            <w:r>
              <w:rPr>
                <w:rFonts w:eastAsia="Calibri"/>
              </w:rPr>
              <w:t>przyj</w:t>
            </w:r>
            <w:r w:rsidR="00724737">
              <w:rPr>
                <w:rFonts w:eastAsia="Calibri"/>
              </w:rPr>
              <w:t>ęto</w:t>
            </w:r>
            <w:r w:rsidR="00334A97" w:rsidRPr="00334A97">
              <w:rPr>
                <w:rFonts w:eastAsia="Calibri"/>
              </w:rPr>
              <w:t xml:space="preserve">, iż wartość </w:t>
            </w:r>
            <w:r w:rsidR="00B71474">
              <w:rPr>
                <w:rFonts w:eastAsia="Calibri"/>
              </w:rPr>
              <w:t>wkładu własnego Beneficjentów</w:t>
            </w:r>
            <w:r w:rsidR="00334A97" w:rsidRPr="00334A97">
              <w:rPr>
                <w:rFonts w:eastAsia="Calibri"/>
              </w:rPr>
              <w:t xml:space="preserve"> osiągnie poziom </w:t>
            </w:r>
            <w:r>
              <w:rPr>
                <w:rFonts w:eastAsia="Calibri"/>
              </w:rPr>
              <w:t>ok</w:t>
            </w:r>
            <w:r w:rsidR="00221753">
              <w:rPr>
                <w:rFonts w:eastAsia="Calibri"/>
              </w:rPr>
              <w:t>.</w:t>
            </w:r>
            <w:r>
              <w:rPr>
                <w:rFonts w:eastAsia="Calibri"/>
              </w:rPr>
              <w:t xml:space="preserve"> 43 036 800</w:t>
            </w:r>
            <w:r w:rsidR="00334A97" w:rsidRPr="00334A97">
              <w:rPr>
                <w:rFonts w:eastAsia="Calibri"/>
              </w:rPr>
              <w:t xml:space="preserve"> euro. </w:t>
            </w:r>
          </w:p>
          <w:p w14:paraId="719FB41F" w14:textId="63F49941" w:rsidR="00515880" w:rsidRPr="003A6407" w:rsidRDefault="00515880" w:rsidP="00DF03DB">
            <w:pPr>
              <w:shd w:val="clear" w:color="auto" w:fill="FFFFFF"/>
              <w:spacing w:before="60" w:after="60" w:line="240" w:lineRule="auto"/>
              <w:jc w:val="both"/>
              <w:rPr>
                <w:rFonts w:eastAsia="Calibri"/>
              </w:rPr>
            </w:pPr>
            <w:r w:rsidRPr="003A6407">
              <w:rPr>
                <w:rFonts w:eastAsia="Calibri"/>
              </w:rPr>
              <w:t xml:space="preserve">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16CE07D2" w14:textId="45E9CC18" w:rsidR="00515880" w:rsidRPr="003A6407" w:rsidRDefault="00515880" w:rsidP="00DF03DB">
            <w:pPr>
              <w:spacing w:before="60" w:after="60" w:line="240" w:lineRule="auto"/>
              <w:jc w:val="both"/>
              <w:rPr>
                <w:rFonts w:eastAsia="Calibri"/>
              </w:rPr>
            </w:pPr>
            <w:r w:rsidRPr="003A6407">
              <w:rPr>
                <w:rFonts w:eastAsia="Calibri"/>
              </w:rPr>
              <w:t>R=[(</w:t>
            </w:r>
            <w:r w:rsidR="00334A97">
              <w:rPr>
                <w:rFonts w:eastAsia="Calibri"/>
              </w:rPr>
              <w:t>6</w:t>
            </w:r>
            <w:r w:rsidRPr="003A6407">
              <w:rPr>
                <w:rFonts w:eastAsia="Calibri"/>
              </w:rPr>
              <w:t>*25)+(</w:t>
            </w:r>
            <w:r w:rsidR="00334A97">
              <w:rPr>
                <w:rFonts w:eastAsia="Calibri"/>
              </w:rPr>
              <w:t>3</w:t>
            </w:r>
            <w:r w:rsidRPr="003A6407">
              <w:rPr>
                <w:rFonts w:eastAsia="Calibri"/>
              </w:rPr>
              <w:t>*68)]/</w:t>
            </w:r>
            <w:r w:rsidR="008C4A35">
              <w:rPr>
                <w:rFonts w:eastAsia="Calibri"/>
              </w:rPr>
              <w:t>9</w:t>
            </w:r>
            <w:r w:rsidRPr="003A6407">
              <w:rPr>
                <w:rFonts w:eastAsia="Calibri"/>
              </w:rPr>
              <w:t xml:space="preserve">= </w:t>
            </w:r>
            <w:r w:rsidR="00334A97">
              <w:rPr>
                <w:rFonts w:eastAsia="Calibri"/>
              </w:rPr>
              <w:t>39</w:t>
            </w:r>
            <w:r w:rsidRPr="003A6407">
              <w:rPr>
                <w:rFonts w:eastAsia="Calibri"/>
              </w:rPr>
              <w:t>,</w:t>
            </w:r>
            <w:r w:rsidR="00334A97">
              <w:rPr>
                <w:rFonts w:eastAsia="Calibri"/>
              </w:rPr>
              <w:t>33</w:t>
            </w:r>
            <w:r w:rsidRPr="003A6407">
              <w:rPr>
                <w:rFonts w:eastAsia="Calibri"/>
              </w:rPr>
              <w:t xml:space="preserve">%. Wartość zaokrąglono do pełnej wartości </w:t>
            </w:r>
            <w:r w:rsidR="00334A97">
              <w:rPr>
                <w:rFonts w:eastAsia="Calibri"/>
              </w:rPr>
              <w:t>39</w:t>
            </w:r>
            <w:r w:rsidRPr="003A6407">
              <w:rPr>
                <w:rFonts w:eastAsia="Calibri"/>
              </w:rPr>
              <w:t xml:space="preserve">%. </w:t>
            </w:r>
          </w:p>
          <w:p w14:paraId="790EAED2" w14:textId="20847C5C" w:rsidR="00515880" w:rsidRPr="003A6407" w:rsidRDefault="00724737" w:rsidP="00DF03DB">
            <w:pPr>
              <w:shd w:val="clear" w:color="auto" w:fill="FFFFFF"/>
              <w:spacing w:before="60" w:after="60" w:line="240" w:lineRule="auto"/>
              <w:jc w:val="both"/>
              <w:rPr>
                <w:rFonts w:eastAsia="Calibri"/>
              </w:rPr>
            </w:pPr>
            <w:r w:rsidRPr="003A6407">
              <w:rPr>
                <w:rFonts w:eastAsia="Calibri"/>
              </w:rPr>
              <w:t>Na podstawie tych danych wyliczono wartość wskaźnika.</w:t>
            </w:r>
          </w:p>
          <w:p w14:paraId="43559C95" w14:textId="77777777" w:rsidR="00515880" w:rsidRPr="003A6407" w:rsidRDefault="00515880" w:rsidP="00DF03DB">
            <w:pPr>
              <w:shd w:val="clear" w:color="auto" w:fill="FFFFFF"/>
              <w:spacing w:before="60" w:after="60" w:line="240" w:lineRule="auto"/>
              <w:jc w:val="both"/>
              <w:rPr>
                <w:rFonts w:eastAsia="Calibri"/>
              </w:rPr>
            </w:pPr>
            <w:r w:rsidRPr="003A6407">
              <w:rPr>
                <w:rFonts w:eastAsia="Calibri"/>
              </w:rPr>
              <w:t>Wyliczenie:</w:t>
            </w:r>
          </w:p>
          <w:p w14:paraId="4664E85B" w14:textId="4E0D6E36" w:rsidR="00515880" w:rsidRPr="003A6407" w:rsidRDefault="00A94C28" w:rsidP="00DF03DB">
            <w:pPr>
              <w:shd w:val="clear" w:color="auto" w:fill="FFFFFF"/>
              <w:spacing w:before="60" w:after="60" w:line="240" w:lineRule="auto"/>
              <w:jc w:val="both"/>
              <w:rPr>
                <w:rFonts w:eastAsia="Calibri"/>
              </w:rPr>
            </w:pPr>
            <w:r>
              <w:rPr>
                <w:rFonts w:eastAsia="Calibri"/>
              </w:rPr>
              <w:t>43 036 800</w:t>
            </w:r>
            <w:r w:rsidR="00515880" w:rsidRPr="003A6407">
              <w:rPr>
                <w:rFonts w:eastAsia="Calibri"/>
              </w:rPr>
              <w:t xml:space="preserve"> * (1-0,</w:t>
            </w:r>
            <w:r w:rsidR="00334A97">
              <w:rPr>
                <w:rFonts w:eastAsia="Calibri"/>
              </w:rPr>
              <w:t>39</w:t>
            </w:r>
            <w:r w:rsidR="00515880" w:rsidRPr="003A6407">
              <w:rPr>
                <w:rFonts w:eastAsia="Calibri"/>
              </w:rPr>
              <w:t xml:space="preserve">) = </w:t>
            </w:r>
            <w:r w:rsidR="00334A97">
              <w:rPr>
                <w:rFonts w:eastAsia="Calibri"/>
              </w:rPr>
              <w:t xml:space="preserve"> </w:t>
            </w:r>
            <w:r w:rsidR="00B71474" w:rsidRPr="00B71474">
              <w:rPr>
                <w:rFonts w:eastAsia="Calibri"/>
              </w:rPr>
              <w:t>26 252 448,57</w:t>
            </w:r>
            <w:r w:rsidR="00334A97">
              <w:rPr>
                <w:rFonts w:eastAsia="Calibri"/>
              </w:rPr>
              <w:t xml:space="preserve">  </w:t>
            </w:r>
            <w:r>
              <w:rPr>
                <w:rFonts w:eastAsia="Calibri"/>
              </w:rPr>
              <w:t>EUR</w:t>
            </w:r>
            <w:r w:rsidR="00B71474">
              <w:rPr>
                <w:rFonts w:eastAsia="Calibri"/>
              </w:rPr>
              <w:t xml:space="preserve">   W zaokrągleniu 26 252 449 EUR</w:t>
            </w:r>
          </w:p>
          <w:p w14:paraId="2832B7F0" w14:textId="77777777" w:rsidR="00515880" w:rsidRPr="003A6407" w:rsidRDefault="00515880" w:rsidP="00DF03DB">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3CC7339A" w14:textId="77777777" w:rsidR="00515880" w:rsidRPr="003A6407" w:rsidRDefault="00515880" w:rsidP="00DF03DB">
            <w:pPr>
              <w:numPr>
                <w:ilvl w:val="0"/>
                <w:numId w:val="2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1136460" w14:textId="77777777" w:rsidR="00515880" w:rsidRPr="003A6407" w:rsidRDefault="00515880" w:rsidP="00DF03DB">
            <w:pPr>
              <w:numPr>
                <w:ilvl w:val="0"/>
                <w:numId w:val="2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 przez KE dla danej osi priorytetowej</w:t>
            </w:r>
            <w:r w:rsidRPr="003A6407">
              <w:rPr>
                <w:rFonts w:eastAsia="Calibri" w:cs="Times New Roman"/>
                <w:color w:val="000000"/>
              </w:rPr>
              <w:t>; (istotność: umiarkowana);</w:t>
            </w:r>
          </w:p>
          <w:p w14:paraId="1FFE9104" w14:textId="7724FF4A" w:rsidR="00515880" w:rsidRPr="003A6407" w:rsidRDefault="00515880" w:rsidP="00DF03DB">
            <w:pPr>
              <w:numPr>
                <w:ilvl w:val="0"/>
                <w:numId w:val="2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Ostateczne ustalenia dot. występowania i poziomu pomocy publicznej</w:t>
            </w:r>
            <w:r w:rsidRPr="003A6407">
              <w:rPr>
                <w:rFonts w:eastAsia="Calibri" w:cs="Times New Roman"/>
                <w:color w:val="000000"/>
              </w:rPr>
              <w:t>; (istotność: umiarkowana)</w:t>
            </w:r>
            <w:r w:rsidR="008C4A35">
              <w:rPr>
                <w:rFonts w:eastAsia="Calibri" w:cs="Times New Roman"/>
                <w:color w:val="000000"/>
              </w:rPr>
              <w:t>;</w:t>
            </w:r>
          </w:p>
          <w:p w14:paraId="040E0DA4" w14:textId="77777777" w:rsidR="00515880" w:rsidRPr="003A6407" w:rsidRDefault="00515880" w:rsidP="00DF03DB">
            <w:pPr>
              <w:numPr>
                <w:ilvl w:val="0"/>
                <w:numId w:val="2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Opóźnienia, bądź niewykonanie projektu związane z </w:t>
            </w:r>
            <w:proofErr w:type="spellStart"/>
            <w:r w:rsidRPr="003A6407">
              <w:rPr>
                <w:rFonts w:eastAsia="Calibri" w:cs="Times New Roman"/>
                <w:b/>
                <w:color w:val="000000"/>
              </w:rPr>
              <w:t>z</w:t>
            </w:r>
            <w:proofErr w:type="spellEnd"/>
            <w:r w:rsidRPr="003A6407">
              <w:rPr>
                <w:rFonts w:eastAsia="Calibri" w:cs="Times New Roman"/>
                <w:b/>
                <w:color w:val="000000"/>
              </w:rPr>
              <w:t xml:space="preserve"> trybem konkurencyjnym i brakiem / ograniczonym dostępem do materiałów/surowców/półproduktów, </w:t>
            </w:r>
            <w:proofErr w:type="spellStart"/>
            <w:r w:rsidRPr="003A6407">
              <w:rPr>
                <w:rFonts w:eastAsia="Calibri" w:cs="Times New Roman"/>
                <w:b/>
                <w:color w:val="000000"/>
              </w:rPr>
              <w:t>ect</w:t>
            </w:r>
            <w:proofErr w:type="spellEnd"/>
            <w:r w:rsidRPr="003A6407">
              <w:rPr>
                <w:rFonts w:eastAsia="Calibri" w:cs="Times New Roman"/>
                <w:b/>
                <w:color w:val="000000"/>
              </w:rPr>
              <w:t>.</w:t>
            </w:r>
            <w:r w:rsidRPr="003A6407">
              <w:rPr>
                <w:rFonts w:eastAsia="Calibri" w:cs="Times New Roman"/>
                <w:b/>
                <w:bCs/>
                <w:color w:val="000000"/>
              </w:rPr>
              <w:t xml:space="preserve"> </w:t>
            </w:r>
            <w:r w:rsidRPr="003A6407">
              <w:rPr>
                <w:rFonts w:eastAsia="Calibri" w:cs="Times New Roman"/>
                <w:color w:val="000000"/>
              </w:rPr>
              <w:t>; (istotność: poważna)</w:t>
            </w:r>
          </w:p>
          <w:p w14:paraId="2A2DEF1F" w14:textId="77777777" w:rsidR="00515880" w:rsidRPr="003A6407" w:rsidRDefault="00515880" w:rsidP="00DF03DB">
            <w:pPr>
              <w:numPr>
                <w:ilvl w:val="0"/>
                <w:numId w:val="22"/>
              </w:numPr>
              <w:shd w:val="clear" w:color="auto" w:fill="FFFFFF"/>
              <w:spacing w:before="60" w:after="60" w:line="240" w:lineRule="auto"/>
              <w:jc w:val="both"/>
              <w:rPr>
                <w:rFonts w:eastAsia="Calibri"/>
                <w:color w:val="000000"/>
              </w:rPr>
            </w:pPr>
            <w:r w:rsidRPr="003A6407">
              <w:rPr>
                <w:rFonts w:eastAsia="Calibri"/>
                <w:b/>
                <w:color w:val="000000"/>
              </w:rPr>
              <w:t>Ryzyko wzrostu cen</w:t>
            </w:r>
            <w:r w:rsidRPr="003A6407">
              <w:rPr>
                <w:rFonts w:eastAsia="Calibri"/>
                <w:bCs/>
                <w:color w:val="000000"/>
              </w:rPr>
              <w:t xml:space="preserve"> związane ze wzrostem cen w gospodarce związane głównie ze wzrostem cen energii, gazu, surowców, </w:t>
            </w:r>
            <w:proofErr w:type="spellStart"/>
            <w:r w:rsidRPr="003A6407">
              <w:rPr>
                <w:rFonts w:eastAsia="Calibri"/>
                <w:bCs/>
                <w:color w:val="000000"/>
              </w:rPr>
              <w:t>ect</w:t>
            </w:r>
            <w:proofErr w:type="spellEnd"/>
            <w:r w:rsidRPr="003A6407">
              <w:rPr>
                <w:rFonts w:eastAsia="Calibri"/>
                <w:bCs/>
                <w:color w:val="000000"/>
              </w:rPr>
              <w:t>, oraz poziomem inflacji (istotność: poważna);</w:t>
            </w:r>
          </w:p>
          <w:p w14:paraId="3F3B47FC" w14:textId="77777777" w:rsidR="00515880" w:rsidRPr="003A6407" w:rsidRDefault="00515880" w:rsidP="00DF03DB">
            <w:pPr>
              <w:numPr>
                <w:ilvl w:val="0"/>
                <w:numId w:val="22"/>
              </w:numPr>
              <w:shd w:val="clear" w:color="auto" w:fill="FFFFFF"/>
              <w:spacing w:before="60" w:after="60" w:line="240" w:lineRule="auto"/>
              <w:jc w:val="both"/>
              <w:rPr>
                <w:rFonts w:eastAsia="Calibri"/>
                <w:color w:val="000000"/>
              </w:rPr>
            </w:pPr>
            <w:r w:rsidRPr="003A6407">
              <w:rPr>
                <w:rFonts w:eastAsia="Calibri"/>
                <w:b/>
                <w:bCs/>
                <w:color w:val="000000"/>
              </w:rPr>
              <w:t>Rozwiązane umowy o dofinansowanie</w:t>
            </w:r>
            <w:r w:rsidRPr="003A6407">
              <w:rPr>
                <w:rFonts w:eastAsia="Calibri"/>
                <w:color w:val="000000"/>
              </w:rPr>
              <w:t xml:space="preserve"> realizacji projektu – (istotność: umiarkowana);</w:t>
            </w:r>
          </w:p>
          <w:p w14:paraId="60457293" w14:textId="77777777" w:rsidR="00515880" w:rsidRPr="003A6407" w:rsidRDefault="00515880" w:rsidP="00DF03DB">
            <w:pPr>
              <w:numPr>
                <w:ilvl w:val="0"/>
                <w:numId w:val="22"/>
              </w:numPr>
              <w:shd w:val="clear" w:color="auto" w:fill="FFFFFF"/>
              <w:spacing w:before="60" w:after="60" w:line="240" w:lineRule="auto"/>
              <w:jc w:val="both"/>
              <w:rPr>
                <w:rFonts w:eastAsia="Calibri"/>
                <w:color w:val="000000"/>
              </w:rPr>
            </w:pPr>
            <w:r w:rsidRPr="003A6407">
              <w:rPr>
                <w:rFonts w:eastAsia="Calibri"/>
                <w:b/>
                <w:bCs/>
                <w:color w:val="000000"/>
              </w:rPr>
              <w:t>Problemy z zabezpieczeniem wkładu</w:t>
            </w:r>
            <w:r w:rsidRPr="003A6407">
              <w:rPr>
                <w:rFonts w:eastAsia="Calibri"/>
                <w:color w:val="000000"/>
              </w:rPr>
              <w:t xml:space="preserve"> własnego wnioskodawcy (istotność: poważna);</w:t>
            </w:r>
          </w:p>
          <w:p w14:paraId="78CD5DC0" w14:textId="77777777" w:rsidR="008C4A35" w:rsidRDefault="00515880" w:rsidP="008C4A35">
            <w:pPr>
              <w:numPr>
                <w:ilvl w:val="0"/>
                <w:numId w:val="22"/>
              </w:numPr>
              <w:shd w:val="clear" w:color="auto" w:fill="FFFFFF"/>
              <w:spacing w:before="60" w:after="60" w:line="240" w:lineRule="auto"/>
              <w:jc w:val="both"/>
              <w:rPr>
                <w:rFonts w:eastAsia="Calibri"/>
                <w:color w:val="000000"/>
              </w:rPr>
            </w:pPr>
            <w:r w:rsidRPr="003A6407">
              <w:rPr>
                <w:rFonts w:eastAsia="Calibri"/>
                <w:b/>
                <w:bCs/>
                <w:color w:val="000000"/>
              </w:rPr>
              <w:t>Duplikujące się przedsiębiorstwa</w:t>
            </w:r>
            <w:r w:rsidRPr="003A6407">
              <w:rPr>
                <w:rFonts w:eastAsia="Calibri"/>
                <w:color w:val="000000"/>
              </w:rPr>
              <w:t xml:space="preserve"> - waga ryzyka (istotność: umiarkowana); </w:t>
            </w:r>
          </w:p>
          <w:p w14:paraId="72759ECA" w14:textId="36FE1EDA" w:rsidR="008C4A35" w:rsidRPr="008C4A35" w:rsidRDefault="008C4A35" w:rsidP="008C4A35">
            <w:pPr>
              <w:numPr>
                <w:ilvl w:val="0"/>
                <w:numId w:val="22"/>
              </w:numPr>
              <w:shd w:val="clear" w:color="auto" w:fill="FFFFFF"/>
              <w:spacing w:before="60" w:after="60" w:line="240" w:lineRule="auto"/>
              <w:jc w:val="both"/>
              <w:rPr>
                <w:rFonts w:eastAsia="Calibri"/>
                <w:color w:val="000000"/>
              </w:rPr>
            </w:pPr>
            <w:r w:rsidRPr="00334A97">
              <w:rPr>
                <w:rFonts w:eastAsia="Calibri"/>
                <w:b/>
                <w:bCs/>
                <w:color w:val="000000"/>
              </w:rPr>
              <w:t>Rozwiązane umowy o dofinansowanie realizacji projektu</w:t>
            </w:r>
            <w:r w:rsidRPr="008C4A35">
              <w:rPr>
                <w:rFonts w:eastAsia="Calibri"/>
                <w:color w:val="000000"/>
              </w:rPr>
              <w:t xml:space="preserve"> – (istotność: umiarkowana).</w:t>
            </w:r>
          </w:p>
          <w:p w14:paraId="10A9DABD" w14:textId="77777777" w:rsidR="00515880" w:rsidRPr="003A6407" w:rsidRDefault="00515880" w:rsidP="00DF03DB">
            <w:pPr>
              <w:shd w:val="clear" w:color="auto" w:fill="FFFFFF"/>
              <w:spacing w:before="60" w:after="60" w:line="240" w:lineRule="auto"/>
              <w:jc w:val="both"/>
              <w:rPr>
                <w:rFonts w:eastAsia="Calibri"/>
                <w:color w:val="000000"/>
              </w:rPr>
            </w:pPr>
          </w:p>
        </w:tc>
      </w:tr>
    </w:tbl>
    <w:p w14:paraId="03D87733" w14:textId="77777777" w:rsidR="00515880" w:rsidRDefault="00515880" w:rsidP="00FD5A66">
      <w:pPr>
        <w:rPr>
          <w:rFonts w:eastAsia="Calibri"/>
          <w:b/>
          <w:bCs/>
        </w:rPr>
      </w:pPr>
    </w:p>
    <w:p w14:paraId="7AFF62F6" w14:textId="77777777" w:rsidR="00A177F9" w:rsidRPr="003A6407" w:rsidRDefault="00A177F9" w:rsidP="00FD5A66">
      <w:pPr>
        <w:rPr>
          <w:rFonts w:eastAsia="Calibri"/>
          <w:b/>
          <w:bCs/>
        </w:rPr>
      </w:pPr>
    </w:p>
    <w:p w14:paraId="67011531" w14:textId="568FD54F" w:rsidR="00BB0F80" w:rsidRPr="003A6407" w:rsidRDefault="00BB0F80" w:rsidP="000C4F26">
      <w:pPr>
        <w:pStyle w:val="Nagwek2"/>
      </w:pPr>
      <w:bookmarkStart w:id="70" w:name="_Toc114662360"/>
      <w:bookmarkStart w:id="71" w:name="_Toc120464365"/>
      <w:r w:rsidRPr="003A6407">
        <w:lastRenderedPageBreak/>
        <w:t xml:space="preserve">CEL SZCZEGÓŁOWY: </w:t>
      </w:r>
      <w:bookmarkStart w:id="72" w:name="_Toc97127014"/>
      <w:r w:rsidR="00572DDA" w:rsidRPr="00572DDA">
        <w:t>RSO1.2. Czerpanie korzyści z cyfryzacji dla obywateli, przedsiębiorstw, organizacji badawczych i instytucji publicznych (EFRR)</w:t>
      </w:r>
      <w:bookmarkEnd w:id="70"/>
      <w:bookmarkEnd w:id="71"/>
      <w:bookmarkEnd w:id="72"/>
    </w:p>
    <w:p w14:paraId="2F96ED64" w14:textId="4D1459A3" w:rsidR="00BB0F80" w:rsidRPr="003A6407" w:rsidRDefault="00BB0F80" w:rsidP="00590330">
      <w:pPr>
        <w:pStyle w:val="Nagwek2"/>
        <w:spacing w:after="200"/>
      </w:pPr>
      <w:bookmarkStart w:id="73" w:name="_Toc114662361"/>
      <w:bookmarkStart w:id="74" w:name="_Toc120464366"/>
      <w:r w:rsidRPr="003A6407">
        <w:t>Wskaźniki produktu</w:t>
      </w:r>
      <w:bookmarkEnd w:id="73"/>
      <w:bookmarkEnd w:id="74"/>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2D05E3B4" w14:textId="77777777" w:rsidTr="00716556">
        <w:trPr>
          <w:cantSplit/>
          <w:trHeight w:val="1647"/>
        </w:trPr>
        <w:tc>
          <w:tcPr>
            <w:tcW w:w="451" w:type="pct"/>
            <w:shd w:val="clear" w:color="auto" w:fill="auto"/>
            <w:vAlign w:val="center"/>
          </w:tcPr>
          <w:p w14:paraId="3F28AC57"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16686B23" w14:textId="04147261"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3EE2D5E9"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1F352E54"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563F0875" w14:textId="77777777" w:rsidR="00297ABC" w:rsidRPr="003A6407" w:rsidRDefault="00297ABC" w:rsidP="00716556">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4B345655" w14:textId="1F74A37F"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31E0CEF3"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1870127A"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1E818FC4"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B750394"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03173982" w14:textId="77777777" w:rsidR="00297ABC" w:rsidRPr="003A6407" w:rsidRDefault="00297ABC" w:rsidP="00716556">
            <w:pPr>
              <w:shd w:val="clear" w:color="auto" w:fill="FFFFFF"/>
              <w:spacing w:before="120" w:after="120" w:line="240" w:lineRule="auto"/>
              <w:jc w:val="center"/>
              <w:rPr>
                <w:rFonts w:eastAsia="Calibri" w:cs="Times New Roman"/>
                <w:b/>
                <w:noProof/>
                <w:sz w:val="16"/>
                <w:szCs w:val="16"/>
              </w:rPr>
            </w:pPr>
          </w:p>
        </w:tc>
      </w:tr>
      <w:tr w:rsidR="00297ABC" w:rsidRPr="003A6407" w14:paraId="1FC3BD1C" w14:textId="77777777" w:rsidTr="00716556">
        <w:trPr>
          <w:trHeight w:val="340"/>
        </w:trPr>
        <w:tc>
          <w:tcPr>
            <w:tcW w:w="451" w:type="pct"/>
            <w:shd w:val="clear" w:color="auto" w:fill="auto"/>
            <w:vAlign w:val="center"/>
          </w:tcPr>
          <w:p w14:paraId="6A4EB784" w14:textId="77777777" w:rsidR="00297ABC" w:rsidRDefault="00297ABC"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(ii)</w:t>
            </w:r>
          </w:p>
          <w:p w14:paraId="55FD4210" w14:textId="098DDC86" w:rsidR="00572DDA" w:rsidRPr="003A6407" w:rsidRDefault="00572DDA"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1.2</w:t>
            </w:r>
          </w:p>
        </w:tc>
        <w:tc>
          <w:tcPr>
            <w:tcW w:w="494" w:type="pct"/>
            <w:shd w:val="clear" w:color="auto" w:fill="auto"/>
            <w:vAlign w:val="center"/>
          </w:tcPr>
          <w:p w14:paraId="6FDC5034" w14:textId="77777777" w:rsidR="00297ABC" w:rsidRPr="003A6407" w:rsidRDefault="00297ABC"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71FDC669" w14:textId="77777777" w:rsidR="00297ABC" w:rsidRPr="003A6407" w:rsidRDefault="00297ABC"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2FB19D29" w14:textId="4EAC4178" w:rsidR="00297ABC" w:rsidRPr="003A6407" w:rsidRDefault="006A43CC" w:rsidP="00716556">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RCO14</w:t>
            </w:r>
          </w:p>
        </w:tc>
        <w:tc>
          <w:tcPr>
            <w:tcW w:w="1206" w:type="pct"/>
            <w:shd w:val="clear" w:color="auto" w:fill="auto"/>
            <w:vAlign w:val="center"/>
          </w:tcPr>
          <w:p w14:paraId="4BE700D7" w14:textId="3560B015" w:rsidR="00297ABC" w:rsidRPr="003A6407" w:rsidRDefault="006A43CC" w:rsidP="00716556">
            <w:pPr>
              <w:keepNext/>
              <w:keepLines/>
              <w:spacing w:before="200" w:after="0"/>
              <w:jc w:val="center"/>
              <w:outlineLvl w:val="2"/>
              <w:rPr>
                <w:rFonts w:eastAsia="Times New Roman" w:cs="Times New Roman"/>
                <w:noProof/>
                <w:sz w:val="16"/>
                <w:szCs w:val="16"/>
              </w:rPr>
            </w:pPr>
            <w:bookmarkStart w:id="75" w:name="_Toc120464367"/>
            <w:r w:rsidRPr="003A6407">
              <w:rPr>
                <w:rFonts w:asciiTheme="minorHAnsi" w:eastAsia="Times New Roman" w:hAnsiTheme="minorHAnsi" w:cstheme="minorHAnsi"/>
                <w:bCs/>
                <w:noProof/>
                <w:sz w:val="16"/>
                <w:szCs w:val="16"/>
              </w:rPr>
              <w:t>Instytucje publiczne otrzymujące wsparcie na opracowywanie usług, produktów i procesów cyfrowych</w:t>
            </w:r>
            <w:bookmarkEnd w:id="75"/>
          </w:p>
        </w:tc>
        <w:tc>
          <w:tcPr>
            <w:tcW w:w="884" w:type="pct"/>
            <w:shd w:val="clear" w:color="auto" w:fill="auto"/>
            <w:vAlign w:val="center"/>
          </w:tcPr>
          <w:p w14:paraId="781814DD" w14:textId="41587F8C" w:rsidR="00297ABC" w:rsidRPr="003A6407" w:rsidRDefault="002A1D7D" w:rsidP="00716556">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instytucje publiczne</w:t>
            </w:r>
          </w:p>
        </w:tc>
        <w:tc>
          <w:tcPr>
            <w:tcW w:w="482" w:type="pct"/>
            <w:shd w:val="clear" w:color="auto" w:fill="auto"/>
            <w:vAlign w:val="center"/>
          </w:tcPr>
          <w:p w14:paraId="4EE55D8B" w14:textId="5FE147F3" w:rsidR="00297ABC" w:rsidRPr="003A6407" w:rsidRDefault="00EE369A" w:rsidP="00EE369A">
            <w:pPr>
              <w:shd w:val="clear" w:color="auto" w:fill="FFFFFF"/>
              <w:spacing w:before="120" w:after="120" w:line="240" w:lineRule="auto"/>
              <w:rPr>
                <w:rFonts w:eastAsia="Calibri" w:cs="Times New Roman"/>
                <w:noProof/>
                <w:sz w:val="16"/>
                <w:szCs w:val="16"/>
              </w:rPr>
            </w:pPr>
            <w:r>
              <w:rPr>
                <w:rFonts w:eastAsia="Calibri" w:cs="Times New Roman"/>
                <w:noProof/>
                <w:sz w:val="16"/>
                <w:szCs w:val="16"/>
              </w:rPr>
              <w:t>0</w:t>
            </w:r>
            <w:r w:rsidR="00890103" w:rsidRPr="003A6407">
              <w:rPr>
                <w:rFonts w:eastAsia="Calibri" w:cs="Times New Roman"/>
                <w:noProof/>
                <w:sz w:val="16"/>
                <w:szCs w:val="16"/>
              </w:rPr>
              <w:t>,00</w:t>
            </w:r>
          </w:p>
        </w:tc>
        <w:tc>
          <w:tcPr>
            <w:tcW w:w="502" w:type="pct"/>
            <w:shd w:val="clear" w:color="auto" w:fill="auto"/>
            <w:vAlign w:val="center"/>
          </w:tcPr>
          <w:p w14:paraId="50426FB1" w14:textId="5EB5BBE4" w:rsidR="00297ABC" w:rsidRPr="003A6407" w:rsidRDefault="00676111" w:rsidP="00676111">
            <w:pPr>
              <w:spacing w:after="0" w:line="240" w:lineRule="auto"/>
              <w:rPr>
                <w:rFonts w:eastAsia="Calibri"/>
                <w:noProof/>
                <w:sz w:val="16"/>
                <w:szCs w:val="16"/>
              </w:rPr>
            </w:pPr>
            <w:r>
              <w:rPr>
                <w:rFonts w:eastAsia="Calibri"/>
                <w:noProof/>
                <w:sz w:val="16"/>
                <w:szCs w:val="16"/>
              </w:rPr>
              <w:t>53</w:t>
            </w:r>
            <w:r w:rsidR="00716556" w:rsidRPr="003A6407">
              <w:rPr>
                <w:rFonts w:eastAsia="Calibri"/>
                <w:noProof/>
                <w:sz w:val="16"/>
                <w:szCs w:val="16"/>
              </w:rPr>
              <w:t>,00</w:t>
            </w:r>
          </w:p>
        </w:tc>
      </w:tr>
      <w:tr w:rsidR="00297ABC" w:rsidRPr="003A6407" w14:paraId="3AE13D3C" w14:textId="77777777" w:rsidTr="00175EA5">
        <w:trPr>
          <w:trHeight w:val="340"/>
        </w:trPr>
        <w:tc>
          <w:tcPr>
            <w:tcW w:w="5000" w:type="pct"/>
            <w:gridSpan w:val="8"/>
            <w:shd w:val="clear" w:color="auto" w:fill="auto"/>
          </w:tcPr>
          <w:p w14:paraId="333A8C8D" w14:textId="77777777" w:rsidR="00297ABC" w:rsidRPr="003A6407" w:rsidRDefault="00297ABC" w:rsidP="00270B09">
            <w:pPr>
              <w:shd w:val="clear" w:color="auto" w:fill="FFFFFF"/>
              <w:spacing w:before="60" w:after="60" w:line="240" w:lineRule="auto"/>
              <w:jc w:val="both"/>
              <w:rPr>
                <w:rFonts w:eastAsia="Calibri"/>
              </w:rPr>
            </w:pPr>
          </w:p>
          <w:p w14:paraId="682ECB98" w14:textId="77777777" w:rsidR="00297ABC" w:rsidRPr="003A6407" w:rsidRDefault="00297ABC" w:rsidP="00270B09">
            <w:pPr>
              <w:shd w:val="clear" w:color="auto" w:fill="FFFFFF"/>
              <w:spacing w:before="60" w:after="60" w:line="240" w:lineRule="auto"/>
              <w:jc w:val="both"/>
              <w:rPr>
                <w:rFonts w:eastAsia="Calibri"/>
              </w:rPr>
            </w:pPr>
            <w:r w:rsidRPr="003A6407">
              <w:rPr>
                <w:rFonts w:eastAsia="Calibri"/>
              </w:rPr>
              <w:t>Metodologia:</w:t>
            </w:r>
          </w:p>
          <w:p w14:paraId="66458645" w14:textId="77777777" w:rsidR="00297ABC" w:rsidRPr="003A6407" w:rsidRDefault="00297ABC" w:rsidP="00270B09">
            <w:pPr>
              <w:shd w:val="clear" w:color="auto" w:fill="FFFFFF"/>
              <w:spacing w:before="60" w:after="60" w:line="240" w:lineRule="auto"/>
              <w:jc w:val="both"/>
              <w:rPr>
                <w:rFonts w:eastAsia="Calibri"/>
              </w:rPr>
            </w:pPr>
            <w:r w:rsidRPr="003A6407">
              <w:rPr>
                <w:rFonts w:eastAsia="Calibri"/>
              </w:rPr>
              <w:t>Wskaźnik realizuje kod interwencji:</w:t>
            </w:r>
          </w:p>
          <w:p w14:paraId="143CEF2B" w14:textId="7CF60340" w:rsidR="00297ABC" w:rsidRPr="003A6407" w:rsidRDefault="00297ABC" w:rsidP="00297ABC">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016 Rozwiązania TIK, usługi elektroniczne, aplikacje dla administracji </w:t>
            </w:r>
            <w:r w:rsidR="0057313F">
              <w:rPr>
                <w:rFonts w:eastAsia="Calibri" w:cs="Times New Roman"/>
              </w:rPr>
              <w:t xml:space="preserve">w sumie z kodem 017 </w:t>
            </w:r>
            <w:r w:rsidR="0057313F" w:rsidRPr="0057313F">
              <w:rPr>
                <w:rFonts w:eastAsia="Calibri" w:cs="Times New Roman"/>
              </w:rPr>
              <w:t>Rozwiązania TIK, usługi elektroniczne, aplikacje dla administracji zgodne z kryteriami redukcji emisji gazów cieplarnianych lub kryteriami efektywności energetycznej</w:t>
            </w:r>
            <w:r w:rsidR="0057313F">
              <w:rPr>
                <w:rFonts w:eastAsia="Calibri" w:cs="Times New Roman"/>
              </w:rPr>
              <w:t xml:space="preserve"> </w:t>
            </w:r>
            <w:r w:rsidRPr="003A6407">
              <w:rPr>
                <w:rFonts w:eastAsia="Calibri" w:cs="Times New Roman"/>
              </w:rPr>
              <w:t>(</w:t>
            </w:r>
            <w:r w:rsidR="00676111" w:rsidRPr="00676111">
              <w:rPr>
                <w:rFonts w:eastAsia="Calibri" w:cs="Times New Roman"/>
              </w:rPr>
              <w:t>25 078 162</w:t>
            </w:r>
            <w:r w:rsidRPr="003A6407">
              <w:rPr>
                <w:rFonts w:eastAsia="Calibri" w:cs="Times New Roman"/>
              </w:rPr>
              <w:t>,00 EUR);</w:t>
            </w:r>
          </w:p>
          <w:p w14:paraId="2E6AD222" w14:textId="1C75347B" w:rsidR="00297ABC" w:rsidRPr="003A6407" w:rsidRDefault="00297ABC" w:rsidP="00270B09">
            <w:pPr>
              <w:shd w:val="clear" w:color="auto" w:fill="FFFFFF"/>
              <w:spacing w:before="60" w:after="60" w:line="240" w:lineRule="auto"/>
              <w:jc w:val="both"/>
              <w:rPr>
                <w:rFonts w:eastAsia="Calibri"/>
              </w:rPr>
            </w:pPr>
          </w:p>
          <w:p w14:paraId="530C3CCA" w14:textId="44A1268B" w:rsidR="00297ABC" w:rsidRPr="003A6407" w:rsidRDefault="00297ABC" w:rsidP="00270B09">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676111" w:rsidRPr="00676111">
              <w:rPr>
                <w:rFonts w:eastAsia="Calibri"/>
              </w:rPr>
              <w:t>111 597 820,9</w:t>
            </w:r>
            <w:r w:rsidRPr="003A6407">
              <w:rPr>
                <w:rFonts w:eastAsia="Calibri"/>
              </w:rPr>
              <w:t xml:space="preserve">PLN - 7% kosztów pośrednich = </w:t>
            </w:r>
            <w:r w:rsidR="00676111" w:rsidRPr="00676111">
              <w:rPr>
                <w:rFonts w:eastAsia="Calibri"/>
              </w:rPr>
              <w:t>103 785 973</w:t>
            </w:r>
            <w:r w:rsidRPr="003A6407">
              <w:rPr>
                <w:rFonts w:eastAsia="Calibri"/>
              </w:rPr>
              <w:t>PLN</w:t>
            </w:r>
          </w:p>
          <w:p w14:paraId="1784F471" w14:textId="77777777" w:rsidR="00297ABC" w:rsidRPr="003A6407" w:rsidRDefault="00297ABC" w:rsidP="00270B09">
            <w:pPr>
              <w:shd w:val="clear" w:color="auto" w:fill="FFFFFF"/>
              <w:spacing w:before="60" w:after="60" w:line="240" w:lineRule="auto"/>
              <w:jc w:val="both"/>
              <w:rPr>
                <w:rFonts w:eastAsia="Calibri"/>
              </w:rPr>
            </w:pPr>
          </w:p>
          <w:p w14:paraId="62A24B78" w14:textId="1FCA72AF" w:rsidR="00297ABC" w:rsidRPr="003A6407" w:rsidRDefault="00297ABC" w:rsidP="00270B09">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006A43CC" w:rsidRPr="003A6407">
              <w:rPr>
                <w:rFonts w:eastAsia="Calibri"/>
              </w:rPr>
              <w:t xml:space="preserve">1 323 673,03 </w:t>
            </w:r>
            <w:r w:rsidRPr="003A6407">
              <w:rPr>
                <w:rFonts w:eastAsia="Calibri"/>
              </w:rPr>
              <w:t xml:space="preserve">PLN. Koszt jednostkowy został skorygowany w oparciu o wartość inflacji na poziomie 15% i wynosi </w:t>
            </w:r>
            <w:r w:rsidR="00635754" w:rsidRPr="003A6407">
              <w:rPr>
                <w:rFonts w:eastAsia="Calibri"/>
              </w:rPr>
              <w:t xml:space="preserve">1 522 223,99 </w:t>
            </w:r>
            <w:r w:rsidRPr="003A6407">
              <w:rPr>
                <w:rFonts w:eastAsia="Calibri"/>
              </w:rPr>
              <w:t xml:space="preserve">PLN , uwzględniając dofinansowanie na poziomie 70% wynosi  </w:t>
            </w:r>
            <w:r w:rsidR="00635754" w:rsidRPr="003A6407">
              <w:rPr>
                <w:rFonts w:eastAsia="Calibri"/>
              </w:rPr>
              <w:t>1 065 55</w:t>
            </w:r>
            <w:r w:rsidR="00676111">
              <w:rPr>
                <w:rFonts w:eastAsia="Calibri"/>
              </w:rPr>
              <w:t>7</w:t>
            </w:r>
            <w:r w:rsidR="00635754" w:rsidRPr="003A6407">
              <w:rPr>
                <w:rFonts w:eastAsia="Calibri"/>
              </w:rPr>
              <w:t xml:space="preserve"> </w:t>
            </w:r>
            <w:r w:rsidRPr="003A6407">
              <w:rPr>
                <w:rFonts w:eastAsia="Calibri"/>
              </w:rPr>
              <w:t>PLN</w:t>
            </w:r>
            <w:r w:rsidR="00B40ECB">
              <w:rPr>
                <w:rFonts w:eastAsia="Calibri"/>
              </w:rPr>
              <w:t xml:space="preserve"> (w zaokrągleniu do pełnych PLN)</w:t>
            </w:r>
            <w:r w:rsidRPr="003A6407">
              <w:rPr>
                <w:rFonts w:eastAsia="Calibri"/>
              </w:rPr>
              <w:t xml:space="preserve">.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0736322F" w14:textId="349E5F25" w:rsidR="00297ABC" w:rsidRPr="003A6407" w:rsidRDefault="00676111" w:rsidP="00270B09">
            <w:pPr>
              <w:spacing w:before="60" w:after="60" w:line="240" w:lineRule="auto"/>
              <w:jc w:val="both"/>
              <w:rPr>
                <w:rFonts w:eastAsia="Calibri"/>
              </w:rPr>
            </w:pPr>
            <w:r>
              <w:rPr>
                <w:rFonts w:eastAsia="Calibri"/>
              </w:rPr>
              <w:t xml:space="preserve">R </w:t>
            </w:r>
            <w:r w:rsidR="00E850D2" w:rsidRPr="003A6407">
              <w:rPr>
                <w:rFonts w:eastAsia="Calibri"/>
              </w:rPr>
              <w:t>= [(3*25)+(5*68)+(1*3)]/9=46</w:t>
            </w:r>
            <w:r w:rsidR="00EE1C2D" w:rsidRPr="003A6407">
              <w:rPr>
                <w:rFonts w:eastAsia="Calibri"/>
              </w:rPr>
              <w:t>,4444</w:t>
            </w:r>
            <w:r w:rsidR="00297ABC" w:rsidRPr="003A6407">
              <w:rPr>
                <w:rFonts w:eastAsia="Calibri"/>
              </w:rPr>
              <w:t xml:space="preserve">= </w:t>
            </w:r>
            <w:r w:rsidR="00EE1C2D" w:rsidRPr="003A6407">
              <w:rPr>
                <w:rFonts w:eastAsia="Calibri"/>
              </w:rPr>
              <w:t>46</w:t>
            </w:r>
            <w:r w:rsidR="00412D9C" w:rsidRPr="003A6407">
              <w:rPr>
                <w:rFonts w:eastAsia="Calibri"/>
              </w:rPr>
              <w:t>%</w:t>
            </w:r>
            <w:r w:rsidR="00297ABC" w:rsidRPr="003A6407">
              <w:rPr>
                <w:rFonts w:eastAsia="Calibri"/>
              </w:rPr>
              <w:t xml:space="preserve">. Wartość zaokrąglono do pełnej wartości </w:t>
            </w:r>
            <w:r>
              <w:rPr>
                <w:rFonts w:eastAsia="Calibri"/>
              </w:rPr>
              <w:t>46</w:t>
            </w:r>
            <w:r w:rsidR="00297ABC" w:rsidRPr="003A6407">
              <w:rPr>
                <w:rFonts w:eastAsia="Calibri"/>
              </w:rPr>
              <w:t xml:space="preserve">%. </w:t>
            </w:r>
          </w:p>
          <w:p w14:paraId="452FE4A7" w14:textId="77777777" w:rsidR="00297ABC" w:rsidRPr="003A6407" w:rsidRDefault="00297ABC" w:rsidP="00270B09">
            <w:pPr>
              <w:shd w:val="clear" w:color="auto" w:fill="FFFFFF"/>
              <w:spacing w:before="60" w:after="60" w:line="240" w:lineRule="auto"/>
              <w:jc w:val="both"/>
              <w:rPr>
                <w:rFonts w:eastAsia="Calibri"/>
              </w:rPr>
            </w:pPr>
          </w:p>
          <w:p w14:paraId="5963C19E" w14:textId="77777777" w:rsidR="00297ABC" w:rsidRPr="003A6407" w:rsidRDefault="00297ABC" w:rsidP="00270B09">
            <w:pPr>
              <w:shd w:val="clear" w:color="auto" w:fill="FFFFFF"/>
              <w:spacing w:before="60" w:after="60" w:line="240" w:lineRule="auto"/>
              <w:jc w:val="both"/>
              <w:rPr>
                <w:rFonts w:eastAsia="Calibri"/>
              </w:rPr>
            </w:pPr>
            <w:r w:rsidRPr="003A6407">
              <w:rPr>
                <w:rFonts w:eastAsia="Calibri"/>
              </w:rPr>
              <w:t>Wyliczenie:</w:t>
            </w:r>
          </w:p>
          <w:p w14:paraId="6307BA44" w14:textId="369A772A" w:rsidR="00297ABC" w:rsidRPr="003A6407" w:rsidRDefault="00676111" w:rsidP="00270B09">
            <w:pPr>
              <w:shd w:val="clear" w:color="auto" w:fill="FFFFFF"/>
              <w:spacing w:before="60" w:after="60" w:line="240" w:lineRule="auto"/>
              <w:jc w:val="both"/>
              <w:rPr>
                <w:rFonts w:eastAsia="Calibri"/>
              </w:rPr>
            </w:pPr>
            <w:r>
              <w:rPr>
                <w:rFonts w:eastAsia="Calibri"/>
              </w:rPr>
              <w:t>103 785 973</w:t>
            </w:r>
            <w:r w:rsidR="00FA3105" w:rsidRPr="003A6407">
              <w:rPr>
                <w:rFonts w:eastAsia="Calibri"/>
              </w:rPr>
              <w:t xml:space="preserve"> </w:t>
            </w:r>
            <w:r w:rsidR="00297ABC" w:rsidRPr="003A6407">
              <w:rPr>
                <w:rFonts w:eastAsia="Calibri"/>
              </w:rPr>
              <w:t xml:space="preserve">/  </w:t>
            </w:r>
            <w:r>
              <w:rPr>
                <w:rFonts w:eastAsia="Calibri"/>
              </w:rPr>
              <w:t>1 065 557</w:t>
            </w:r>
            <w:r w:rsidR="002E7674" w:rsidRPr="003A6407">
              <w:rPr>
                <w:rFonts w:eastAsia="Calibri"/>
              </w:rPr>
              <w:t xml:space="preserve"> </w:t>
            </w:r>
            <w:r w:rsidR="00297ABC" w:rsidRPr="003A6407">
              <w:rPr>
                <w:rFonts w:eastAsia="Calibri"/>
              </w:rPr>
              <w:t>* (1-0,</w:t>
            </w:r>
            <w:r w:rsidR="00EE1C2D" w:rsidRPr="003A6407">
              <w:rPr>
                <w:rFonts w:eastAsia="Calibri"/>
              </w:rPr>
              <w:t>46</w:t>
            </w:r>
            <w:r w:rsidR="00297ABC" w:rsidRPr="003A6407">
              <w:rPr>
                <w:rFonts w:eastAsia="Calibri"/>
              </w:rPr>
              <w:t>) =</w:t>
            </w:r>
            <w:r>
              <w:rPr>
                <w:rFonts w:eastAsia="Calibri"/>
              </w:rPr>
              <w:t xml:space="preserve"> 53</w:t>
            </w:r>
            <w:r w:rsidR="00297ABC" w:rsidRPr="003A6407">
              <w:rPr>
                <w:rFonts w:eastAsia="Calibri"/>
              </w:rPr>
              <w:t xml:space="preserve"> szt.</w:t>
            </w:r>
          </w:p>
          <w:p w14:paraId="3A81A3D0" w14:textId="77777777" w:rsidR="00297ABC" w:rsidRPr="003A6407" w:rsidRDefault="00297ABC" w:rsidP="00270B09">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1A7625A0" w14:textId="77777777" w:rsidR="00297ABC" w:rsidRPr="003A6407" w:rsidRDefault="00297ABC" w:rsidP="00297ABC">
            <w:pPr>
              <w:numPr>
                <w:ilvl w:val="0"/>
                <w:numId w:val="1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18E3468" w14:textId="77777777" w:rsidR="00297ABC" w:rsidRPr="003A6407" w:rsidRDefault="00297ABC" w:rsidP="00297ABC">
            <w:pPr>
              <w:numPr>
                <w:ilvl w:val="0"/>
                <w:numId w:val="1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zmieniającej się ceny</w:t>
            </w:r>
            <w:r w:rsidRPr="003A6407">
              <w:rPr>
                <w:rFonts w:eastAsia="Calibri" w:cs="Times New Roman"/>
                <w:color w:val="000000"/>
              </w:rPr>
              <w:t xml:space="preserve"> związane z szybką zmianą technologiczną w IT; (istotność: poważna);</w:t>
            </w:r>
          </w:p>
          <w:p w14:paraId="077D45FD" w14:textId="77777777" w:rsidR="00297ABC" w:rsidRPr="003A6407" w:rsidRDefault="00297ABC" w:rsidP="00297ABC">
            <w:pPr>
              <w:numPr>
                <w:ilvl w:val="0"/>
                <w:numId w:val="19"/>
              </w:numPr>
              <w:shd w:val="clear" w:color="auto" w:fill="FFFFFF"/>
              <w:spacing w:before="60" w:after="60" w:line="240" w:lineRule="auto"/>
              <w:contextualSpacing/>
              <w:jc w:val="both"/>
              <w:rPr>
                <w:rFonts w:eastAsia="Calibri" w:cs="Times New Roman"/>
                <w:color w:val="000000"/>
              </w:rPr>
            </w:pPr>
            <w:r w:rsidRPr="003A6407">
              <w:rPr>
                <w:rFonts w:eastAsia="Calibri" w:cs="Times New Roman"/>
                <w:bCs/>
                <w:color w:val="000000"/>
              </w:rPr>
              <w:t>ryzyko wzrostu ceny</w:t>
            </w:r>
            <w:r w:rsidRPr="003A6407">
              <w:rPr>
                <w:rFonts w:eastAsia="Calibri" w:cs="Times New Roman"/>
              </w:rPr>
              <w:t xml:space="preserve"> </w:t>
            </w:r>
            <w:r w:rsidRPr="003A6407">
              <w:rPr>
                <w:rFonts w:eastAsia="Calibri" w:cs="Times New Roman"/>
                <w:bCs/>
                <w:color w:val="000000"/>
              </w:rPr>
              <w:t xml:space="preserve">związane ze wzrostem cen w gospodarce związane głównie ze wzrostem cen usług,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w:t>
            </w:r>
            <w:r w:rsidRPr="003A6407">
              <w:rPr>
                <w:rFonts w:eastAsia="Calibri" w:cs="Times New Roman"/>
                <w:color w:val="000000"/>
              </w:rPr>
              <w:t xml:space="preserve"> (istotność: poważna); </w:t>
            </w:r>
          </w:p>
          <w:p w14:paraId="6BF2A3F8" w14:textId="77777777" w:rsidR="00297ABC" w:rsidRPr="003A6407" w:rsidRDefault="00297ABC" w:rsidP="00297ABC">
            <w:pPr>
              <w:numPr>
                <w:ilvl w:val="0"/>
                <w:numId w:val="1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 przez KE dla danej osi priorytetowej</w:t>
            </w:r>
            <w:r w:rsidRPr="003A6407">
              <w:rPr>
                <w:rFonts w:eastAsia="Calibri" w:cs="Times New Roman"/>
                <w:color w:val="000000"/>
              </w:rPr>
              <w:t>; (istotność: umiarkowana);</w:t>
            </w:r>
          </w:p>
          <w:p w14:paraId="56894F9D" w14:textId="77777777" w:rsidR="00297ABC" w:rsidRPr="003A6407" w:rsidRDefault="00297ABC" w:rsidP="00297ABC">
            <w:pPr>
              <w:numPr>
                <w:ilvl w:val="0"/>
                <w:numId w:val="1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 xml:space="preserve">Opóźnienia, </w:t>
            </w:r>
            <w:r w:rsidRPr="003A6407">
              <w:rPr>
                <w:rFonts w:eastAsia="Calibri" w:cs="Times New Roman"/>
                <w:color w:val="000000"/>
              </w:rPr>
              <w:t>bądź niewykonanie projektu związane z procedurami wynikającymi z zamówień publicznych; (istotność: poważna);</w:t>
            </w:r>
          </w:p>
          <w:p w14:paraId="6CC010E0" w14:textId="77777777" w:rsidR="00297ABC" w:rsidRPr="003A6407" w:rsidRDefault="00297ABC" w:rsidP="00297ABC">
            <w:pPr>
              <w:numPr>
                <w:ilvl w:val="0"/>
                <w:numId w:val="1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Brak zainteresowania oferowanym wsparciem</w:t>
            </w:r>
            <w:r w:rsidRPr="003A6407">
              <w:rPr>
                <w:rFonts w:eastAsia="Calibri" w:cs="Times New Roman"/>
                <w:color w:val="000000"/>
              </w:rPr>
              <w:t xml:space="preserve"> ze względu na oferowane na rynku inne źródła wsparcia dotyczące IT; (istotność: poważna );</w:t>
            </w:r>
          </w:p>
          <w:p w14:paraId="1F544F39" w14:textId="77777777" w:rsidR="00297ABC" w:rsidRPr="003A6407" w:rsidRDefault="00297ABC" w:rsidP="00297ABC">
            <w:pPr>
              <w:numPr>
                <w:ilvl w:val="0"/>
                <w:numId w:val="19"/>
              </w:numPr>
              <w:contextualSpacing/>
              <w:rPr>
                <w:rFonts w:eastAsia="Calibri" w:cs="Times New Roman"/>
                <w:color w:val="000000"/>
              </w:rPr>
            </w:pPr>
            <w:r w:rsidRPr="003A6407">
              <w:rPr>
                <w:rFonts w:eastAsia="Calibri" w:cs="Times New Roman"/>
                <w:b/>
                <w:bCs/>
                <w:color w:val="000000"/>
              </w:rPr>
              <w:t>Opóźnienia, bądź niewykonanie projektu związane z problemem zabezpieczenia wkładu</w:t>
            </w:r>
            <w:r w:rsidRPr="003A6407">
              <w:rPr>
                <w:rFonts w:eastAsia="Calibri" w:cs="Times New Roman"/>
                <w:color w:val="000000"/>
              </w:rPr>
              <w:t xml:space="preserve"> własnego wnioskodawcy (istotność: poważna);</w:t>
            </w:r>
          </w:p>
          <w:p w14:paraId="006FFC47" w14:textId="44AABCEA" w:rsidR="00297ABC" w:rsidRPr="003A6407" w:rsidRDefault="00297ABC" w:rsidP="00297ABC">
            <w:pPr>
              <w:numPr>
                <w:ilvl w:val="0"/>
                <w:numId w:val="19"/>
              </w:numPr>
              <w:contextualSpacing/>
              <w:rPr>
                <w:rFonts w:eastAsia="Calibri" w:cs="Times New Roman"/>
                <w:color w:val="000000"/>
              </w:rPr>
            </w:pPr>
            <w:r w:rsidRPr="003A6407">
              <w:rPr>
                <w:rFonts w:eastAsia="Calibri" w:cs="Times New Roman"/>
                <w:b/>
                <w:bCs/>
                <w:color w:val="000000"/>
              </w:rPr>
              <w:lastRenderedPageBreak/>
              <w:t>Rozwiązane umowy o dofinansowanie</w:t>
            </w:r>
            <w:r w:rsidRPr="003A6407">
              <w:rPr>
                <w:rFonts w:eastAsia="Calibri" w:cs="Times New Roman"/>
                <w:color w:val="000000"/>
              </w:rPr>
              <w:t xml:space="preserve"> realizacji projektu – (istotność: umiarkowana).</w:t>
            </w:r>
          </w:p>
          <w:p w14:paraId="688D29E0" w14:textId="30D26FBD" w:rsidR="00626504" w:rsidRPr="003A6407" w:rsidRDefault="00960550" w:rsidP="00297ABC">
            <w:pPr>
              <w:numPr>
                <w:ilvl w:val="0"/>
                <w:numId w:val="19"/>
              </w:numPr>
              <w:contextualSpacing/>
              <w:rPr>
                <w:rFonts w:eastAsia="Calibri" w:cs="Times New Roman"/>
                <w:color w:val="000000"/>
              </w:rPr>
            </w:pPr>
            <w:r w:rsidRPr="003A6407">
              <w:rPr>
                <w:rFonts w:eastAsia="Calibri" w:cs="Times New Roman"/>
                <w:color w:val="000000"/>
              </w:rPr>
              <w:t xml:space="preserve">Ryzyko </w:t>
            </w:r>
            <w:r w:rsidR="00626504" w:rsidRPr="003A6407">
              <w:rPr>
                <w:rFonts w:eastAsia="Calibri" w:cs="Times New Roman"/>
                <w:color w:val="000000"/>
              </w:rPr>
              <w:t xml:space="preserve">dot. </w:t>
            </w:r>
            <w:r w:rsidR="00E850D2" w:rsidRPr="003A6407">
              <w:rPr>
                <w:rFonts w:eastAsia="Calibri" w:cs="Times New Roman"/>
                <w:color w:val="000000"/>
              </w:rPr>
              <w:t xml:space="preserve">przyjętego </w:t>
            </w:r>
            <w:r w:rsidR="00626504" w:rsidRPr="003A6407">
              <w:rPr>
                <w:rFonts w:eastAsia="Calibri" w:cs="Times New Roman"/>
                <w:color w:val="000000"/>
              </w:rPr>
              <w:t xml:space="preserve">kosztu jednostkowego, </w:t>
            </w:r>
            <w:r w:rsidRPr="003A6407">
              <w:rPr>
                <w:rFonts w:eastAsia="Calibri" w:cs="Times New Roman"/>
                <w:color w:val="000000"/>
              </w:rPr>
              <w:t>wynikające z odmienn</w:t>
            </w:r>
            <w:r w:rsidR="00626504" w:rsidRPr="003A6407">
              <w:rPr>
                <w:rFonts w:eastAsia="Calibri" w:cs="Times New Roman"/>
                <w:color w:val="000000"/>
              </w:rPr>
              <w:t>ej</w:t>
            </w:r>
            <w:r w:rsidR="00E850D2" w:rsidRPr="003A6407">
              <w:rPr>
                <w:rFonts w:eastAsia="Calibri" w:cs="Times New Roman"/>
                <w:color w:val="000000"/>
              </w:rPr>
              <w:t xml:space="preserve"> – szerszej,</w:t>
            </w:r>
            <w:r w:rsidRPr="003A6407">
              <w:rPr>
                <w:rFonts w:eastAsia="Calibri" w:cs="Times New Roman"/>
                <w:color w:val="000000"/>
              </w:rPr>
              <w:t xml:space="preserve"> </w:t>
            </w:r>
            <w:r w:rsidR="00626504" w:rsidRPr="003A6407">
              <w:rPr>
                <w:rFonts w:eastAsia="Calibri" w:cs="Times New Roman"/>
                <w:color w:val="000000"/>
              </w:rPr>
              <w:t>definicji wskaźnika z perspektywy 2014-2020</w:t>
            </w:r>
            <w:r w:rsidR="00E472F6" w:rsidRPr="003A6407">
              <w:rPr>
                <w:rFonts w:eastAsia="Calibri" w:cs="Times New Roman"/>
                <w:color w:val="000000"/>
              </w:rPr>
              <w:t xml:space="preserve"> (Liczba urzędów, które wdrożyły katalog rekomendacji dotyczących awansu cyfrowego)</w:t>
            </w:r>
            <w:r w:rsidR="00626504" w:rsidRPr="003A6407">
              <w:rPr>
                <w:rFonts w:eastAsia="Calibri" w:cs="Times New Roman"/>
                <w:color w:val="000000"/>
              </w:rPr>
              <w:t xml:space="preserve">, na podstawie którego wyliczano historyczny koszt jednostkowy, przyjęty w </w:t>
            </w:r>
            <w:r w:rsidR="00E850D2" w:rsidRPr="003A6407">
              <w:rPr>
                <w:rFonts w:eastAsia="Calibri" w:cs="Times New Roman"/>
                <w:color w:val="000000"/>
              </w:rPr>
              <w:t xml:space="preserve">niniejszej </w:t>
            </w:r>
            <w:r w:rsidR="00626504" w:rsidRPr="003A6407">
              <w:rPr>
                <w:rFonts w:eastAsia="Calibri" w:cs="Times New Roman"/>
                <w:color w:val="000000"/>
              </w:rPr>
              <w:t>metodologii</w:t>
            </w:r>
            <w:r w:rsidR="00E850D2" w:rsidRPr="003A6407">
              <w:rPr>
                <w:rFonts w:eastAsia="Calibri" w:cs="Times New Roman"/>
                <w:color w:val="000000"/>
              </w:rPr>
              <w:t xml:space="preserve"> (istotność: niska).</w:t>
            </w:r>
          </w:p>
          <w:p w14:paraId="651E24B6" w14:textId="7457D4D7" w:rsidR="00960550" w:rsidRPr="003A6407" w:rsidRDefault="00960550" w:rsidP="00626504">
            <w:pPr>
              <w:ind w:left="720"/>
              <w:contextualSpacing/>
              <w:rPr>
                <w:rFonts w:eastAsia="Calibri" w:cs="Times New Roman"/>
                <w:color w:val="000000"/>
              </w:rPr>
            </w:pPr>
            <w:r w:rsidRPr="003A6407">
              <w:rPr>
                <w:rFonts w:eastAsia="Calibri" w:cs="Times New Roman"/>
                <w:b/>
                <w:bCs/>
                <w:color w:val="000000"/>
              </w:rPr>
              <w:t xml:space="preserve"> </w:t>
            </w:r>
          </w:p>
          <w:p w14:paraId="632DD69B" w14:textId="77777777" w:rsidR="00297ABC" w:rsidRPr="003A6407" w:rsidRDefault="00297ABC" w:rsidP="003C5712">
            <w:pPr>
              <w:shd w:val="clear" w:color="auto" w:fill="FFFFFF"/>
              <w:spacing w:before="60" w:after="60" w:line="240" w:lineRule="auto"/>
              <w:contextualSpacing/>
              <w:jc w:val="both"/>
              <w:rPr>
                <w:rFonts w:eastAsia="Calibri" w:cs="Times New Roman"/>
                <w:b/>
                <w:bCs/>
                <w:color w:val="000000"/>
              </w:rPr>
            </w:pPr>
            <w:r w:rsidRPr="003A6407">
              <w:rPr>
                <w:rFonts w:eastAsia="Calibri" w:cs="Times New Roman"/>
                <w:b/>
                <w:bCs/>
                <w:color w:val="000000"/>
              </w:rPr>
              <w:t>Uzasadnienie celu pośredniego:</w:t>
            </w:r>
          </w:p>
          <w:p w14:paraId="7AA9A974" w14:textId="25E69562" w:rsidR="008D78C5" w:rsidRPr="003A6407" w:rsidRDefault="008D78C5" w:rsidP="00412D9C">
            <w:pPr>
              <w:contextualSpacing/>
              <w:jc w:val="both"/>
              <w:rPr>
                <w:rFonts w:eastAsia="Calibri" w:cs="Times New Roman"/>
                <w:b/>
                <w:bCs/>
                <w:color w:val="000000"/>
              </w:rPr>
            </w:pPr>
            <w:r w:rsidRPr="003A6407">
              <w:rPr>
                <w:rFonts w:eastAsia="Calibri" w:cs="Times New Roman"/>
                <w:b/>
                <w:bCs/>
                <w:color w:val="000000"/>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2c ), na podstawie sprawozdania rocznego z 2021 r. - wskaźnik pn. </w:t>
            </w:r>
            <w:r w:rsidR="00E472F6" w:rsidRPr="003A6407">
              <w:rPr>
                <w:rFonts w:eastAsia="Calibri" w:cs="Times New Roman"/>
                <w:b/>
                <w:bCs/>
                <w:color w:val="000000"/>
              </w:rPr>
              <w:t xml:space="preserve">Liczba urzędów, które wdrożyły katalog rekomendacji dotyczących awansu cyfrowego </w:t>
            </w:r>
            <w:r w:rsidRPr="003A6407">
              <w:rPr>
                <w:rFonts w:eastAsia="Calibri" w:cs="Times New Roman"/>
                <w:b/>
                <w:bCs/>
                <w:color w:val="000000"/>
              </w:rPr>
              <w:t>w 2017 r. osiągnął wartość 0 co wobec wartości z wykonania na 2021 r. (</w:t>
            </w:r>
            <w:r w:rsidR="00E472F6" w:rsidRPr="003A6407">
              <w:rPr>
                <w:rFonts w:eastAsia="Calibri" w:cs="Times New Roman"/>
                <w:b/>
                <w:bCs/>
                <w:color w:val="000000"/>
              </w:rPr>
              <w:t>57</w:t>
            </w:r>
            <w:r w:rsidRPr="003A6407">
              <w:rPr>
                <w:rFonts w:eastAsia="Calibri" w:cs="Times New Roman"/>
                <w:b/>
                <w:bCs/>
                <w:color w:val="000000"/>
              </w:rPr>
              <w:t>) stanowi 0</w:t>
            </w:r>
            <w:r w:rsidR="00412D9C" w:rsidRPr="003A6407">
              <w:rPr>
                <w:rFonts w:eastAsia="Calibri" w:cs="Times New Roman"/>
                <w:b/>
                <w:bCs/>
                <w:color w:val="000000"/>
              </w:rPr>
              <w:t>%</w:t>
            </w:r>
            <w:r w:rsidRPr="003A6407">
              <w:rPr>
                <w:rFonts w:eastAsia="Calibri" w:cs="Times New Roman"/>
                <w:b/>
                <w:bCs/>
                <w:color w:val="000000"/>
              </w:rPr>
              <w:t xml:space="preserve">. </w:t>
            </w:r>
          </w:p>
          <w:p w14:paraId="67A59294" w14:textId="60922119" w:rsidR="00297ABC" w:rsidRPr="003A6407" w:rsidRDefault="008D78C5" w:rsidP="00412D9C">
            <w:pPr>
              <w:contextualSpacing/>
              <w:jc w:val="both"/>
              <w:rPr>
                <w:rFonts w:eastAsia="Calibri" w:cs="Times New Roman"/>
                <w:b/>
                <w:bCs/>
                <w:color w:val="000000"/>
              </w:rPr>
            </w:pPr>
            <w:r w:rsidRPr="003A6407">
              <w:rPr>
                <w:rFonts w:eastAsia="Calibri" w:cs="Times New Roman"/>
                <w:b/>
                <w:bCs/>
                <w:color w:val="000000"/>
              </w:rPr>
              <w:t>Mając na uwadze, że 2017 r. był czwartym rokiem wdrażania programu RPO WD, w ramach FEDS wartość pośrednią ustalono jako 0.</w:t>
            </w:r>
          </w:p>
          <w:p w14:paraId="55F53438" w14:textId="77777777" w:rsidR="00297ABC" w:rsidRPr="003A6407" w:rsidRDefault="00297ABC" w:rsidP="00270B09">
            <w:pPr>
              <w:shd w:val="clear" w:color="auto" w:fill="FFFFFF"/>
              <w:spacing w:before="60" w:after="0" w:line="240" w:lineRule="auto"/>
              <w:ind w:left="720"/>
              <w:contextualSpacing/>
              <w:jc w:val="both"/>
              <w:rPr>
                <w:rFonts w:eastAsia="Calibri" w:cs="Times New Roman"/>
                <w:color w:val="000000"/>
                <w:sz w:val="22"/>
                <w:szCs w:val="22"/>
              </w:rPr>
            </w:pPr>
          </w:p>
        </w:tc>
      </w:tr>
    </w:tbl>
    <w:p w14:paraId="20BFA725" w14:textId="7BDB9CA0" w:rsidR="00297ABC" w:rsidRPr="003A6407" w:rsidRDefault="00297ABC" w:rsidP="00297AB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820"/>
        <w:gridCol w:w="976"/>
        <w:gridCol w:w="803"/>
        <w:gridCol w:w="2034"/>
        <w:gridCol w:w="1509"/>
        <w:gridCol w:w="801"/>
        <w:gridCol w:w="834"/>
      </w:tblGrid>
      <w:tr w:rsidR="00191FE2" w:rsidRPr="003A6407" w14:paraId="584630FB" w14:textId="77777777" w:rsidTr="00AD1DFA">
        <w:trPr>
          <w:cantSplit/>
          <w:trHeight w:val="1647"/>
        </w:trPr>
        <w:tc>
          <w:tcPr>
            <w:tcW w:w="451" w:type="pct"/>
            <w:shd w:val="clear" w:color="auto" w:fill="auto"/>
            <w:vAlign w:val="center"/>
          </w:tcPr>
          <w:p w14:paraId="4C1DE115"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bookmarkStart w:id="76" w:name="_Hlk114815996"/>
            <w:r w:rsidRPr="003A6407">
              <w:rPr>
                <w:rFonts w:eastAsia="Calibri" w:cs="Times New Roman"/>
                <w:b/>
                <w:noProof/>
                <w:sz w:val="16"/>
                <w:szCs w:val="16"/>
              </w:rPr>
              <w:t>CP 1</w:t>
            </w:r>
          </w:p>
          <w:p w14:paraId="3150AE9B" w14:textId="2730BBFC"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7F475130"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6E029951"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74C0B46E" w14:textId="77777777" w:rsidR="00BB0F80" w:rsidRPr="003A6407" w:rsidRDefault="00BB0F80" w:rsidP="00AD1DFA">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1FD6D17B" w14:textId="13A86846"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0F2F165B"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1C795D27"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76F76E91"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0D59A2DF"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42C9F198"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r>
      <w:tr w:rsidR="00BB0F80" w:rsidRPr="003A6407" w14:paraId="471FC069" w14:textId="77777777" w:rsidTr="00AD1DFA">
        <w:trPr>
          <w:trHeight w:val="340"/>
        </w:trPr>
        <w:tc>
          <w:tcPr>
            <w:tcW w:w="451" w:type="pct"/>
            <w:shd w:val="clear" w:color="auto" w:fill="auto"/>
            <w:vAlign w:val="center"/>
          </w:tcPr>
          <w:p w14:paraId="6E191E12" w14:textId="77777777" w:rsidR="00BB0F80"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(ii)</w:t>
            </w:r>
          </w:p>
          <w:p w14:paraId="17D1E215" w14:textId="0163B6A2" w:rsidR="00572DDA" w:rsidRPr="003A6407" w:rsidRDefault="00572DDA"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1.2</w:t>
            </w:r>
          </w:p>
        </w:tc>
        <w:tc>
          <w:tcPr>
            <w:tcW w:w="494" w:type="pct"/>
            <w:shd w:val="clear" w:color="auto" w:fill="auto"/>
            <w:vAlign w:val="center"/>
          </w:tcPr>
          <w:p w14:paraId="69DAEB63"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0E8511CE"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2208C156"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PLRO012</w:t>
            </w:r>
          </w:p>
        </w:tc>
        <w:tc>
          <w:tcPr>
            <w:tcW w:w="1206" w:type="pct"/>
            <w:shd w:val="clear" w:color="auto" w:fill="auto"/>
            <w:vAlign w:val="center"/>
          </w:tcPr>
          <w:p w14:paraId="44EDCE3E" w14:textId="77777777" w:rsidR="00BB0F80" w:rsidRPr="003A6407" w:rsidRDefault="00BB0F80" w:rsidP="00AD1DFA">
            <w:pPr>
              <w:keepNext/>
              <w:keepLines/>
              <w:spacing w:before="200" w:after="0"/>
              <w:jc w:val="center"/>
              <w:outlineLvl w:val="2"/>
              <w:rPr>
                <w:rFonts w:eastAsia="Times New Roman" w:cs="Times New Roman"/>
                <w:noProof/>
                <w:sz w:val="16"/>
                <w:szCs w:val="16"/>
              </w:rPr>
            </w:pPr>
            <w:bookmarkStart w:id="77" w:name="_Toc97127015"/>
            <w:bookmarkStart w:id="78" w:name="_Toc114662362"/>
            <w:bookmarkStart w:id="79" w:name="_Toc120464368"/>
            <w:r w:rsidRPr="003A6407">
              <w:rPr>
                <w:rFonts w:asciiTheme="minorHAnsi" w:eastAsia="Times New Roman" w:hAnsiTheme="minorHAnsi" w:cstheme="minorHAnsi"/>
                <w:bCs/>
                <w:noProof/>
                <w:sz w:val="16"/>
                <w:szCs w:val="16"/>
              </w:rPr>
              <w:t>Liczba usług publicznych udostępnionych on-line o stopniu dojrzałości co najmniej 4 - transakcja</w:t>
            </w:r>
            <w:bookmarkEnd w:id="77"/>
            <w:bookmarkEnd w:id="78"/>
            <w:bookmarkEnd w:id="79"/>
          </w:p>
        </w:tc>
        <w:tc>
          <w:tcPr>
            <w:tcW w:w="884" w:type="pct"/>
            <w:shd w:val="clear" w:color="auto" w:fill="auto"/>
            <w:vAlign w:val="center"/>
          </w:tcPr>
          <w:p w14:paraId="720DFDBB"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482" w:type="pct"/>
            <w:shd w:val="clear" w:color="auto" w:fill="auto"/>
            <w:vAlign w:val="center"/>
          </w:tcPr>
          <w:p w14:paraId="1DCBEDA4" w14:textId="296E5EBC" w:rsidR="00BB0F80" w:rsidRPr="003A6407" w:rsidRDefault="00EE369A"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0,00</w:t>
            </w:r>
          </w:p>
        </w:tc>
        <w:tc>
          <w:tcPr>
            <w:tcW w:w="502" w:type="pct"/>
            <w:shd w:val="clear" w:color="auto" w:fill="auto"/>
            <w:vAlign w:val="center"/>
          </w:tcPr>
          <w:p w14:paraId="3368660D" w14:textId="76E5BE72" w:rsidR="00BB0F80" w:rsidRPr="003A6407" w:rsidRDefault="00BB0F80" w:rsidP="00AD1DFA">
            <w:pPr>
              <w:spacing w:after="0" w:line="240" w:lineRule="auto"/>
              <w:jc w:val="center"/>
              <w:rPr>
                <w:rFonts w:eastAsia="Calibri"/>
                <w:noProof/>
                <w:sz w:val="16"/>
                <w:szCs w:val="16"/>
              </w:rPr>
            </w:pPr>
            <w:r w:rsidRPr="003A6407">
              <w:rPr>
                <w:rFonts w:eastAsia="Calibri"/>
                <w:noProof/>
                <w:sz w:val="16"/>
                <w:szCs w:val="16"/>
              </w:rPr>
              <w:t>211</w:t>
            </w:r>
            <w:r w:rsidR="00AD1DFA" w:rsidRPr="003A6407">
              <w:rPr>
                <w:rFonts w:eastAsia="Calibri"/>
                <w:noProof/>
                <w:sz w:val="16"/>
                <w:szCs w:val="16"/>
              </w:rPr>
              <w:t>,00</w:t>
            </w:r>
          </w:p>
        </w:tc>
      </w:tr>
      <w:tr w:rsidR="00BB0F80" w:rsidRPr="003A6407" w14:paraId="29367C9C" w14:textId="77777777" w:rsidTr="00175EA5">
        <w:trPr>
          <w:trHeight w:val="340"/>
        </w:trPr>
        <w:tc>
          <w:tcPr>
            <w:tcW w:w="5000" w:type="pct"/>
            <w:gridSpan w:val="8"/>
            <w:shd w:val="clear" w:color="auto" w:fill="auto"/>
          </w:tcPr>
          <w:p w14:paraId="2825651F" w14:textId="77777777" w:rsidR="00BB0F80" w:rsidRPr="003A6407" w:rsidRDefault="00BB0F80" w:rsidP="00FD5A66">
            <w:pPr>
              <w:shd w:val="clear" w:color="auto" w:fill="FFFFFF"/>
              <w:spacing w:before="60" w:after="60" w:line="240" w:lineRule="auto"/>
              <w:jc w:val="both"/>
              <w:rPr>
                <w:rFonts w:eastAsia="Calibri"/>
              </w:rPr>
            </w:pPr>
          </w:p>
          <w:p w14:paraId="3DA51C18"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0233A9A7"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1300127C" w14:textId="5EDA51EF"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016 Rozwiązania TIK, usługi elektroniczne, aplikacje dla administracji </w:t>
            </w:r>
            <w:r w:rsidR="0057313F" w:rsidRPr="0057313F">
              <w:rPr>
                <w:rFonts w:eastAsia="Calibri" w:cs="Times New Roman"/>
              </w:rPr>
              <w:t xml:space="preserve">w sumie z kodem 017 Rozwiązania TIK, usługi elektroniczne, aplikacje dla administracji zgodne z kryteriami redukcji emisji gazów cieplarnianych lub kryteriami efektywności energetycznej </w:t>
            </w:r>
            <w:r w:rsidRPr="003A6407">
              <w:rPr>
                <w:rFonts w:eastAsia="Calibri" w:cs="Times New Roman"/>
              </w:rPr>
              <w:t>(</w:t>
            </w:r>
            <w:r w:rsidR="002754CE" w:rsidRPr="002754CE">
              <w:rPr>
                <w:rFonts w:eastAsia="Calibri" w:cs="Times New Roman"/>
              </w:rPr>
              <w:t>25 078 162</w:t>
            </w:r>
            <w:r w:rsidRPr="003A6407">
              <w:rPr>
                <w:rFonts w:eastAsia="Calibri" w:cs="Times New Roman"/>
              </w:rPr>
              <w:t>,00 EUR);</w:t>
            </w:r>
          </w:p>
          <w:p w14:paraId="010A8169" w14:textId="77777777" w:rsidR="00BB0F80" w:rsidRPr="003A6407" w:rsidRDefault="00BB0F80" w:rsidP="003A00C8">
            <w:pPr>
              <w:shd w:val="clear" w:color="auto" w:fill="FFFFFF"/>
              <w:spacing w:before="60" w:after="60" w:line="240" w:lineRule="auto"/>
              <w:ind w:left="770"/>
              <w:contextualSpacing/>
              <w:jc w:val="both"/>
              <w:rPr>
                <w:rFonts w:eastAsia="Calibri" w:cs="Times New Roman"/>
              </w:rPr>
            </w:pPr>
          </w:p>
          <w:p w14:paraId="0B13455B" w14:textId="7027D15D" w:rsidR="00BB0F80" w:rsidRPr="003A6407" w:rsidRDefault="00BB0F80" w:rsidP="00FD5A66">
            <w:pPr>
              <w:shd w:val="clear" w:color="auto" w:fill="FFFFFF"/>
              <w:spacing w:before="60" w:after="60" w:line="240" w:lineRule="auto"/>
              <w:jc w:val="both"/>
              <w:rPr>
                <w:rFonts w:eastAsia="Calibri"/>
              </w:rPr>
            </w:pPr>
            <w:r w:rsidRPr="003A6407">
              <w:rPr>
                <w:rFonts w:eastAsia="Calibri"/>
              </w:rPr>
              <w:t>Zakłada się w ramach zakresów rzeczowych poszczególnych projektów część wydatków nie dotyczy bezpośrednio realizacji przedmiotowej wskaźnika, tj. dotyczy np. zakupu sprzętu, modernizacji infrastruktury IT. Wobec czego 70% alokacji kodów interwencji 016</w:t>
            </w:r>
            <w:r w:rsidR="00B40ECB">
              <w:rPr>
                <w:rFonts w:eastAsia="Calibri"/>
              </w:rPr>
              <w:t>i 017</w:t>
            </w:r>
            <w:r w:rsidRPr="003A6407">
              <w:rPr>
                <w:rFonts w:eastAsia="Calibri"/>
              </w:rPr>
              <w:t>, tj. 17 554 713,40 EURO będzie realizowało wskaźnik.</w:t>
            </w:r>
          </w:p>
          <w:p w14:paraId="7D586DFA" w14:textId="4405BDF9" w:rsidR="00BB0F80" w:rsidRPr="003A6407" w:rsidRDefault="00BB0F80" w:rsidP="00FD5A66">
            <w:pPr>
              <w:shd w:val="clear" w:color="auto" w:fill="FFFFFF"/>
              <w:spacing w:before="60" w:after="60" w:line="240" w:lineRule="auto"/>
              <w:jc w:val="both"/>
              <w:rPr>
                <w:rFonts w:eastAsia="Calibri"/>
              </w:rPr>
            </w:pPr>
            <w:r w:rsidRPr="003A6407">
              <w:rPr>
                <w:rFonts w:eastAsia="Calibri"/>
              </w:rPr>
              <w:t>Biorąc pod uwagę kurs EUR na poziomie 4,45 suma alokacji na realizację wskaźnika wynosi 78 118 474,63    PLN - 7% kosztów pośrednich = 70 306 627,17PLN</w:t>
            </w:r>
          </w:p>
          <w:p w14:paraId="448004D2" w14:textId="77777777" w:rsidR="00BB0F80" w:rsidRPr="003A6407" w:rsidRDefault="00BB0F80" w:rsidP="00FD5A66">
            <w:pPr>
              <w:shd w:val="clear" w:color="auto" w:fill="FFFFFF"/>
              <w:spacing w:before="60" w:after="60" w:line="240" w:lineRule="auto"/>
              <w:jc w:val="both"/>
              <w:rPr>
                <w:rFonts w:eastAsia="Calibri"/>
              </w:rPr>
            </w:pPr>
          </w:p>
          <w:p w14:paraId="7E45CB38" w14:textId="157E28F5"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199 107,68 PLN. Koszt jednostkowy został skorygowany w oparciu o wartość inflacji na poziomie 15% i wynosi 228  973,83 PLN , uwzględniając dofinansowanie na poziomie 70% wynosi  160 281,68 PLN, tj. 36 018,36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569228DD" w14:textId="312A9DA0" w:rsidR="00BB0F80" w:rsidRPr="003A6407" w:rsidRDefault="00BB0F80" w:rsidP="00FD5A66">
            <w:pPr>
              <w:spacing w:before="60" w:after="60" w:line="240" w:lineRule="auto"/>
              <w:jc w:val="both"/>
              <w:rPr>
                <w:rFonts w:eastAsia="Calibri"/>
              </w:rPr>
            </w:pPr>
            <w:r w:rsidRPr="003A6407">
              <w:rPr>
                <w:rFonts w:eastAsia="Calibri"/>
              </w:rPr>
              <w:t>R = [(3*25)+(5*68)]/8= 51,87</w:t>
            </w:r>
            <w:r w:rsidR="00412D9C" w:rsidRPr="003A6407">
              <w:rPr>
                <w:rFonts w:eastAsia="Calibri"/>
              </w:rPr>
              <w:t>%</w:t>
            </w:r>
            <w:r w:rsidRPr="003A6407">
              <w:rPr>
                <w:rFonts w:eastAsia="Calibri"/>
              </w:rPr>
              <w:t xml:space="preserve">. Wartość zaokrąglono do pełnej wartości 52%. </w:t>
            </w:r>
          </w:p>
          <w:p w14:paraId="40369A80" w14:textId="77777777" w:rsidR="00BB0F80" w:rsidRPr="003A6407" w:rsidRDefault="00BB0F80" w:rsidP="00FD5A66">
            <w:pPr>
              <w:shd w:val="clear" w:color="auto" w:fill="FFFFFF"/>
              <w:spacing w:before="60" w:after="60" w:line="240" w:lineRule="auto"/>
              <w:jc w:val="both"/>
              <w:rPr>
                <w:rFonts w:eastAsia="Calibri"/>
              </w:rPr>
            </w:pPr>
          </w:p>
          <w:p w14:paraId="09D1EFC7"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55E85F83" w14:textId="2F56F196" w:rsidR="00BB0F80" w:rsidRPr="003A6407" w:rsidRDefault="00BB0F80" w:rsidP="00FD5A66">
            <w:pPr>
              <w:shd w:val="clear" w:color="auto" w:fill="FFFFFF"/>
              <w:spacing w:before="60" w:after="60" w:line="240" w:lineRule="auto"/>
              <w:jc w:val="both"/>
              <w:rPr>
                <w:rFonts w:eastAsia="Calibri"/>
              </w:rPr>
            </w:pPr>
            <w:r w:rsidRPr="003A6407">
              <w:rPr>
                <w:rFonts w:eastAsia="Calibri"/>
              </w:rPr>
              <w:lastRenderedPageBreak/>
              <w:t>15 799 242,06 /  36 018,36 * (1-0,52) = 211 szt.</w:t>
            </w:r>
          </w:p>
          <w:p w14:paraId="4EA50399"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2B87EAB6" w14:textId="77777777" w:rsidR="00BB0F80" w:rsidRPr="003A6407" w:rsidRDefault="00BB0F80">
            <w:pPr>
              <w:numPr>
                <w:ilvl w:val="0"/>
                <w:numId w:val="85"/>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184411B3" w14:textId="77777777" w:rsidR="00BB0F80" w:rsidRPr="003A6407" w:rsidRDefault="00BB0F80">
            <w:pPr>
              <w:numPr>
                <w:ilvl w:val="0"/>
                <w:numId w:val="85"/>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zmieniającej się ceny</w:t>
            </w:r>
            <w:r w:rsidRPr="003A6407">
              <w:rPr>
                <w:rFonts w:eastAsia="Calibri" w:cs="Times New Roman"/>
                <w:color w:val="000000"/>
              </w:rPr>
              <w:t xml:space="preserve"> związane z szybką zmianą technologiczną w IT; (istotność: poważna);</w:t>
            </w:r>
          </w:p>
          <w:p w14:paraId="0667C1BE" w14:textId="77777777" w:rsidR="00BB0F80" w:rsidRPr="003A6407" w:rsidRDefault="00BB0F80">
            <w:pPr>
              <w:numPr>
                <w:ilvl w:val="0"/>
                <w:numId w:val="85"/>
              </w:numPr>
              <w:shd w:val="clear" w:color="auto" w:fill="FFFFFF"/>
              <w:spacing w:before="60" w:after="60" w:line="240" w:lineRule="auto"/>
              <w:contextualSpacing/>
              <w:jc w:val="both"/>
              <w:rPr>
                <w:rFonts w:eastAsia="Calibri" w:cs="Times New Roman"/>
                <w:color w:val="000000"/>
              </w:rPr>
            </w:pPr>
            <w:r w:rsidRPr="003A6407">
              <w:rPr>
                <w:rFonts w:eastAsia="Calibri" w:cs="Times New Roman"/>
                <w:bCs/>
                <w:color w:val="000000"/>
              </w:rPr>
              <w:t>ryzyko wzrostu ceny</w:t>
            </w:r>
            <w:r w:rsidRPr="003A6407">
              <w:rPr>
                <w:rFonts w:eastAsia="Calibri" w:cs="Times New Roman"/>
              </w:rPr>
              <w:t xml:space="preserve"> </w:t>
            </w:r>
            <w:r w:rsidRPr="003A6407">
              <w:rPr>
                <w:rFonts w:eastAsia="Calibri" w:cs="Times New Roman"/>
                <w:bCs/>
                <w:color w:val="000000"/>
              </w:rPr>
              <w:t xml:space="preserve">związane ze wzrostem cen w gospodarce związane głównie ze wzrostem cen usług,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w:t>
            </w:r>
            <w:r w:rsidRPr="003A6407">
              <w:rPr>
                <w:rFonts w:eastAsia="Calibri" w:cs="Times New Roman"/>
                <w:color w:val="000000"/>
              </w:rPr>
              <w:t xml:space="preserve"> (istotność: poważna); </w:t>
            </w:r>
          </w:p>
          <w:p w14:paraId="558054F6" w14:textId="77777777" w:rsidR="00BB0F80" w:rsidRPr="003A6407" w:rsidRDefault="00BB0F80">
            <w:pPr>
              <w:numPr>
                <w:ilvl w:val="0"/>
                <w:numId w:val="85"/>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 przez KE dla danej osi priorytetowej</w:t>
            </w:r>
            <w:r w:rsidRPr="003A6407">
              <w:rPr>
                <w:rFonts w:eastAsia="Calibri" w:cs="Times New Roman"/>
                <w:color w:val="000000"/>
              </w:rPr>
              <w:t>; (istotność: umiarkowana);</w:t>
            </w:r>
          </w:p>
          <w:p w14:paraId="37485163" w14:textId="77777777" w:rsidR="00BB0F80" w:rsidRPr="003A6407" w:rsidRDefault="00BB0F80">
            <w:pPr>
              <w:numPr>
                <w:ilvl w:val="0"/>
                <w:numId w:val="85"/>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 xml:space="preserve">Opóźnienia, </w:t>
            </w:r>
            <w:r w:rsidRPr="003A6407">
              <w:rPr>
                <w:rFonts w:eastAsia="Calibri" w:cs="Times New Roman"/>
                <w:color w:val="000000"/>
              </w:rPr>
              <w:t>bądź niewykonanie projektu związane z procedurami wynikającymi z zamówień publicznych; (istotność: poważna);</w:t>
            </w:r>
          </w:p>
          <w:p w14:paraId="6C670BA5" w14:textId="77777777" w:rsidR="00BB0F80" w:rsidRPr="003A6407" w:rsidRDefault="00BB0F80">
            <w:pPr>
              <w:numPr>
                <w:ilvl w:val="0"/>
                <w:numId w:val="85"/>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Brak zainteresowania oferowanym wsparciem</w:t>
            </w:r>
            <w:r w:rsidRPr="003A6407">
              <w:rPr>
                <w:rFonts w:eastAsia="Calibri" w:cs="Times New Roman"/>
                <w:color w:val="000000"/>
              </w:rPr>
              <w:t xml:space="preserve"> ze względu na oferowane na rynku inne źródła wsparcia dotyczące IT; (istotność: poważna );</w:t>
            </w:r>
          </w:p>
          <w:p w14:paraId="48369A20" w14:textId="77777777" w:rsidR="00BB0F80" w:rsidRPr="003A6407" w:rsidRDefault="00BB0F80">
            <w:pPr>
              <w:numPr>
                <w:ilvl w:val="0"/>
                <w:numId w:val="85"/>
              </w:numPr>
              <w:contextualSpacing/>
              <w:rPr>
                <w:rFonts w:eastAsia="Calibri" w:cs="Times New Roman"/>
                <w:color w:val="000000"/>
              </w:rPr>
            </w:pPr>
            <w:r w:rsidRPr="003A6407">
              <w:rPr>
                <w:rFonts w:eastAsia="Calibri" w:cs="Times New Roman"/>
                <w:b/>
                <w:bCs/>
                <w:color w:val="000000"/>
              </w:rPr>
              <w:t>Opóźnienia, bądź niewykonanie projektu związane z problemem zabezpieczenia wkładu</w:t>
            </w:r>
            <w:r w:rsidRPr="003A6407">
              <w:rPr>
                <w:rFonts w:eastAsia="Calibri" w:cs="Times New Roman"/>
                <w:color w:val="000000"/>
              </w:rPr>
              <w:t xml:space="preserve"> własnego wnioskodawcy (istotność: poważna);</w:t>
            </w:r>
          </w:p>
          <w:p w14:paraId="71C387BA" w14:textId="77777777" w:rsidR="00BB0F80" w:rsidRPr="003A6407" w:rsidRDefault="00BB0F80">
            <w:pPr>
              <w:numPr>
                <w:ilvl w:val="0"/>
                <w:numId w:val="85"/>
              </w:numPr>
              <w:contextualSpacing/>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333D5712" w14:textId="77777777" w:rsidR="003C5712" w:rsidRPr="003A6407" w:rsidRDefault="003C5712" w:rsidP="00270B09">
            <w:pPr>
              <w:shd w:val="clear" w:color="auto" w:fill="FFFFFF"/>
              <w:spacing w:before="60" w:after="60" w:line="240" w:lineRule="auto"/>
              <w:contextualSpacing/>
              <w:jc w:val="both"/>
              <w:rPr>
                <w:rFonts w:eastAsia="Calibri" w:cs="Times New Roman"/>
                <w:b/>
                <w:bCs/>
                <w:color w:val="000000"/>
                <w:sz w:val="22"/>
                <w:szCs w:val="22"/>
              </w:rPr>
            </w:pPr>
          </w:p>
          <w:p w14:paraId="753ADD0F" w14:textId="3F7CD67D" w:rsidR="00BB0F80" w:rsidRPr="003A6407" w:rsidRDefault="00BB0F80" w:rsidP="00270B09">
            <w:pPr>
              <w:shd w:val="clear" w:color="auto" w:fill="FFFFFF"/>
              <w:spacing w:before="60" w:after="60" w:line="240" w:lineRule="auto"/>
              <w:contextualSpacing/>
              <w:jc w:val="both"/>
              <w:rPr>
                <w:rFonts w:eastAsia="Calibri" w:cs="Times New Roman"/>
                <w:b/>
                <w:bCs/>
                <w:color w:val="000000"/>
              </w:rPr>
            </w:pPr>
            <w:r w:rsidRPr="003A6407">
              <w:rPr>
                <w:rFonts w:eastAsia="Calibri" w:cs="Times New Roman"/>
                <w:b/>
                <w:bCs/>
                <w:color w:val="000000"/>
              </w:rPr>
              <w:t>Uzasadnienie celu pośredniego:</w:t>
            </w:r>
          </w:p>
          <w:p w14:paraId="6E3F7744" w14:textId="5743386C" w:rsidR="00BB0F80" w:rsidRPr="003A6407" w:rsidRDefault="00BB0F80" w:rsidP="00270B09">
            <w:pPr>
              <w:shd w:val="clear" w:color="auto" w:fill="FFFFFF"/>
              <w:spacing w:before="60" w:after="60" w:line="240" w:lineRule="auto"/>
              <w:contextualSpacing/>
              <w:jc w:val="both"/>
              <w:rPr>
                <w:rFonts w:eastAsia="Calibri" w:cs="Times New Roman"/>
                <w:b/>
                <w:bCs/>
                <w:color w:val="000000"/>
              </w:rPr>
            </w:pPr>
            <w:r w:rsidRPr="003A6407">
              <w:rPr>
                <w:rFonts w:eastAsia="Calibri" w:cs="Times New Roman"/>
                <w:b/>
                <w:bCs/>
                <w:color w:val="000000"/>
              </w:rPr>
              <w:t>Cel pośredni wskaźnika wynosi 0, z uwagi na opóźnienie przyjęcia programu, tj. rok 2022. Z danych historycznych wynika, że– nabór na e-usługi w zakresie: e-kultury; dostępu do informacji przestrzennej; bezpieczeństwa kryzysowego; e-zdrowia; e-administracji realizowany w ramach RPO WD 2014-2020 został zakończony w 2016 roku, tj. w dwa lata po przyjęciu programu, (który został przyjęty  w 2014 r.). Realizacja projektów infrastrukturalnych ww. naborze przypadała na kolejne lata, w konsekwencji wskaźniki w ramach projektów zaczęły być osiągane od roku 2018  - czyli 4 lata po przyjęciu programu. W związku z powyższym zakładając przyjęcie programu FEDS w 2022 r. osiąganie pierwszych wartości wskaźników szacuje się na rok 2026 r., stad wartość pośrednia wskaźnika  w 2024 r. wynosi 0.</w:t>
            </w:r>
          </w:p>
          <w:p w14:paraId="3DF63405" w14:textId="77777777" w:rsidR="00BB0F80" w:rsidRPr="003A6407" w:rsidRDefault="00BB0F80" w:rsidP="00FD5A66">
            <w:pPr>
              <w:shd w:val="clear" w:color="auto" w:fill="FFFFFF"/>
              <w:spacing w:before="60" w:after="0" w:line="240" w:lineRule="auto"/>
              <w:ind w:left="720"/>
              <w:contextualSpacing/>
              <w:jc w:val="both"/>
              <w:rPr>
                <w:rFonts w:eastAsia="Calibri" w:cs="Times New Roman"/>
                <w:color w:val="000000"/>
                <w:sz w:val="22"/>
                <w:szCs w:val="22"/>
              </w:rPr>
            </w:pPr>
          </w:p>
        </w:tc>
      </w:tr>
    </w:tbl>
    <w:p w14:paraId="2A572984" w14:textId="77777777" w:rsidR="00BB0F80" w:rsidRPr="003A6407" w:rsidRDefault="00BB0F80" w:rsidP="00FD5A66">
      <w:pPr>
        <w:rPr>
          <w:rFonts w:eastAsia="Calibri"/>
        </w:rPr>
      </w:pPr>
      <w:bookmarkStart w:id="80" w:name="_Hlk95393724"/>
      <w:bookmarkEnd w:id="76"/>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820"/>
        <w:gridCol w:w="976"/>
        <w:gridCol w:w="803"/>
        <w:gridCol w:w="2034"/>
        <w:gridCol w:w="1509"/>
        <w:gridCol w:w="801"/>
        <w:gridCol w:w="834"/>
      </w:tblGrid>
      <w:tr w:rsidR="00191FE2" w:rsidRPr="003A6407" w14:paraId="07B597F4" w14:textId="77777777" w:rsidTr="00AD1DFA">
        <w:trPr>
          <w:cantSplit/>
          <w:trHeight w:val="1647"/>
        </w:trPr>
        <w:tc>
          <w:tcPr>
            <w:tcW w:w="451" w:type="pct"/>
            <w:shd w:val="clear" w:color="auto" w:fill="auto"/>
            <w:vAlign w:val="center"/>
          </w:tcPr>
          <w:bookmarkEnd w:id="80"/>
          <w:p w14:paraId="6CE0734F"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79B48D0A" w14:textId="1C3B837D"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1E93B5D7"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23B3C0AA"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41F2FF24" w14:textId="77777777" w:rsidR="00BB0F80" w:rsidRPr="003A6407" w:rsidRDefault="00BB0F80" w:rsidP="00AD1DFA">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2232E990" w14:textId="323003DD"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1636F8DB"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55F59E3B"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4AC431DF"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3BA1C30"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75D85804"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r>
      <w:tr w:rsidR="00BB0F80" w:rsidRPr="003A6407" w14:paraId="084281A5" w14:textId="77777777" w:rsidTr="00AD1DFA">
        <w:trPr>
          <w:trHeight w:val="340"/>
        </w:trPr>
        <w:tc>
          <w:tcPr>
            <w:tcW w:w="451" w:type="pct"/>
            <w:shd w:val="clear" w:color="auto" w:fill="auto"/>
            <w:vAlign w:val="center"/>
          </w:tcPr>
          <w:p w14:paraId="1CCE5461" w14:textId="77777777" w:rsidR="00BB0F80"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(ii)</w:t>
            </w:r>
          </w:p>
          <w:p w14:paraId="5C9320EA" w14:textId="32B610BF" w:rsidR="00572DDA" w:rsidRPr="003A6407" w:rsidRDefault="00572DDA"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1.2</w:t>
            </w:r>
          </w:p>
        </w:tc>
        <w:tc>
          <w:tcPr>
            <w:tcW w:w="494" w:type="pct"/>
            <w:shd w:val="clear" w:color="auto" w:fill="auto"/>
            <w:vAlign w:val="center"/>
          </w:tcPr>
          <w:p w14:paraId="13629078"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474D0ECE"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723DCC0D" w14:textId="6F28CF08"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PLRO010</w:t>
            </w:r>
          </w:p>
        </w:tc>
        <w:tc>
          <w:tcPr>
            <w:tcW w:w="1206" w:type="pct"/>
            <w:shd w:val="clear" w:color="auto" w:fill="auto"/>
            <w:vAlign w:val="center"/>
          </w:tcPr>
          <w:p w14:paraId="47C9F90C" w14:textId="0B9B5A46" w:rsidR="00BB0F80" w:rsidRPr="003A6407" w:rsidRDefault="00BB0F80" w:rsidP="00AD1DFA">
            <w:pPr>
              <w:keepNext/>
              <w:keepLines/>
              <w:spacing w:before="200" w:after="0"/>
              <w:jc w:val="center"/>
              <w:outlineLvl w:val="2"/>
              <w:rPr>
                <w:rFonts w:asciiTheme="minorHAnsi" w:eastAsia="Times New Roman" w:hAnsiTheme="minorHAnsi" w:cstheme="minorHAnsi"/>
                <w:bCs/>
                <w:noProof/>
                <w:sz w:val="16"/>
                <w:szCs w:val="16"/>
              </w:rPr>
            </w:pPr>
            <w:bookmarkStart w:id="81" w:name="_Toc97127016"/>
            <w:bookmarkStart w:id="82" w:name="_Toc114662363"/>
            <w:bookmarkStart w:id="83" w:name="_Toc120464369"/>
            <w:r w:rsidRPr="003A6407">
              <w:rPr>
                <w:rFonts w:asciiTheme="minorHAnsi" w:eastAsia="Times New Roman" w:hAnsiTheme="minorHAnsi" w:cstheme="minorHAnsi"/>
                <w:bCs/>
                <w:noProof/>
                <w:sz w:val="16"/>
                <w:szCs w:val="16"/>
              </w:rPr>
              <w:t>Liczba podmiotów, które udostępniły informacje sektora publicznego/dane prywatne on-line</w:t>
            </w:r>
            <w:bookmarkEnd w:id="81"/>
            <w:bookmarkEnd w:id="82"/>
            <w:bookmarkEnd w:id="83"/>
          </w:p>
        </w:tc>
        <w:tc>
          <w:tcPr>
            <w:tcW w:w="884" w:type="pct"/>
            <w:shd w:val="clear" w:color="auto" w:fill="auto"/>
            <w:vAlign w:val="center"/>
          </w:tcPr>
          <w:p w14:paraId="2A64119C"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482" w:type="pct"/>
            <w:shd w:val="clear" w:color="auto" w:fill="auto"/>
            <w:vAlign w:val="center"/>
          </w:tcPr>
          <w:p w14:paraId="5C0455C0" w14:textId="54426E45" w:rsidR="00BB0F80" w:rsidRPr="003A6407" w:rsidRDefault="00EE369A"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0,00</w:t>
            </w:r>
          </w:p>
        </w:tc>
        <w:tc>
          <w:tcPr>
            <w:tcW w:w="502" w:type="pct"/>
            <w:shd w:val="clear" w:color="auto" w:fill="auto"/>
            <w:vAlign w:val="center"/>
          </w:tcPr>
          <w:p w14:paraId="2D5A9CEA" w14:textId="37D80E40" w:rsidR="00BB0F80" w:rsidRPr="003A6407" w:rsidRDefault="002754CE" w:rsidP="00AD1DFA">
            <w:pPr>
              <w:spacing w:after="0" w:line="240" w:lineRule="auto"/>
              <w:jc w:val="center"/>
              <w:rPr>
                <w:rFonts w:eastAsia="Calibri"/>
                <w:noProof/>
                <w:sz w:val="16"/>
                <w:szCs w:val="16"/>
              </w:rPr>
            </w:pPr>
            <w:r>
              <w:rPr>
                <w:rFonts w:eastAsia="Calibri"/>
                <w:noProof/>
                <w:sz w:val="16"/>
                <w:szCs w:val="16"/>
              </w:rPr>
              <w:t>65</w:t>
            </w:r>
            <w:r w:rsidR="00AD1DFA" w:rsidRPr="003A6407">
              <w:rPr>
                <w:rFonts w:eastAsia="Calibri"/>
                <w:noProof/>
                <w:sz w:val="16"/>
                <w:szCs w:val="16"/>
              </w:rPr>
              <w:t>,00</w:t>
            </w:r>
          </w:p>
        </w:tc>
      </w:tr>
      <w:tr w:rsidR="00BB0F80" w:rsidRPr="003A6407" w14:paraId="7C5F6189" w14:textId="77777777" w:rsidTr="00175EA5">
        <w:trPr>
          <w:trHeight w:val="340"/>
        </w:trPr>
        <w:tc>
          <w:tcPr>
            <w:tcW w:w="5000" w:type="pct"/>
            <w:gridSpan w:val="8"/>
            <w:shd w:val="clear" w:color="auto" w:fill="auto"/>
          </w:tcPr>
          <w:p w14:paraId="7A74591A"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5C8B2332"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60D20C9B" w14:textId="76A7733B"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 xml:space="preserve">016 Rozwiązania TIK, usługi elektroniczne, aplikacje dla administracji </w:t>
            </w:r>
            <w:r w:rsidR="0057313F" w:rsidRPr="0057313F">
              <w:rPr>
                <w:rFonts w:eastAsia="Calibri" w:cs="Times New Roman"/>
              </w:rPr>
              <w:t xml:space="preserve">w sumie z kodem 017 Rozwiązania TIK, usługi elektroniczne, aplikacje dla administracji zgodne z kryteriami redukcji emisji gazów cieplarnianych lub kryteriami efektywności energetycznej </w:t>
            </w:r>
            <w:r w:rsidRPr="003A6407">
              <w:rPr>
                <w:rFonts w:eastAsia="Calibri" w:cs="Times New Roman"/>
              </w:rPr>
              <w:t>(</w:t>
            </w:r>
            <w:r w:rsidR="002754CE" w:rsidRPr="002754CE">
              <w:rPr>
                <w:rFonts w:eastAsia="Calibri" w:cs="Times New Roman"/>
              </w:rPr>
              <w:t>25 078 162</w:t>
            </w:r>
            <w:r w:rsidRPr="003A6407">
              <w:rPr>
                <w:rFonts w:eastAsia="Calibri" w:cs="Times New Roman"/>
              </w:rPr>
              <w:t>,00 EUR);</w:t>
            </w:r>
          </w:p>
          <w:p w14:paraId="753A6F2C" w14:textId="445EFBFB"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2754CE" w:rsidRPr="002754CE">
              <w:rPr>
                <w:rFonts w:eastAsia="Calibri"/>
              </w:rPr>
              <w:t>111 597 820,9</w:t>
            </w:r>
            <w:r w:rsidR="002754CE">
              <w:rPr>
                <w:rFonts w:eastAsia="Calibri"/>
              </w:rPr>
              <w:t xml:space="preserve"> PLN</w:t>
            </w:r>
            <w:r w:rsidRPr="003A6407">
              <w:rPr>
                <w:rFonts w:eastAsia="Calibri"/>
              </w:rPr>
              <w:t xml:space="preserve">- 7% kosztów pośrednich = </w:t>
            </w:r>
            <w:r w:rsidR="002754CE" w:rsidRPr="002754CE">
              <w:rPr>
                <w:rFonts w:eastAsia="Calibri"/>
              </w:rPr>
              <w:t>103 785</w:t>
            </w:r>
            <w:r w:rsidR="002754CE">
              <w:rPr>
                <w:rFonts w:eastAsia="Calibri"/>
              </w:rPr>
              <w:t> </w:t>
            </w:r>
            <w:r w:rsidR="002754CE" w:rsidRPr="002754CE">
              <w:rPr>
                <w:rFonts w:eastAsia="Calibri"/>
              </w:rPr>
              <w:t>97</w:t>
            </w:r>
            <w:r w:rsidR="002754CE">
              <w:rPr>
                <w:rFonts w:eastAsia="Calibri"/>
              </w:rPr>
              <w:t>4 PLN</w:t>
            </w:r>
          </w:p>
          <w:p w14:paraId="5DC7D528" w14:textId="0AF5B131"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1 323 673,03 PLN. . Koszt jednostkowy został skorygowany w oparciu o wartość inflacji na poziomie 15% i wynosi 1 313 985,56 PLN, uwzględniają dofinansowanie na poziomie 70% wynosi 919 789,89 PLN.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56494834" w14:textId="77777777" w:rsidR="00BB0F80" w:rsidRPr="003A6407" w:rsidRDefault="00BB0F80" w:rsidP="00FD5A66">
            <w:pPr>
              <w:spacing w:before="60" w:after="60" w:line="240" w:lineRule="auto"/>
              <w:jc w:val="both"/>
              <w:rPr>
                <w:rFonts w:eastAsia="Calibri"/>
              </w:rPr>
            </w:pPr>
            <w:r w:rsidRPr="003A6407">
              <w:rPr>
                <w:rFonts w:eastAsia="Calibri"/>
              </w:rPr>
              <w:lastRenderedPageBreak/>
              <w:t xml:space="preserve">R= [(3*25)+(2*68)]/5= 42,2%. Wartość zaokrąglono do pełnej wartości 42%. </w:t>
            </w:r>
          </w:p>
          <w:p w14:paraId="5463E993" w14:textId="77777777" w:rsidR="00BB0F80" w:rsidRPr="003A6407" w:rsidRDefault="00BB0F80" w:rsidP="00FD5A66">
            <w:pPr>
              <w:shd w:val="clear" w:color="auto" w:fill="FFFFFF"/>
              <w:spacing w:before="60" w:after="60" w:line="240" w:lineRule="auto"/>
              <w:jc w:val="both"/>
              <w:rPr>
                <w:rFonts w:eastAsia="Calibri"/>
              </w:rPr>
            </w:pPr>
          </w:p>
          <w:p w14:paraId="1804A1D1"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04C09A9B" w14:textId="010AD7EF" w:rsidR="00BB0F80" w:rsidRPr="003A6407" w:rsidRDefault="002754CE" w:rsidP="00FD5A66">
            <w:pPr>
              <w:shd w:val="clear" w:color="auto" w:fill="FFFFFF"/>
              <w:spacing w:before="60" w:after="60" w:line="240" w:lineRule="auto"/>
              <w:jc w:val="both"/>
              <w:rPr>
                <w:rFonts w:eastAsia="Calibri"/>
              </w:rPr>
            </w:pPr>
            <w:r>
              <w:rPr>
                <w:rFonts w:eastAsia="Calibri"/>
              </w:rPr>
              <w:t>103 785 974</w:t>
            </w:r>
            <w:r w:rsidR="00BB0F80" w:rsidRPr="003A6407">
              <w:rPr>
                <w:rFonts w:eastAsia="Calibri"/>
              </w:rPr>
              <w:t xml:space="preserve">0 /  </w:t>
            </w:r>
            <w:r>
              <w:rPr>
                <w:rFonts w:eastAsia="Calibri"/>
              </w:rPr>
              <w:t>919 789,89</w:t>
            </w:r>
            <w:r w:rsidR="00BB0F80" w:rsidRPr="003A6407">
              <w:rPr>
                <w:rFonts w:eastAsia="Calibri"/>
              </w:rPr>
              <w:t xml:space="preserve"> * (1-0,42) = </w:t>
            </w:r>
            <w:r>
              <w:rPr>
                <w:rFonts w:eastAsia="Calibri"/>
              </w:rPr>
              <w:t>65</w:t>
            </w:r>
            <w:r w:rsidR="00BB0F80" w:rsidRPr="003A6407">
              <w:rPr>
                <w:rFonts w:eastAsia="Calibri"/>
              </w:rPr>
              <w:t xml:space="preserve"> szt.</w:t>
            </w:r>
          </w:p>
          <w:p w14:paraId="6BF7F151"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21F1956E" w14:textId="77777777" w:rsidR="00BB0F80" w:rsidRPr="003A6407" w:rsidRDefault="00BB0F80" w:rsidP="00F20BCD">
            <w:pPr>
              <w:numPr>
                <w:ilvl w:val="0"/>
                <w:numId w:val="20"/>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BFE711B" w14:textId="77777777" w:rsidR="00BB0F80" w:rsidRPr="003A6407" w:rsidRDefault="00BB0F80" w:rsidP="00F20BCD">
            <w:pPr>
              <w:numPr>
                <w:ilvl w:val="0"/>
                <w:numId w:val="20"/>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w:t>
            </w:r>
            <w:r w:rsidRPr="003A6407">
              <w:rPr>
                <w:rFonts w:eastAsia="Calibri" w:cs="Times New Roman"/>
                <w:color w:val="000000"/>
              </w:rPr>
              <w:t xml:space="preserve"> przez KE dla danej osi priorytetowej; (istotność: umiarkowana);</w:t>
            </w:r>
          </w:p>
          <w:p w14:paraId="7B45F1F8" w14:textId="77777777" w:rsidR="00BB0F80" w:rsidRPr="003A6407" w:rsidRDefault="00BB0F80" w:rsidP="00F20BCD">
            <w:pPr>
              <w:numPr>
                <w:ilvl w:val="0"/>
                <w:numId w:val="20"/>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Opóźnienia</w:t>
            </w:r>
            <w:r w:rsidRPr="003A6407">
              <w:rPr>
                <w:rFonts w:eastAsia="Calibri" w:cs="Times New Roman"/>
                <w:color w:val="000000"/>
              </w:rPr>
              <w:t>, bądź niewykonanie projektu związane z procedurami wynikającymi z zamówień publicznych; (istotność: poważna);</w:t>
            </w:r>
          </w:p>
          <w:p w14:paraId="4560BD24" w14:textId="77777777" w:rsidR="00BB0F80" w:rsidRPr="003A6407" w:rsidRDefault="00BB0F80" w:rsidP="00F20BCD">
            <w:pPr>
              <w:numPr>
                <w:ilvl w:val="0"/>
                <w:numId w:val="20"/>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Problemy z zabezpieczeniem wkładu</w:t>
            </w:r>
            <w:r w:rsidRPr="003A6407">
              <w:rPr>
                <w:rFonts w:eastAsia="Calibri" w:cs="Times New Roman"/>
                <w:color w:val="000000"/>
              </w:rPr>
              <w:t xml:space="preserve"> własnego wnioskodawcy (istotność: poważna);</w:t>
            </w:r>
          </w:p>
          <w:p w14:paraId="2B44E645" w14:textId="77777777" w:rsidR="00BB0F80" w:rsidRPr="003A6407" w:rsidRDefault="00BB0F80" w:rsidP="00F20BCD">
            <w:pPr>
              <w:numPr>
                <w:ilvl w:val="0"/>
                <w:numId w:val="20"/>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waga ryzyka (istotność: umiarkowana).</w:t>
            </w:r>
          </w:p>
          <w:p w14:paraId="0959270E" w14:textId="77777777" w:rsidR="003C5712" w:rsidRPr="003A6407" w:rsidRDefault="003C5712" w:rsidP="00270B09">
            <w:pPr>
              <w:shd w:val="clear" w:color="auto" w:fill="FFFFFF"/>
              <w:spacing w:before="60" w:after="60" w:line="240" w:lineRule="auto"/>
              <w:contextualSpacing/>
              <w:jc w:val="both"/>
              <w:rPr>
                <w:rFonts w:eastAsia="Calibri" w:cs="Times New Roman"/>
                <w:b/>
                <w:bCs/>
                <w:color w:val="000000"/>
                <w:sz w:val="22"/>
                <w:szCs w:val="22"/>
              </w:rPr>
            </w:pPr>
          </w:p>
          <w:p w14:paraId="0D42B6E4" w14:textId="2CF33586" w:rsidR="00BB0F80" w:rsidRPr="003A6407" w:rsidRDefault="00BB0F80" w:rsidP="00270B09">
            <w:pPr>
              <w:shd w:val="clear" w:color="auto" w:fill="FFFFFF"/>
              <w:spacing w:before="60" w:after="60" w:line="240" w:lineRule="auto"/>
              <w:contextualSpacing/>
              <w:jc w:val="both"/>
              <w:rPr>
                <w:rFonts w:eastAsia="Calibri" w:cs="Times New Roman"/>
                <w:b/>
                <w:bCs/>
                <w:color w:val="000000"/>
              </w:rPr>
            </w:pPr>
            <w:r w:rsidRPr="003A6407">
              <w:rPr>
                <w:rFonts w:eastAsia="Calibri" w:cs="Times New Roman"/>
                <w:b/>
                <w:bCs/>
                <w:color w:val="000000"/>
              </w:rPr>
              <w:t>Uzasadnienie celu pośredniego:</w:t>
            </w:r>
          </w:p>
          <w:p w14:paraId="536F09CA" w14:textId="7B926C19" w:rsidR="00BB0F80" w:rsidRPr="003A6407" w:rsidRDefault="00BB0F80" w:rsidP="00270B09">
            <w:pPr>
              <w:shd w:val="clear" w:color="auto" w:fill="FFFFFF"/>
              <w:spacing w:before="60" w:after="60" w:line="240" w:lineRule="auto"/>
              <w:contextualSpacing/>
              <w:jc w:val="both"/>
              <w:rPr>
                <w:rFonts w:eastAsia="Calibri" w:cs="Times New Roman"/>
                <w:b/>
                <w:bCs/>
                <w:color w:val="000000"/>
              </w:rPr>
            </w:pPr>
            <w:r w:rsidRPr="003A6407">
              <w:rPr>
                <w:rFonts w:eastAsia="Calibri" w:cs="Times New Roman"/>
                <w:b/>
                <w:bCs/>
                <w:color w:val="000000"/>
              </w:rPr>
              <w:t>Cel pośredni wskaźnika wynosi 0, z uwagi na opóźnienie przyjęcia programu, tj. rok 2022. Z danych historycznych wynika, że– nabór na e-usługi w zakresie: e-kultury; dostępu do informacji przestrzennej; bezpieczeństwa kryzysowego; e-zdrowia; e-administracji realizowany w ramach RPO WD 2014-2020 został zakończony w 2016 roku, tj. w dwa lata po przyjęciu programu, (który został przyjęty  w 2014 r.). Realizacja projektów infrastrukturalnych ww. naborze przypadała na kolejne lata, w konsekwencji wskaźniki w ramach projektów zaczęły być osiągane od roku 2018  - czyli 4 lata po przyjęciu programu. W związku z powyższym zakładając przyjęcie programu FEDS w 2022 r. osiąganie pierwszych wartości wskaźników szacuje się na rok 2026 r., stad wartość pośrednia wskaźnika  w 2024 r. wynosi 0.</w:t>
            </w:r>
          </w:p>
          <w:p w14:paraId="19F2381D" w14:textId="77777777" w:rsidR="00BB0F80" w:rsidRPr="003A6407" w:rsidRDefault="00BB0F80" w:rsidP="0070626C">
            <w:pPr>
              <w:shd w:val="clear" w:color="auto" w:fill="FFFFFF"/>
              <w:spacing w:before="60" w:after="60" w:line="240" w:lineRule="auto"/>
              <w:contextualSpacing/>
              <w:jc w:val="both"/>
              <w:rPr>
                <w:rFonts w:eastAsia="Calibri" w:cs="Times New Roman"/>
                <w:color w:val="000000"/>
              </w:rPr>
            </w:pPr>
          </w:p>
        </w:tc>
      </w:tr>
    </w:tbl>
    <w:p w14:paraId="722DBD07" w14:textId="77777777" w:rsidR="00BB0F80" w:rsidRPr="003A6407" w:rsidRDefault="00BB0F80" w:rsidP="00FD5A66">
      <w:pPr>
        <w:rPr>
          <w:rFonts w:eastAsia="Calibri"/>
        </w:rPr>
      </w:pPr>
    </w:p>
    <w:p w14:paraId="5FB9A3E9" w14:textId="77777777" w:rsidR="00BB0F80" w:rsidRPr="003A6407" w:rsidRDefault="00BB0F80" w:rsidP="00590330">
      <w:pPr>
        <w:pStyle w:val="Nagwek2"/>
        <w:spacing w:after="200"/>
      </w:pPr>
      <w:bookmarkStart w:id="84" w:name="_Toc114662364"/>
      <w:bookmarkStart w:id="85" w:name="_Toc120464370"/>
      <w:r w:rsidRPr="003A6407">
        <w:t>Wskaźniki rezultatu</w:t>
      </w:r>
      <w:bookmarkEnd w:id="84"/>
      <w:bookmarkEnd w:id="85"/>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711"/>
        <w:gridCol w:w="1557"/>
        <w:gridCol w:w="850"/>
        <w:gridCol w:w="813"/>
        <w:gridCol w:w="554"/>
        <w:gridCol w:w="691"/>
        <w:gridCol w:w="691"/>
        <w:gridCol w:w="690"/>
      </w:tblGrid>
      <w:tr w:rsidR="00191FE2" w:rsidRPr="003A6407" w14:paraId="7080601D" w14:textId="77777777" w:rsidTr="00AD1DFA">
        <w:trPr>
          <w:cantSplit/>
          <w:trHeight w:val="1768"/>
        </w:trPr>
        <w:tc>
          <w:tcPr>
            <w:tcW w:w="375" w:type="pct"/>
            <w:vAlign w:val="center"/>
          </w:tcPr>
          <w:p w14:paraId="6FD210E9"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1</w:t>
            </w:r>
          </w:p>
          <w:p w14:paraId="68DFB0BB"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 (ii)</w:t>
            </w:r>
          </w:p>
        </w:tc>
        <w:tc>
          <w:tcPr>
            <w:tcW w:w="345" w:type="pct"/>
            <w:vAlign w:val="center"/>
          </w:tcPr>
          <w:p w14:paraId="688BD9F6"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58359F03"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03" w:type="pct"/>
            <w:textDirection w:val="btLr"/>
            <w:vAlign w:val="center"/>
          </w:tcPr>
          <w:p w14:paraId="1C221E78"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83" w:type="pct"/>
            <w:shd w:val="clear" w:color="auto" w:fill="auto"/>
            <w:vAlign w:val="center"/>
          </w:tcPr>
          <w:p w14:paraId="63F7960B"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2C440388"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61" w:type="pct"/>
            <w:textDirection w:val="btLr"/>
            <w:vAlign w:val="center"/>
          </w:tcPr>
          <w:p w14:paraId="48484296"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172F4797"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0BDA3032"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4C779474" w14:textId="77777777" w:rsidR="00BB0F80" w:rsidRPr="003A6407" w:rsidRDefault="00BB0F80" w:rsidP="00AD1DFA">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2286F903" w14:textId="77777777" w:rsidR="00BB0F80" w:rsidRPr="003A6407" w:rsidRDefault="00BB0F80" w:rsidP="00AD1DFA">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2F0BBDE2" w14:textId="77777777" w:rsidR="00BB0F80" w:rsidRPr="003A6407" w:rsidRDefault="00BB0F80" w:rsidP="00AD1DFA">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3D954869" w14:textId="77777777" w:rsidTr="00AD1DFA">
        <w:trPr>
          <w:trHeight w:val="434"/>
        </w:trPr>
        <w:tc>
          <w:tcPr>
            <w:tcW w:w="375" w:type="pct"/>
            <w:vAlign w:val="center"/>
          </w:tcPr>
          <w:p w14:paraId="4C2C7858" w14:textId="77777777" w:rsidR="00BB0F80" w:rsidRDefault="00BB0F80" w:rsidP="00AD1DFA">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1 (ii)</w:t>
            </w:r>
          </w:p>
          <w:p w14:paraId="07F430A6" w14:textId="10B6E8E9" w:rsidR="00572DDA" w:rsidRPr="003A6407" w:rsidRDefault="00572DDA" w:rsidP="00AD1DFA">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1.2</w:t>
            </w:r>
          </w:p>
        </w:tc>
        <w:tc>
          <w:tcPr>
            <w:tcW w:w="345" w:type="pct"/>
            <w:vAlign w:val="center"/>
          </w:tcPr>
          <w:p w14:paraId="3DFB0A60" w14:textId="77777777" w:rsidR="00BB0F80" w:rsidRPr="003A6407" w:rsidRDefault="00BB0F80" w:rsidP="00AD1DFA">
            <w:pPr>
              <w:jc w:val="center"/>
              <w:rPr>
                <w:rFonts w:eastAsia="Calibri" w:cs="Times New Roman"/>
                <w:sz w:val="16"/>
                <w:szCs w:val="16"/>
              </w:rPr>
            </w:pPr>
            <w:r w:rsidRPr="003A6407">
              <w:rPr>
                <w:rFonts w:eastAsia="Calibri" w:cs="Times New Roman"/>
                <w:noProof/>
                <w:sz w:val="16"/>
                <w:szCs w:val="16"/>
              </w:rPr>
              <w:t>EFRR</w:t>
            </w:r>
          </w:p>
        </w:tc>
        <w:tc>
          <w:tcPr>
            <w:tcW w:w="562" w:type="pct"/>
            <w:vAlign w:val="center"/>
          </w:tcPr>
          <w:p w14:paraId="62C9D5F2" w14:textId="77777777" w:rsidR="00BB0F80" w:rsidRPr="003A6407" w:rsidRDefault="00BB0F80" w:rsidP="00AD1DFA">
            <w:pPr>
              <w:jc w:val="center"/>
              <w:rPr>
                <w:rFonts w:eastAsia="Calibri" w:cs="Times New Roman"/>
                <w:sz w:val="16"/>
                <w:szCs w:val="16"/>
              </w:rPr>
            </w:pPr>
            <w:r w:rsidRPr="003A6407">
              <w:rPr>
                <w:rFonts w:eastAsia="Calibri" w:cs="Times New Roman"/>
                <w:noProof/>
                <w:sz w:val="16"/>
                <w:szCs w:val="16"/>
              </w:rPr>
              <w:t>Przejściowy</w:t>
            </w:r>
          </w:p>
        </w:tc>
        <w:tc>
          <w:tcPr>
            <w:tcW w:w="403" w:type="pct"/>
            <w:vAlign w:val="center"/>
          </w:tcPr>
          <w:p w14:paraId="74219348" w14:textId="180A9DA8" w:rsidR="00BB0F80" w:rsidRPr="003A6407" w:rsidRDefault="00BB0F80" w:rsidP="00AD1DFA">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RCR11</w:t>
            </w:r>
          </w:p>
        </w:tc>
        <w:tc>
          <w:tcPr>
            <w:tcW w:w="883" w:type="pct"/>
            <w:shd w:val="clear" w:color="auto" w:fill="auto"/>
            <w:vAlign w:val="center"/>
          </w:tcPr>
          <w:p w14:paraId="471C205A" w14:textId="77777777" w:rsidR="00BB0F80" w:rsidRPr="003A6407" w:rsidRDefault="00BB0F80" w:rsidP="00AD1DFA">
            <w:pPr>
              <w:keepNext/>
              <w:keepLines/>
              <w:spacing w:before="200" w:after="0"/>
              <w:jc w:val="center"/>
              <w:outlineLvl w:val="2"/>
              <w:rPr>
                <w:rFonts w:asciiTheme="minorHAnsi" w:eastAsia="Times New Roman" w:hAnsiTheme="minorHAnsi" w:cstheme="minorHAnsi"/>
                <w:bCs/>
                <w:noProof/>
                <w:sz w:val="16"/>
                <w:szCs w:val="16"/>
              </w:rPr>
            </w:pPr>
            <w:bookmarkStart w:id="86" w:name="_Toc114662365"/>
            <w:bookmarkStart w:id="87" w:name="_Toc120464371"/>
            <w:r w:rsidRPr="003A6407">
              <w:rPr>
                <w:rFonts w:asciiTheme="minorHAnsi" w:eastAsia="Times New Roman" w:hAnsiTheme="minorHAnsi" w:cstheme="minorHAnsi"/>
                <w:bCs/>
                <w:noProof/>
                <w:sz w:val="16"/>
                <w:szCs w:val="16"/>
              </w:rPr>
              <w:t>Użytkownicy nowych i zmodernizowanych publicznych usług, produktów i procesów cyfrowych</w:t>
            </w:r>
            <w:bookmarkEnd w:id="86"/>
            <w:bookmarkEnd w:id="87"/>
          </w:p>
        </w:tc>
        <w:tc>
          <w:tcPr>
            <w:tcW w:w="482" w:type="pct"/>
            <w:vAlign w:val="center"/>
          </w:tcPr>
          <w:p w14:paraId="1D11E574" w14:textId="77777777" w:rsidR="00BB0F80" w:rsidRPr="003A6407" w:rsidRDefault="00BB0F80" w:rsidP="00AD1DFA">
            <w:pPr>
              <w:jc w:val="center"/>
              <w:rPr>
                <w:rFonts w:eastAsia="Calibri" w:cs="Times New Roman"/>
                <w:noProof/>
                <w:sz w:val="16"/>
                <w:szCs w:val="16"/>
                <w:lang w:eastAsia="pl-PL"/>
              </w:rPr>
            </w:pPr>
            <w:r w:rsidRPr="003A6407">
              <w:rPr>
                <w:rFonts w:eastAsia="Calibri" w:cs="Times New Roman"/>
                <w:noProof/>
                <w:sz w:val="16"/>
                <w:szCs w:val="16"/>
                <w:lang w:eastAsia="pl-PL"/>
              </w:rPr>
              <w:t>użytkownicy/rok</w:t>
            </w:r>
          </w:p>
        </w:tc>
        <w:tc>
          <w:tcPr>
            <w:tcW w:w="461" w:type="pct"/>
            <w:vAlign w:val="center"/>
          </w:tcPr>
          <w:p w14:paraId="529C54ED" w14:textId="5333ED7D" w:rsidR="00BB0F80" w:rsidRPr="003A6407" w:rsidRDefault="00890103" w:rsidP="00AD1DFA">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4" w:type="pct"/>
            <w:vAlign w:val="center"/>
          </w:tcPr>
          <w:p w14:paraId="5272F45E" w14:textId="2CB5CFED" w:rsidR="00BB0F80" w:rsidRPr="0021341B" w:rsidRDefault="00890103" w:rsidP="00AD1DFA">
            <w:pPr>
              <w:spacing w:before="120" w:after="120" w:line="240" w:lineRule="auto"/>
              <w:jc w:val="center"/>
              <w:rPr>
                <w:rFonts w:eastAsia="Calibri" w:cs="Times New Roman"/>
                <w:bCs/>
                <w:noProof/>
                <w:sz w:val="16"/>
                <w:szCs w:val="16"/>
                <w:lang w:eastAsia="pl-PL"/>
              </w:rPr>
            </w:pPr>
            <w:r w:rsidRPr="0021341B">
              <w:rPr>
                <w:rFonts w:eastAsia="Calibri" w:cs="Times New Roman"/>
                <w:bCs/>
                <w:noProof/>
                <w:sz w:val="16"/>
                <w:szCs w:val="16"/>
                <w:lang w:eastAsia="pl-PL"/>
              </w:rPr>
              <w:t>2022</w:t>
            </w:r>
          </w:p>
        </w:tc>
        <w:tc>
          <w:tcPr>
            <w:tcW w:w="392" w:type="pct"/>
            <w:shd w:val="clear" w:color="auto" w:fill="auto"/>
            <w:vAlign w:val="center"/>
          </w:tcPr>
          <w:p w14:paraId="1F15A60C" w14:textId="1C48C60D" w:rsidR="00BB0F80" w:rsidRPr="0021341B" w:rsidRDefault="00810930" w:rsidP="00AD1DFA">
            <w:pPr>
              <w:spacing w:before="120" w:after="120" w:line="240" w:lineRule="auto"/>
              <w:jc w:val="center"/>
              <w:rPr>
                <w:rFonts w:eastAsia="Calibri" w:cs="Times New Roman"/>
                <w:bCs/>
                <w:noProof/>
                <w:sz w:val="16"/>
                <w:szCs w:val="16"/>
                <w:lang w:eastAsia="pl-PL"/>
              </w:rPr>
            </w:pPr>
            <w:r w:rsidRPr="0021341B">
              <w:rPr>
                <w:rFonts w:eastAsia="Calibri" w:cs="Times New Roman"/>
                <w:bCs/>
                <w:noProof/>
                <w:sz w:val="16"/>
                <w:szCs w:val="16"/>
                <w:lang w:eastAsia="pl-PL"/>
              </w:rPr>
              <w:t xml:space="preserve"> 3 748</w:t>
            </w:r>
          </w:p>
        </w:tc>
        <w:tc>
          <w:tcPr>
            <w:tcW w:w="392" w:type="pct"/>
            <w:shd w:val="clear" w:color="auto" w:fill="auto"/>
            <w:vAlign w:val="center"/>
          </w:tcPr>
          <w:p w14:paraId="1C8FE36B" w14:textId="473EB93B" w:rsidR="00BB0F80" w:rsidRPr="003A6407" w:rsidRDefault="00890103" w:rsidP="00AD1DFA">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1" w:type="pct"/>
            <w:vAlign w:val="center"/>
          </w:tcPr>
          <w:p w14:paraId="5714372B" w14:textId="77777777" w:rsidR="00BB0F80" w:rsidRPr="003A6407" w:rsidRDefault="00BB0F80" w:rsidP="00AD1DFA">
            <w:pPr>
              <w:jc w:val="center"/>
              <w:rPr>
                <w:rFonts w:eastAsia="Calibri" w:cs="Times New Roman"/>
                <w:noProof/>
                <w:sz w:val="16"/>
                <w:szCs w:val="16"/>
              </w:rPr>
            </w:pPr>
          </w:p>
        </w:tc>
      </w:tr>
      <w:tr w:rsidR="00BB0F80" w:rsidRPr="003A6407" w14:paraId="02F9EBF7" w14:textId="77777777" w:rsidTr="00175EA5">
        <w:trPr>
          <w:trHeight w:val="434"/>
        </w:trPr>
        <w:tc>
          <w:tcPr>
            <w:tcW w:w="5000" w:type="pct"/>
            <w:gridSpan w:val="11"/>
          </w:tcPr>
          <w:p w14:paraId="2307AB2E"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Metodologia:</w:t>
            </w:r>
          </w:p>
          <w:p w14:paraId="783EBEAD"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Wskaźnik realizuje kod interwencji:</w:t>
            </w:r>
          </w:p>
          <w:p w14:paraId="1A25F12E" w14:textId="23005A3C" w:rsidR="00BB0F80" w:rsidRPr="003A6407" w:rsidRDefault="00BB0F80" w:rsidP="00270B09">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016 Rozwiązania TIK, usługi elektroniczne, aplikacje dla administracji</w:t>
            </w:r>
            <w:r w:rsidR="0057313F">
              <w:t xml:space="preserve"> </w:t>
            </w:r>
            <w:r w:rsidR="0057313F" w:rsidRPr="0057313F">
              <w:rPr>
                <w:rFonts w:eastAsia="Calibri" w:cs="Times New Roman"/>
              </w:rPr>
              <w:t>w sumie z kodem 017 Rozwiązania TIK, usługi elektroniczne, aplikacje dla administracji zgodne z kryteriami redukcji emisji gazów cieplarnianych lub kryteriami efektywności energetycznej</w:t>
            </w:r>
            <w:r w:rsidRPr="003A6407">
              <w:rPr>
                <w:rFonts w:eastAsia="Calibri" w:cs="Times New Roman"/>
              </w:rPr>
              <w:t xml:space="preserve"> (</w:t>
            </w:r>
            <w:r w:rsidR="00810930">
              <w:rPr>
                <w:rFonts w:eastAsia="Calibri" w:cs="Times New Roman"/>
              </w:rPr>
              <w:t>2</w:t>
            </w:r>
            <w:r w:rsidRPr="003A6407">
              <w:rPr>
                <w:rFonts w:eastAsia="Calibri" w:cs="Times New Roman"/>
              </w:rPr>
              <w:t>5</w:t>
            </w:r>
            <w:r w:rsidR="00810930">
              <w:rPr>
                <w:rFonts w:eastAsia="Calibri" w:cs="Times New Roman"/>
              </w:rPr>
              <w:t> 078 162</w:t>
            </w:r>
            <w:r w:rsidRPr="003A6407">
              <w:rPr>
                <w:rFonts w:eastAsia="Calibri" w:cs="Times New Roman"/>
              </w:rPr>
              <w:t>,00 EUR);</w:t>
            </w:r>
          </w:p>
          <w:p w14:paraId="3F1D8F7E"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Biorąc pod uwagę kurs EUR na poziomie 4,45 suma alokacji na realizację wskaźnika wynosi 111 597 820,90 PLN.</w:t>
            </w:r>
          </w:p>
          <w:p w14:paraId="5AE30D21" w14:textId="77777777" w:rsidR="00810930" w:rsidRPr="00810930" w:rsidRDefault="00810930" w:rsidP="00810930">
            <w:pPr>
              <w:shd w:val="clear" w:color="auto" w:fill="FFFFFF"/>
              <w:spacing w:before="60" w:after="60" w:line="240" w:lineRule="auto"/>
              <w:jc w:val="both"/>
              <w:rPr>
                <w:rFonts w:eastAsia="Calibri"/>
              </w:rPr>
            </w:pPr>
            <w:r w:rsidRPr="00810930">
              <w:rPr>
                <w:rFonts w:eastAsia="Calibri"/>
              </w:rPr>
              <w:t xml:space="preserve">Wartość wskaźnika została obliczona na podstawie analiz statystycznych GUS znajdujących się w opracowaniu „Społeczeństwo informacyjne w Polsce w 2021 r.” (GUS, Warszawa, Szczecin 2021). W analizie wykazano mi.in. dane dot. korzystania z usług administracji publicznej w poszczególnych województwach. </w:t>
            </w:r>
            <w:r w:rsidRPr="00810930">
              <w:rPr>
                <w:rFonts w:eastAsia="Calibri"/>
              </w:rPr>
              <w:lastRenderedPageBreak/>
              <w:t>Z e-administracji w woj. dolnośląskim  korzystało 54,7 % mieszkańców województwa, (Źródło: s. 148, komentarz pod wykresem nr 80 oraz mapa nr 27 Osoby korzystające z usług administracji publicznej za pomocą Internetu w ciągu ostatnich 12 miesięcy w 2021 r.). Tę informację wykorzystano do obliczenie wartości wskaźnika.</w:t>
            </w:r>
          </w:p>
          <w:p w14:paraId="537B9BD4" w14:textId="77777777" w:rsidR="00810930" w:rsidRPr="00810930" w:rsidRDefault="00810930" w:rsidP="00810930">
            <w:pPr>
              <w:shd w:val="clear" w:color="auto" w:fill="FFFFFF"/>
              <w:spacing w:before="60" w:after="60" w:line="240" w:lineRule="auto"/>
              <w:jc w:val="both"/>
              <w:rPr>
                <w:rFonts w:eastAsia="Calibri"/>
              </w:rPr>
            </w:pPr>
            <w:r w:rsidRPr="00810930">
              <w:rPr>
                <w:rFonts w:eastAsia="Calibri"/>
              </w:rPr>
              <w:t>Biorąc pod uwagę liczbę ludności na Dolnym Śląsku, która wg GUS w 2021 r. wyniosła 2 891 321 osób, a także wartość wskaźnika PLRO012 Liczba usług publicznych udostępnionych on-line o stopniu dojrzałości co najmniej 4 – transakcja (planowana wartość wskaźnika 211 szt.), obliczono wskaźnik Użytkownicy nowych i zmodernizowanych publicznych usług, produktów i procesów cyfrowych.</w:t>
            </w:r>
          </w:p>
          <w:p w14:paraId="481602FC" w14:textId="77777777" w:rsidR="00810930" w:rsidRPr="00810930" w:rsidRDefault="00810930" w:rsidP="00810930">
            <w:pPr>
              <w:shd w:val="clear" w:color="auto" w:fill="FFFFFF"/>
              <w:spacing w:before="60" w:after="60" w:line="240" w:lineRule="auto"/>
              <w:jc w:val="both"/>
              <w:rPr>
                <w:rFonts w:eastAsia="Calibri"/>
              </w:rPr>
            </w:pPr>
          </w:p>
          <w:p w14:paraId="0F7D57C4" w14:textId="77777777" w:rsidR="00810930" w:rsidRPr="00810930" w:rsidRDefault="00810930" w:rsidP="00810930">
            <w:pPr>
              <w:shd w:val="clear" w:color="auto" w:fill="FFFFFF"/>
              <w:spacing w:before="60" w:after="60" w:line="240" w:lineRule="auto"/>
              <w:jc w:val="both"/>
              <w:rPr>
                <w:rFonts w:eastAsia="Calibri"/>
              </w:rPr>
            </w:pPr>
            <w:r w:rsidRPr="00810930">
              <w:rPr>
                <w:rFonts w:eastAsia="Calibri"/>
              </w:rPr>
              <w:t>Obliczenia:</w:t>
            </w:r>
          </w:p>
          <w:p w14:paraId="569CA1FD" w14:textId="77777777" w:rsidR="00810930" w:rsidRPr="00810930" w:rsidRDefault="00810930" w:rsidP="00810930">
            <w:pPr>
              <w:shd w:val="clear" w:color="auto" w:fill="FFFFFF"/>
              <w:spacing w:before="60" w:after="60" w:line="240" w:lineRule="auto"/>
              <w:jc w:val="both"/>
              <w:rPr>
                <w:rFonts w:eastAsia="Calibri"/>
              </w:rPr>
            </w:pPr>
            <w:r w:rsidRPr="00810930">
              <w:rPr>
                <w:rFonts w:eastAsia="Calibri"/>
              </w:rPr>
              <w:t>2 891 321/54,7 % =  1 581 552,59 osób korzystających z e-administracji w woj. dolnośląskim</w:t>
            </w:r>
          </w:p>
          <w:p w14:paraId="51FF520F" w14:textId="77777777" w:rsidR="00810930" w:rsidRPr="00810930" w:rsidRDefault="00810930" w:rsidP="00810930">
            <w:pPr>
              <w:shd w:val="clear" w:color="auto" w:fill="FFFFFF"/>
              <w:spacing w:before="60" w:after="60" w:line="240" w:lineRule="auto"/>
              <w:jc w:val="both"/>
              <w:rPr>
                <w:rFonts w:eastAsia="Calibri"/>
              </w:rPr>
            </w:pPr>
            <w:r w:rsidRPr="00810930">
              <w:rPr>
                <w:rFonts w:eastAsia="Calibri"/>
              </w:rPr>
              <w:t>Liczba osób korzystających z e-administracji w woj. dolnośląskim została podzielona przez wartość wskaźnika PLRO012 Liczba usług publicznych udostępnionych on-line o stopniu dojrzałości co najmniej 4 – transakcja</w:t>
            </w:r>
          </w:p>
          <w:p w14:paraId="32DBDE31" w14:textId="77777777" w:rsidR="00810930" w:rsidRDefault="00810930" w:rsidP="00810930">
            <w:pPr>
              <w:shd w:val="clear" w:color="auto" w:fill="FFFFFF"/>
              <w:spacing w:before="60" w:after="60" w:line="240" w:lineRule="auto"/>
              <w:jc w:val="both"/>
              <w:rPr>
                <w:rFonts w:eastAsia="Calibri"/>
              </w:rPr>
            </w:pPr>
            <w:r w:rsidRPr="00810930">
              <w:rPr>
                <w:rFonts w:eastAsia="Calibri"/>
              </w:rPr>
              <w:t>1 581 552,59/211 =  7 495,51 osoby korzystające z nowych i zmodernizowanych publicznych usług, produktów i procesów cyfrowych.</w:t>
            </w:r>
          </w:p>
          <w:p w14:paraId="50FE4624" w14:textId="77777777" w:rsidR="00810930" w:rsidRDefault="00810930" w:rsidP="00810930">
            <w:pPr>
              <w:shd w:val="clear" w:color="auto" w:fill="FFFFFF"/>
              <w:spacing w:before="60" w:after="60" w:line="240" w:lineRule="auto"/>
              <w:jc w:val="both"/>
              <w:rPr>
                <w:rFonts w:eastAsia="Calibri"/>
              </w:rPr>
            </w:pPr>
          </w:p>
          <w:p w14:paraId="2C93403E" w14:textId="37E7C1B0" w:rsidR="00BB0F80" w:rsidRPr="003A6407" w:rsidRDefault="00BB0F80" w:rsidP="00810930">
            <w:pPr>
              <w:shd w:val="clear" w:color="auto" w:fill="FFFFFF"/>
              <w:spacing w:before="60" w:after="60" w:line="240" w:lineRule="auto"/>
              <w:jc w:val="both"/>
              <w:rPr>
                <w:rFonts w:eastAsia="Calibri"/>
              </w:rPr>
            </w:pPr>
            <w:r w:rsidRPr="003A6407">
              <w:rPr>
                <w:rFonts w:eastAsia="Calibri"/>
              </w:rPr>
              <w:t xml:space="preserve">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281461AB" w14:textId="77777777" w:rsidR="00BB0F80" w:rsidRPr="003A6407" w:rsidRDefault="00BB0F80" w:rsidP="00270B09">
            <w:pPr>
              <w:spacing w:before="60" w:after="60" w:line="240" w:lineRule="auto"/>
              <w:jc w:val="both"/>
              <w:rPr>
                <w:rFonts w:eastAsia="Calibri"/>
              </w:rPr>
            </w:pPr>
            <w:r w:rsidRPr="003A6407">
              <w:rPr>
                <w:rFonts w:eastAsia="Calibri"/>
              </w:rPr>
              <w:t xml:space="preserve">R= [(3*25)+(4*68)]/7= 49,5%. Wartość zaokrąglono do pełnej wartości 50%. </w:t>
            </w:r>
          </w:p>
          <w:p w14:paraId="30F39A1D" w14:textId="77777777" w:rsidR="00BB0F80" w:rsidRPr="003A6407" w:rsidRDefault="00BB0F80" w:rsidP="00270B09">
            <w:pPr>
              <w:shd w:val="clear" w:color="auto" w:fill="FFFFFF"/>
              <w:spacing w:before="60" w:after="60" w:line="240" w:lineRule="auto"/>
              <w:jc w:val="both"/>
              <w:rPr>
                <w:rFonts w:eastAsia="Calibri"/>
              </w:rPr>
            </w:pPr>
          </w:p>
          <w:p w14:paraId="0C6C1ED5"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Wyliczenie:</w:t>
            </w:r>
          </w:p>
          <w:p w14:paraId="2AE7921E" w14:textId="45989C5D" w:rsidR="00BB0F80" w:rsidRPr="003A6407" w:rsidRDefault="00810930" w:rsidP="00270B09">
            <w:pPr>
              <w:shd w:val="clear" w:color="auto" w:fill="FFFFFF"/>
              <w:spacing w:before="60" w:after="60" w:line="240" w:lineRule="auto"/>
              <w:jc w:val="both"/>
              <w:rPr>
                <w:rFonts w:eastAsia="Calibri"/>
              </w:rPr>
            </w:pPr>
            <w:r>
              <w:rPr>
                <w:rFonts w:eastAsia="Calibri"/>
              </w:rPr>
              <w:t>7 495,51</w:t>
            </w:r>
            <w:r w:rsidR="00BB0F80" w:rsidRPr="003A6407">
              <w:rPr>
                <w:rFonts w:eastAsia="Calibri"/>
              </w:rPr>
              <w:t xml:space="preserve">* (1-0,50) = </w:t>
            </w:r>
            <w:r>
              <w:rPr>
                <w:rFonts w:eastAsia="Calibri"/>
              </w:rPr>
              <w:t>3 747,75 = 3 748</w:t>
            </w:r>
            <w:r w:rsidR="00BB0F80" w:rsidRPr="003A6407">
              <w:rPr>
                <w:rFonts w:eastAsia="Calibri"/>
              </w:rPr>
              <w:t xml:space="preserve"> użytkowników/rok</w:t>
            </w:r>
          </w:p>
          <w:p w14:paraId="10DD6058"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color w:val="000000"/>
              </w:rPr>
              <w:t>Czynniki ryzyka, które mogą mieć wpływ na poziom osiągnięcia założonej wartości docelowej:</w:t>
            </w:r>
          </w:p>
          <w:p w14:paraId="17C5C279"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18C25FC5"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w:t>
            </w:r>
            <w:r w:rsidRPr="003A6407">
              <w:rPr>
                <w:rFonts w:eastAsia="Calibri" w:cs="Times New Roman"/>
                <w:color w:val="000000"/>
              </w:rPr>
              <w:t xml:space="preserve"> przez KE dla danej osi priorytetowej; (istotność: umiarkowana);</w:t>
            </w:r>
          </w:p>
          <w:p w14:paraId="73E0CACD"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Opóźnienia</w:t>
            </w:r>
            <w:r w:rsidRPr="003A6407">
              <w:rPr>
                <w:rFonts w:eastAsia="Calibri" w:cs="Times New Roman"/>
                <w:color w:val="000000"/>
              </w:rPr>
              <w:t>, bądź niewykonanie projektu związane z procedurami wynikającymi z zamówień publicznych, braku wykonawców; (istotność: poważna).</w:t>
            </w:r>
          </w:p>
          <w:p w14:paraId="11D10A32"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Ryzyka zależne od warunków społeczno-środowiskowych</w:t>
            </w:r>
            <w:r w:rsidRPr="003A6407">
              <w:rPr>
                <w:rFonts w:eastAsia="Calibri" w:cs="Times New Roman"/>
                <w:color w:val="000000"/>
              </w:rPr>
              <w:t>: związane z dostępnością do Internetu gospodarstw domowych, obszarem zamieszkania (małe miejscowości, wieś), wiekiem osób, umiejętnościami posługiwania się Internetem, uwzględniające populację osób niekorzystających z komputera oraz przyzwyczajenia ludzi do wizyt osobistych w urzędach. Należy założyć, że zawsze będzie występować pewien odsetek osób, które nigdy nie będą korzystać z komputera. waga ryzyka (istotność: poważna);</w:t>
            </w:r>
          </w:p>
          <w:p w14:paraId="1B80CD0C"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Problemy z zabezpieczeniem wkładu</w:t>
            </w:r>
            <w:r w:rsidRPr="003A6407">
              <w:rPr>
                <w:rFonts w:eastAsia="Calibri" w:cs="Times New Roman"/>
                <w:color w:val="000000"/>
              </w:rPr>
              <w:t xml:space="preserve"> własnego wnioskodawcy (istotność: poważna);</w:t>
            </w:r>
          </w:p>
          <w:p w14:paraId="374717A2"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540F52F6" w14:textId="77777777" w:rsidR="00BB0F80" w:rsidRPr="003A6407" w:rsidRDefault="00BB0F80" w:rsidP="00F20BCD">
            <w:pPr>
              <w:numPr>
                <w:ilvl w:val="0"/>
                <w:numId w:val="2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 xml:space="preserve">Ryzyko błędnego szacowania wartości wskaźnika z uwagi na brak danych z perspektywy 2014-2020 </w:t>
            </w:r>
            <w:r w:rsidRPr="003A6407">
              <w:rPr>
                <w:rFonts w:eastAsia="Calibri" w:cs="Times New Roman"/>
                <w:color w:val="000000"/>
              </w:rPr>
              <w:t>(nie były monitorowane wskaźniki związane z liczbą użytkowników wsparcia oferowanego w ramach cyfryzacji) (istotność: poważna);</w:t>
            </w:r>
          </w:p>
          <w:p w14:paraId="3F7256CB" w14:textId="77777777" w:rsidR="003C5712" w:rsidRPr="003A6407" w:rsidRDefault="003C5712" w:rsidP="003C5712">
            <w:pPr>
              <w:shd w:val="clear" w:color="auto" w:fill="FFFFFF"/>
              <w:spacing w:before="60" w:after="60" w:line="240" w:lineRule="auto"/>
              <w:contextualSpacing/>
              <w:jc w:val="both"/>
              <w:rPr>
                <w:rFonts w:eastAsia="Calibri" w:cs="Times New Roman"/>
                <w:color w:val="000000"/>
              </w:rPr>
            </w:pPr>
          </w:p>
          <w:p w14:paraId="3D626643" w14:textId="1ED69105" w:rsidR="003C5712" w:rsidRPr="003A6407" w:rsidRDefault="003C5712" w:rsidP="00412D9C">
            <w:pPr>
              <w:shd w:val="clear" w:color="auto" w:fill="FFFFFF"/>
              <w:spacing w:before="60" w:after="60" w:line="240" w:lineRule="auto"/>
              <w:contextualSpacing/>
              <w:jc w:val="both"/>
              <w:rPr>
                <w:rFonts w:eastAsia="Calibri" w:cs="Times New Roman"/>
                <w:color w:val="000000"/>
              </w:rPr>
            </w:pPr>
          </w:p>
        </w:tc>
      </w:tr>
    </w:tbl>
    <w:p w14:paraId="48DE0B1E" w14:textId="77777777" w:rsidR="00BB0F80" w:rsidRPr="003A6407" w:rsidRDefault="00BB0F80" w:rsidP="00495445">
      <w:pPr>
        <w:pStyle w:val="Nagwek3"/>
        <w:spacing w:after="200"/>
        <w:rPr>
          <w:rFonts w:eastAsia="Calibri"/>
        </w:rPr>
      </w:pPr>
    </w:p>
    <w:p w14:paraId="095D5412" w14:textId="1F0C5048" w:rsidR="00BB0F80" w:rsidRPr="003A6407" w:rsidRDefault="00BB0F80" w:rsidP="003005E1">
      <w:pPr>
        <w:pStyle w:val="Nagwek2"/>
        <w:rPr>
          <w:rFonts w:eastAsia="Times New Roman"/>
        </w:rPr>
      </w:pPr>
      <w:bookmarkStart w:id="88" w:name="_Toc114662366"/>
      <w:bookmarkStart w:id="89" w:name="_Toc120464372"/>
      <w:r w:rsidRPr="003A6407">
        <w:rPr>
          <w:rFonts w:eastAsia="Calibri"/>
        </w:rPr>
        <w:t xml:space="preserve">CEL SZCZEGÓŁOWY: </w:t>
      </w:r>
      <w:bookmarkStart w:id="90" w:name="_Toc97127017"/>
      <w:r w:rsidR="00572DDA" w:rsidRPr="00572DDA">
        <w:rPr>
          <w:rFonts w:eastAsia="Times New Roman"/>
        </w:rPr>
        <w:t>RSO1.3. Wzmacnianie trwałego wzrostu i konkurencyjności MŚP oraz tworzenie miejsc pracy w MŚP, w tym poprzez inwestycje produkcyjne (EFRR)</w:t>
      </w:r>
      <w:bookmarkEnd w:id="88"/>
      <w:bookmarkEnd w:id="89"/>
      <w:r w:rsidRPr="003A6407">
        <w:rPr>
          <w:rFonts w:eastAsia="Times New Roman"/>
        </w:rPr>
        <w:t xml:space="preserve"> </w:t>
      </w:r>
      <w:bookmarkEnd w:id="90"/>
    </w:p>
    <w:p w14:paraId="5C6EFCAC" w14:textId="77777777" w:rsidR="00BB0F80" w:rsidRPr="003A6407" w:rsidRDefault="00BB0F80" w:rsidP="00590330">
      <w:pPr>
        <w:pStyle w:val="Nagwek2"/>
        <w:spacing w:after="200"/>
      </w:pPr>
      <w:bookmarkStart w:id="91" w:name="_Toc114662367"/>
      <w:bookmarkStart w:id="92" w:name="_Toc120464373"/>
      <w:r w:rsidRPr="003A6407">
        <w:t>Wskaźniki produktu</w:t>
      </w:r>
      <w:bookmarkEnd w:id="91"/>
      <w:bookmarkEnd w:id="92"/>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5308CA7F" w14:textId="77777777" w:rsidTr="00AD1DFA">
        <w:trPr>
          <w:cantSplit/>
          <w:trHeight w:val="1647"/>
        </w:trPr>
        <w:tc>
          <w:tcPr>
            <w:tcW w:w="451" w:type="pct"/>
            <w:shd w:val="clear" w:color="auto" w:fill="auto"/>
            <w:vAlign w:val="center"/>
          </w:tcPr>
          <w:p w14:paraId="28E02CED"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3B283CCA" w14:textId="149B735B"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11B0F02C"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4BFA72D8"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62149E69" w14:textId="77777777" w:rsidR="00BB0F80" w:rsidRPr="003A6407" w:rsidRDefault="00BB0F80" w:rsidP="00AD1DFA">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4C0E0918" w14:textId="2AA5330A"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517FCD96"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2EFED49A"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012EDB03"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7D94A501"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4A8B09EE"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r>
      <w:tr w:rsidR="00BB0F80" w:rsidRPr="003A6407" w14:paraId="73BA1EE1" w14:textId="77777777" w:rsidTr="00AD1DFA">
        <w:trPr>
          <w:trHeight w:val="340"/>
        </w:trPr>
        <w:tc>
          <w:tcPr>
            <w:tcW w:w="451" w:type="pct"/>
            <w:shd w:val="clear" w:color="auto" w:fill="auto"/>
            <w:vAlign w:val="center"/>
          </w:tcPr>
          <w:p w14:paraId="01D6D363" w14:textId="77777777" w:rsidR="00BB0F80"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(iii)</w:t>
            </w:r>
          </w:p>
          <w:p w14:paraId="134D5E94" w14:textId="767A34EE" w:rsidR="00572DDA" w:rsidRPr="003A6407" w:rsidRDefault="00572DDA"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1.3</w:t>
            </w:r>
          </w:p>
        </w:tc>
        <w:tc>
          <w:tcPr>
            <w:tcW w:w="494" w:type="pct"/>
            <w:shd w:val="clear" w:color="auto" w:fill="auto"/>
            <w:vAlign w:val="center"/>
          </w:tcPr>
          <w:p w14:paraId="1A321196"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0DD9555A"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65AC1777" w14:textId="6A4EE17D"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RCO01</w:t>
            </w:r>
          </w:p>
        </w:tc>
        <w:tc>
          <w:tcPr>
            <w:tcW w:w="1206" w:type="pct"/>
            <w:shd w:val="clear" w:color="auto" w:fill="auto"/>
            <w:vAlign w:val="center"/>
          </w:tcPr>
          <w:p w14:paraId="160D0BCC" w14:textId="77777777" w:rsidR="00BB0F80" w:rsidRPr="003A6407" w:rsidRDefault="00BB0F80" w:rsidP="00AD1DFA">
            <w:pPr>
              <w:keepNext/>
              <w:keepLines/>
              <w:spacing w:before="200" w:after="0"/>
              <w:jc w:val="center"/>
              <w:outlineLvl w:val="2"/>
              <w:rPr>
                <w:rFonts w:asciiTheme="minorHAnsi" w:eastAsia="Times New Roman" w:hAnsiTheme="minorHAnsi" w:cstheme="minorHAnsi"/>
                <w:bCs/>
                <w:noProof/>
                <w:sz w:val="16"/>
                <w:szCs w:val="16"/>
              </w:rPr>
            </w:pPr>
            <w:bookmarkStart w:id="93" w:name="_Toc97127018"/>
            <w:bookmarkStart w:id="94" w:name="_Toc114662368"/>
            <w:bookmarkStart w:id="95" w:name="_Toc120464374"/>
            <w:r w:rsidRPr="003A6407">
              <w:rPr>
                <w:rFonts w:asciiTheme="minorHAnsi" w:eastAsia="Times New Roman" w:hAnsiTheme="minorHAnsi" w:cstheme="minorHAnsi"/>
                <w:bCs/>
                <w:noProof/>
                <w:sz w:val="16"/>
                <w:szCs w:val="16"/>
              </w:rPr>
              <w:t>Przedsiębiorstwa objęte wsparciem (w tym: mikro, małe, średnie, duże)</w:t>
            </w:r>
            <w:bookmarkEnd w:id="93"/>
            <w:bookmarkEnd w:id="94"/>
            <w:bookmarkEnd w:id="95"/>
          </w:p>
        </w:tc>
        <w:tc>
          <w:tcPr>
            <w:tcW w:w="884" w:type="pct"/>
            <w:shd w:val="clear" w:color="auto" w:fill="auto"/>
            <w:vAlign w:val="center"/>
          </w:tcPr>
          <w:p w14:paraId="0D8A433D" w14:textId="6F2D6B3C" w:rsidR="00BB0F80" w:rsidRPr="003A6407" w:rsidRDefault="00533365"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przedsiębiorstwa</w:t>
            </w:r>
          </w:p>
        </w:tc>
        <w:tc>
          <w:tcPr>
            <w:tcW w:w="482" w:type="pct"/>
            <w:shd w:val="clear" w:color="auto" w:fill="auto"/>
            <w:vAlign w:val="center"/>
          </w:tcPr>
          <w:p w14:paraId="0C42427F" w14:textId="3C77D7D4" w:rsidR="00BB0F80" w:rsidRPr="003A6407" w:rsidRDefault="00243B24"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4</w:t>
            </w:r>
            <w:r w:rsidR="00890103" w:rsidRPr="003A6407">
              <w:rPr>
                <w:rFonts w:eastAsia="Calibri" w:cs="Times New Roman"/>
                <w:noProof/>
                <w:sz w:val="16"/>
                <w:szCs w:val="16"/>
              </w:rPr>
              <w:t>,00</w:t>
            </w:r>
          </w:p>
        </w:tc>
        <w:tc>
          <w:tcPr>
            <w:tcW w:w="502" w:type="pct"/>
            <w:shd w:val="clear" w:color="auto" w:fill="auto"/>
            <w:vAlign w:val="center"/>
          </w:tcPr>
          <w:p w14:paraId="64FDB29D" w14:textId="695EFFD6" w:rsidR="00BB0F80" w:rsidRPr="003A6407" w:rsidRDefault="004D1FB7" w:rsidP="00AD1DFA">
            <w:pPr>
              <w:spacing w:after="0" w:line="240" w:lineRule="auto"/>
              <w:jc w:val="center"/>
              <w:rPr>
                <w:rFonts w:eastAsia="Calibri"/>
                <w:noProof/>
                <w:sz w:val="16"/>
                <w:szCs w:val="16"/>
              </w:rPr>
            </w:pPr>
            <w:r>
              <w:rPr>
                <w:rFonts w:eastAsia="Calibri"/>
                <w:noProof/>
                <w:sz w:val="16"/>
                <w:szCs w:val="16"/>
              </w:rPr>
              <w:t>831</w:t>
            </w:r>
            <w:r w:rsidR="00AD1DFA" w:rsidRPr="003A6407">
              <w:rPr>
                <w:rFonts w:eastAsia="Calibri"/>
                <w:noProof/>
                <w:sz w:val="16"/>
                <w:szCs w:val="16"/>
              </w:rPr>
              <w:t>,00</w:t>
            </w:r>
          </w:p>
        </w:tc>
      </w:tr>
      <w:tr w:rsidR="00BB0F80" w:rsidRPr="003A6407" w14:paraId="467027D9" w14:textId="77777777" w:rsidTr="00270B09">
        <w:trPr>
          <w:trHeight w:val="340"/>
        </w:trPr>
        <w:tc>
          <w:tcPr>
            <w:tcW w:w="5000" w:type="pct"/>
            <w:gridSpan w:val="8"/>
            <w:shd w:val="clear" w:color="auto" w:fill="auto"/>
          </w:tcPr>
          <w:p w14:paraId="463F8284"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0D7EE7A2"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5888F7FC" w14:textId="7C89941F" w:rsidR="00BB0F80" w:rsidRDefault="00BB0F80" w:rsidP="00F20BCD">
            <w:pPr>
              <w:numPr>
                <w:ilvl w:val="0"/>
                <w:numId w:val="25"/>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 (52 664 140,00 EUR);</w:t>
            </w:r>
          </w:p>
          <w:p w14:paraId="593FB805" w14:textId="77777777" w:rsidR="004D1FB7" w:rsidRDefault="004D1FB7" w:rsidP="004D1FB7">
            <w:pPr>
              <w:numPr>
                <w:ilvl w:val="0"/>
                <w:numId w:val="25"/>
              </w:numPr>
              <w:shd w:val="clear" w:color="auto" w:fill="FFFFFF"/>
              <w:spacing w:before="60" w:after="60" w:line="240" w:lineRule="auto"/>
              <w:contextualSpacing/>
              <w:jc w:val="both"/>
              <w:rPr>
                <w:rFonts w:eastAsia="Calibri" w:cs="Times New Roman"/>
              </w:rPr>
            </w:pPr>
            <w:r w:rsidRPr="009E10C5">
              <w:rPr>
                <w:rFonts w:eastAsia="Calibri" w:cs="Times New Roman"/>
              </w:rPr>
              <w:t xml:space="preserve">020 Infrastruktura biznesowa dla MŚP (w tym parki i obiekty przemysłowe) </w:t>
            </w:r>
            <w:r>
              <w:rPr>
                <w:rFonts w:eastAsia="Calibri" w:cs="Times New Roman"/>
              </w:rPr>
              <w:t>(</w:t>
            </w:r>
            <w:r w:rsidRPr="009E10C5">
              <w:rPr>
                <w:rFonts w:eastAsia="Calibri" w:cs="Times New Roman"/>
              </w:rPr>
              <w:t>17 570 346,00 EUR</w:t>
            </w:r>
            <w:r>
              <w:rPr>
                <w:rFonts w:eastAsia="Calibri" w:cs="Times New Roman"/>
              </w:rPr>
              <w:t>);</w:t>
            </w:r>
          </w:p>
          <w:p w14:paraId="4504723B" w14:textId="77777777" w:rsidR="004D1FB7" w:rsidRPr="003A6407" w:rsidRDefault="004D1FB7" w:rsidP="004D1FB7">
            <w:pPr>
              <w:shd w:val="clear" w:color="auto" w:fill="FFFFFF"/>
              <w:spacing w:before="60" w:after="60" w:line="240" w:lineRule="auto"/>
              <w:ind w:left="720"/>
              <w:contextualSpacing/>
              <w:jc w:val="both"/>
              <w:rPr>
                <w:rFonts w:eastAsia="Calibri" w:cs="Times New Roman"/>
              </w:rPr>
            </w:pPr>
          </w:p>
          <w:p w14:paraId="199E58FD" w14:textId="41815EBF"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4D1FB7" w:rsidRPr="004D1FB7">
              <w:rPr>
                <w:rFonts w:eastAsia="Calibri"/>
              </w:rPr>
              <w:t>312 543 462,70</w:t>
            </w:r>
            <w:r w:rsidR="004D1FB7">
              <w:rPr>
                <w:rFonts w:eastAsia="Calibri"/>
              </w:rPr>
              <w:t xml:space="preserve"> PLN</w:t>
            </w:r>
            <w:r w:rsidR="004D1FB7" w:rsidRPr="004D1FB7">
              <w:rPr>
                <w:rFonts w:eastAsia="Calibri"/>
              </w:rPr>
              <w:t xml:space="preserve">    (70 234 486,00 EUR)</w:t>
            </w:r>
          </w:p>
          <w:p w14:paraId="6AC89E9A" w14:textId="789B0296"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Historyczny koszt jednostkowy – nie dotyczy. Wskaźnik jest sumą wskaźników produktów o nr od RCO02 do RCO04, czyli w przypadku zakresu wsparcia CP1 cel szczegółowy iii jest to wskaźnik, tj. </w:t>
            </w:r>
            <w:r w:rsidR="004D1FB7">
              <w:rPr>
                <w:rFonts w:eastAsia="Calibri"/>
              </w:rPr>
              <w:t xml:space="preserve">RCO02 oraz </w:t>
            </w:r>
            <w:r w:rsidRPr="003A6407">
              <w:rPr>
                <w:rFonts w:eastAsia="Calibri"/>
              </w:rPr>
              <w:t>RCO</w:t>
            </w:r>
            <w:r w:rsidR="004D1FB7">
              <w:rPr>
                <w:rFonts w:eastAsia="Calibri"/>
              </w:rPr>
              <w:t>0</w:t>
            </w:r>
            <w:r w:rsidRPr="003A6407">
              <w:rPr>
                <w:rFonts w:eastAsia="Calibri"/>
              </w:rPr>
              <w:t xml:space="preserve">3. Z godnie z powyższym wartość i podejście metodologiczne do wartości wskaźnika RCO01 jest takie same jak we wskaźniku </w:t>
            </w:r>
            <w:r w:rsidR="004D1FB7">
              <w:rPr>
                <w:rFonts w:eastAsia="Calibri"/>
              </w:rPr>
              <w:t xml:space="preserve">RCO02 oraz </w:t>
            </w:r>
            <w:r w:rsidRPr="003A6407">
              <w:rPr>
                <w:rFonts w:eastAsia="Calibri"/>
              </w:rPr>
              <w:t xml:space="preserve">RCO03. Wskaźnik kompensacji zgodnie z przyjętym wskaźnikiem kompensacji w </w:t>
            </w:r>
            <w:r w:rsidR="004D1FB7" w:rsidRPr="004D1FB7">
              <w:rPr>
                <w:rFonts w:eastAsia="Calibri"/>
              </w:rPr>
              <w:t xml:space="preserve">RCO02 oraz </w:t>
            </w:r>
            <w:r w:rsidRPr="003A6407">
              <w:rPr>
                <w:rFonts w:eastAsia="Calibri"/>
              </w:rPr>
              <w:t xml:space="preserve">RCO03: </w:t>
            </w:r>
          </w:p>
          <w:p w14:paraId="2D7958BB" w14:textId="77777777" w:rsidR="00BB0F80" w:rsidRPr="003A6407" w:rsidRDefault="00BB0F80" w:rsidP="00FD5A66">
            <w:pPr>
              <w:shd w:val="clear" w:color="auto" w:fill="FFFFFF"/>
              <w:spacing w:before="60" w:after="60" w:line="240" w:lineRule="auto"/>
              <w:jc w:val="both"/>
              <w:rPr>
                <w:rFonts w:eastAsia="Calibri"/>
              </w:rPr>
            </w:pPr>
          </w:p>
          <w:p w14:paraId="234DCF3C" w14:textId="7223752F" w:rsidR="00BB0F80" w:rsidRPr="003A6407" w:rsidRDefault="00BB0F80" w:rsidP="00FD5A66">
            <w:pPr>
              <w:shd w:val="clear" w:color="auto" w:fill="FFFFFF"/>
              <w:spacing w:before="60" w:after="60" w:line="240" w:lineRule="auto"/>
              <w:jc w:val="both"/>
              <w:rPr>
                <w:rFonts w:eastAsia="Calibri"/>
              </w:rPr>
            </w:pPr>
            <w:r w:rsidRPr="003A6407">
              <w:rPr>
                <w:rFonts w:eastAsia="Calibri"/>
              </w:rPr>
              <w:t>R= [(5*25)+(2*68)]/7= 37,2</w:t>
            </w:r>
            <w:r w:rsidR="00412D9C" w:rsidRPr="003A6407">
              <w:rPr>
                <w:rFonts w:eastAsia="Calibri"/>
              </w:rPr>
              <w:t>%</w:t>
            </w:r>
            <w:r w:rsidRPr="003A6407">
              <w:rPr>
                <w:rFonts w:eastAsia="Calibri"/>
              </w:rPr>
              <w:t xml:space="preserve">. Wartość zaokrąglono do pełnej wartości 37%. </w:t>
            </w:r>
          </w:p>
          <w:p w14:paraId="7B13E757" w14:textId="77777777" w:rsidR="00BB0F80" w:rsidRPr="003A6407" w:rsidRDefault="00BB0F80" w:rsidP="00FD5A66">
            <w:pPr>
              <w:shd w:val="clear" w:color="auto" w:fill="FFFFFF"/>
              <w:spacing w:before="60" w:after="60" w:line="240" w:lineRule="auto"/>
              <w:jc w:val="both"/>
              <w:rPr>
                <w:rFonts w:eastAsia="Calibri"/>
              </w:rPr>
            </w:pPr>
          </w:p>
          <w:p w14:paraId="459EFDCD"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7F7B6B6C" w14:textId="6022F878" w:rsidR="00BB0F80" w:rsidRPr="003A6407" w:rsidRDefault="00BB0F80" w:rsidP="00FD5A66">
            <w:pPr>
              <w:shd w:val="clear" w:color="auto" w:fill="FFFFFF"/>
              <w:spacing w:before="60" w:after="60" w:line="240" w:lineRule="auto"/>
              <w:jc w:val="both"/>
              <w:rPr>
                <w:rFonts w:eastAsia="Calibri"/>
              </w:rPr>
            </w:pPr>
            <w:r w:rsidRPr="003A6407">
              <w:rPr>
                <w:rFonts w:eastAsia="Calibri"/>
              </w:rPr>
              <w:t>RCO01=</w:t>
            </w:r>
            <w:r w:rsidR="004D1FB7">
              <w:t xml:space="preserve"> </w:t>
            </w:r>
            <w:r w:rsidR="004D1FB7" w:rsidRPr="004D1FB7">
              <w:rPr>
                <w:rFonts w:eastAsia="Calibri"/>
              </w:rPr>
              <w:t xml:space="preserve">RCO02 oraz </w:t>
            </w:r>
            <w:r w:rsidRPr="003A6407">
              <w:rPr>
                <w:rFonts w:eastAsia="Calibri"/>
              </w:rPr>
              <w:t xml:space="preserve">RCO03= </w:t>
            </w:r>
            <w:r w:rsidR="004D1FB7">
              <w:rPr>
                <w:rFonts w:eastAsia="Calibri"/>
              </w:rPr>
              <w:t>831</w:t>
            </w:r>
            <w:r w:rsidRPr="003A6407">
              <w:rPr>
                <w:rFonts w:eastAsia="Calibri"/>
              </w:rPr>
              <w:t xml:space="preserve"> przedsiębiorstw </w:t>
            </w:r>
          </w:p>
          <w:p w14:paraId="3CD51927"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5632BE04" w14:textId="77777777" w:rsidR="00BB0F80" w:rsidRPr="003A6407" w:rsidRDefault="00BB0F80" w:rsidP="00F20BCD">
            <w:pPr>
              <w:numPr>
                <w:ilvl w:val="0"/>
                <w:numId w:val="27"/>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73B078EA" w14:textId="77777777" w:rsidR="00BB0F80" w:rsidRPr="003A6407" w:rsidRDefault="00BB0F80" w:rsidP="00F20BCD">
            <w:pPr>
              <w:numPr>
                <w:ilvl w:val="0"/>
                <w:numId w:val="27"/>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Zawieszenie płatności przez KE dla danej osi priorytetowej</w:t>
            </w:r>
            <w:r w:rsidRPr="003A6407">
              <w:rPr>
                <w:rFonts w:eastAsia="Calibri" w:cs="Times New Roman"/>
                <w:color w:val="000000"/>
              </w:rPr>
              <w:t>; (istotność: umiarkowana);</w:t>
            </w:r>
          </w:p>
          <w:p w14:paraId="541BA490" w14:textId="726A1D28" w:rsidR="00BB0F80" w:rsidRPr="003A6407" w:rsidRDefault="004D1FB7" w:rsidP="00F20BCD">
            <w:pPr>
              <w:numPr>
                <w:ilvl w:val="0"/>
                <w:numId w:val="27"/>
              </w:numPr>
              <w:shd w:val="clear" w:color="auto" w:fill="FFFFFF"/>
              <w:spacing w:before="60" w:after="60" w:line="240" w:lineRule="auto"/>
              <w:contextualSpacing/>
              <w:jc w:val="both"/>
              <w:rPr>
                <w:rFonts w:eastAsia="Calibri" w:cs="Times New Roman"/>
                <w:b/>
                <w:color w:val="000000"/>
              </w:rPr>
            </w:pPr>
            <w:r w:rsidRPr="004D1FB7">
              <w:rPr>
                <w:rFonts w:eastAsia="Calibri" w:cs="Times New Roman"/>
                <w:b/>
                <w:color w:val="000000"/>
              </w:rPr>
              <w:t xml:space="preserve">Opóźnienia, bądź niewykonanie projektu związane z trybem konkurencyjnym i brakiem / ograniczonym dostępem do materiałów/surowców/półproduktów, zabezpieczeniem wkładu własnego </w:t>
            </w:r>
            <w:proofErr w:type="spellStart"/>
            <w:r w:rsidRPr="004D1FB7">
              <w:rPr>
                <w:rFonts w:eastAsia="Calibri" w:cs="Times New Roman"/>
                <w:b/>
                <w:color w:val="000000"/>
              </w:rPr>
              <w:t>ect</w:t>
            </w:r>
            <w:proofErr w:type="spellEnd"/>
            <w:r w:rsidRPr="004D1FB7">
              <w:rPr>
                <w:rFonts w:eastAsia="Calibri" w:cs="Times New Roman"/>
                <w:b/>
                <w:color w:val="000000"/>
              </w:rPr>
              <w:t>.</w:t>
            </w:r>
            <w:r w:rsidR="00BB0F80" w:rsidRPr="003A6407">
              <w:rPr>
                <w:rFonts w:eastAsia="Calibri" w:cs="Times New Roman"/>
                <w:b/>
                <w:color w:val="000000"/>
              </w:rPr>
              <w:t>;</w:t>
            </w:r>
            <w:r w:rsidR="00BB0F80" w:rsidRPr="003A6407" w:rsidDel="00B27003">
              <w:rPr>
                <w:rFonts w:eastAsia="Calibri" w:cs="Times New Roman"/>
                <w:b/>
                <w:color w:val="000000"/>
              </w:rPr>
              <w:t xml:space="preserve"> </w:t>
            </w:r>
            <w:r w:rsidR="00BB0F80" w:rsidRPr="003A6407">
              <w:rPr>
                <w:rFonts w:eastAsia="Calibri" w:cs="Times New Roman"/>
                <w:bCs/>
                <w:color w:val="000000"/>
              </w:rPr>
              <w:t>(istotność: poważna);</w:t>
            </w:r>
          </w:p>
          <w:p w14:paraId="43851662" w14:textId="77777777" w:rsidR="00BB0F80" w:rsidRPr="003A6407" w:rsidRDefault="00BB0F80" w:rsidP="00F20BCD">
            <w:pPr>
              <w:numPr>
                <w:ilvl w:val="0"/>
                <w:numId w:val="27"/>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 xml:space="preserve">Wpływ pandemii Covid-19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3B880EC" w14:textId="77777777" w:rsidR="00BB0F80" w:rsidRPr="003A6407" w:rsidRDefault="00BB0F80" w:rsidP="00F20BCD">
            <w:pPr>
              <w:numPr>
                <w:ilvl w:val="0"/>
                <w:numId w:val="27"/>
              </w:numPr>
              <w:spacing w:after="0" w:line="240" w:lineRule="auto"/>
              <w:contextualSpacing/>
              <w:jc w:val="both"/>
              <w:rPr>
                <w:rFonts w:eastAsia="Calibri" w:cs="Times New Roman"/>
                <w:color w:val="000000"/>
              </w:rPr>
            </w:pPr>
            <w:r w:rsidRPr="003A6407">
              <w:rPr>
                <w:rFonts w:eastAsia="Calibri" w:cs="Times New Roman"/>
                <w:b/>
                <w:bCs/>
                <w:color w:val="000000"/>
              </w:rPr>
              <w:t>Duplikujące się przedsiębiorstwa</w:t>
            </w:r>
            <w:r w:rsidRPr="003A6407">
              <w:rPr>
                <w:rFonts w:eastAsia="Calibri" w:cs="Times New Roman"/>
                <w:color w:val="000000"/>
              </w:rPr>
              <w:t xml:space="preserve"> (istotność: umiarkowana);</w:t>
            </w:r>
          </w:p>
          <w:p w14:paraId="3836B6FA" w14:textId="77777777" w:rsidR="00BB0F80" w:rsidRPr="003A6407" w:rsidRDefault="00BB0F80" w:rsidP="00F20BCD">
            <w:pPr>
              <w:numPr>
                <w:ilvl w:val="0"/>
                <w:numId w:val="27"/>
              </w:numPr>
              <w:spacing w:after="0" w:line="240" w:lineRule="auto"/>
              <w:contextualSpacing/>
              <w:jc w:val="both"/>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2616551C" w14:textId="3C18C781" w:rsidR="00BB0F80" w:rsidRPr="003A6407" w:rsidRDefault="00BB0F80" w:rsidP="00F20BCD">
            <w:pPr>
              <w:numPr>
                <w:ilvl w:val="0"/>
                <w:numId w:val="27"/>
              </w:numPr>
              <w:spacing w:after="0" w:line="240" w:lineRule="auto"/>
              <w:contextualSpacing/>
              <w:jc w:val="both"/>
              <w:rPr>
                <w:rFonts w:eastAsia="Calibri" w:cs="Times New Roman"/>
                <w:color w:val="000000"/>
              </w:rPr>
            </w:pPr>
            <w:r w:rsidRPr="003A6407">
              <w:rPr>
                <w:rFonts w:eastAsia="Calibri" w:cs="Times New Roman"/>
                <w:b/>
                <w:bCs/>
                <w:color w:val="000000"/>
              </w:rPr>
              <w:t xml:space="preserve">Opóźnienia dotyczące uruchomienia </w:t>
            </w:r>
            <w:proofErr w:type="spellStart"/>
            <w:r w:rsidRPr="003A6407">
              <w:rPr>
                <w:rFonts w:eastAsia="Calibri" w:cs="Times New Roman"/>
                <w:b/>
                <w:bCs/>
                <w:color w:val="000000"/>
              </w:rPr>
              <w:t>pozadotacyjnego</w:t>
            </w:r>
            <w:proofErr w:type="spellEnd"/>
            <w:r w:rsidRPr="003A6407">
              <w:rPr>
                <w:rFonts w:eastAsia="Calibri" w:cs="Times New Roman"/>
                <w:b/>
                <w:bCs/>
                <w:color w:val="000000"/>
              </w:rPr>
              <w:t xml:space="preserve"> systemu</w:t>
            </w:r>
            <w:r w:rsidRPr="003A6407">
              <w:rPr>
                <w:rFonts w:eastAsia="Calibri" w:cs="Times New Roman"/>
                <w:color w:val="000000"/>
              </w:rPr>
              <w:t xml:space="preserve"> wsparcia oraz zagrożenia związane z wyborem menedżera funduszu funduszy i pośredników finansowych (istotność: poważna);</w:t>
            </w:r>
          </w:p>
          <w:p w14:paraId="1DAA749C" w14:textId="0BF617BE" w:rsidR="007A0EB7" w:rsidRPr="003A6407" w:rsidRDefault="007A0EB7" w:rsidP="007A0EB7">
            <w:pPr>
              <w:spacing w:after="0" w:line="240" w:lineRule="auto"/>
              <w:contextualSpacing/>
              <w:jc w:val="both"/>
              <w:rPr>
                <w:rFonts w:eastAsia="Calibri" w:cs="Times New Roman"/>
                <w:color w:val="000000"/>
              </w:rPr>
            </w:pPr>
          </w:p>
          <w:p w14:paraId="7AF97D3B" w14:textId="3FE15390" w:rsidR="007A0EB7" w:rsidRPr="003A6407" w:rsidRDefault="007A0EB7" w:rsidP="007A0EB7">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41CBE72B" w14:textId="1DCD11F3" w:rsidR="00BB0F80" w:rsidRPr="003A6407" w:rsidRDefault="007A0EB7" w:rsidP="00B30C4B">
            <w:pPr>
              <w:spacing w:after="0" w:line="240" w:lineRule="auto"/>
              <w:contextualSpacing/>
              <w:jc w:val="both"/>
              <w:rPr>
                <w:rFonts w:eastAsia="Calibri" w:cs="Times New Roman"/>
                <w:color w:val="000000"/>
                <w:sz w:val="22"/>
                <w:szCs w:val="22"/>
              </w:rPr>
            </w:pPr>
            <w:r w:rsidRPr="003A6407">
              <w:rPr>
                <w:rFonts w:eastAsia="Calibri" w:cs="Times New Roman"/>
                <w:b/>
                <w:bCs/>
                <w:color w:val="000000"/>
              </w:rPr>
              <w:t xml:space="preserve">Projekty infrastrukturalne finansowane w ramach EFRR/FST cechują się dłuższym okresem realizacji i rozliczenia a biorąc pod uwagę termin zatwierdzenia programu </w:t>
            </w:r>
            <w:r w:rsidR="00243B24" w:rsidRPr="00243B24">
              <w:rPr>
                <w:rFonts w:eastAsia="Calibri" w:cs="Times New Roman"/>
                <w:b/>
                <w:bCs/>
                <w:color w:val="000000"/>
              </w:rPr>
              <w:t xml:space="preserve">cel pośredni dla 2024 r. będzie mógł być osiągnięty na niskim poziomie a </w:t>
            </w:r>
            <w:r w:rsidR="00243B24">
              <w:rPr>
                <w:rFonts w:eastAsia="Calibri" w:cs="Times New Roman"/>
                <w:b/>
                <w:bCs/>
                <w:color w:val="000000"/>
              </w:rPr>
              <w:t xml:space="preserve">jako </w:t>
            </w:r>
            <w:r w:rsidR="00243B24" w:rsidRPr="00243B24">
              <w:rPr>
                <w:rFonts w:eastAsia="Calibri" w:cs="Times New Roman"/>
                <w:b/>
                <w:bCs/>
                <w:color w:val="000000"/>
              </w:rPr>
              <w:t xml:space="preserve">suma </w:t>
            </w:r>
            <w:r w:rsidR="00243B24">
              <w:rPr>
                <w:rFonts w:eastAsia="Calibri" w:cs="Times New Roman"/>
                <w:b/>
                <w:bCs/>
                <w:color w:val="000000"/>
              </w:rPr>
              <w:t xml:space="preserve">wartości pośrednik </w:t>
            </w:r>
            <w:r w:rsidR="00243B24" w:rsidRPr="00243B24">
              <w:rPr>
                <w:rFonts w:eastAsia="Calibri" w:cs="Times New Roman"/>
                <w:b/>
                <w:bCs/>
                <w:color w:val="000000"/>
              </w:rPr>
              <w:t>wskaźnik</w:t>
            </w:r>
            <w:r w:rsidR="00243B24">
              <w:rPr>
                <w:rFonts w:eastAsia="Calibri" w:cs="Times New Roman"/>
                <w:b/>
                <w:bCs/>
                <w:color w:val="000000"/>
              </w:rPr>
              <w:t>ów</w:t>
            </w:r>
            <w:r w:rsidR="00243B24" w:rsidRPr="00243B24">
              <w:rPr>
                <w:rFonts w:eastAsia="Calibri" w:cs="Times New Roman"/>
                <w:b/>
                <w:bCs/>
                <w:color w:val="000000"/>
              </w:rPr>
              <w:t xml:space="preserve"> RCO002 i RCO003</w:t>
            </w:r>
            <w:r w:rsidR="00243B24">
              <w:rPr>
                <w:rFonts w:eastAsia="Calibri" w:cs="Times New Roman"/>
                <w:b/>
                <w:bCs/>
                <w:color w:val="000000"/>
              </w:rPr>
              <w:t>.</w:t>
            </w:r>
          </w:p>
        </w:tc>
      </w:tr>
    </w:tbl>
    <w:p w14:paraId="57B597C2" w14:textId="4B1C17D7" w:rsidR="00BB0F80" w:rsidRDefault="00BB0F80" w:rsidP="00FD5A66">
      <w:pPr>
        <w:rPr>
          <w:rFonts w:eastAsia="Calibri"/>
        </w:rPr>
      </w:pPr>
      <w:bookmarkStart w:id="96" w:name="_Hlk95404532"/>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4D1FB7" w:rsidRPr="003A6407" w14:paraId="2019E55F" w14:textId="77777777" w:rsidTr="004D1FB7">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B9AC085"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4AD85A73"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912C717"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06CAAFB"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E808B2" w14:textId="77777777" w:rsidR="004D1FB7" w:rsidRPr="003A6407" w:rsidRDefault="004D1FB7" w:rsidP="009E311F">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67A26044"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B53F51B"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EEEF5EF"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705DA597"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3A694E7"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38AB5648"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p>
        </w:tc>
      </w:tr>
      <w:tr w:rsidR="004D1FB7" w:rsidRPr="003A6407" w14:paraId="7534BA34" w14:textId="77777777" w:rsidTr="004D1FB7">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C811F7E" w14:textId="77777777" w:rsidR="004D1FB7" w:rsidRPr="00533365" w:rsidRDefault="004D1FB7" w:rsidP="009E311F">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1 (iii)</w:t>
            </w:r>
          </w:p>
          <w:p w14:paraId="20A1DE2C" w14:textId="77777777" w:rsidR="004D1FB7" w:rsidRPr="00533365" w:rsidRDefault="004D1FB7" w:rsidP="009E311F">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1.3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CD4F6B4" w14:textId="77777777" w:rsidR="004D1FB7" w:rsidRPr="00533365" w:rsidRDefault="004D1FB7" w:rsidP="009E311F">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EFRR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109447D" w14:textId="77777777" w:rsidR="004D1FB7" w:rsidRPr="00533365" w:rsidRDefault="004D1FB7" w:rsidP="009E311F">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9534DF" w14:textId="5F365E88" w:rsidR="004D1FB7" w:rsidRPr="00533365" w:rsidRDefault="004D1FB7" w:rsidP="004D1FB7">
            <w:pPr>
              <w:shd w:val="clear" w:color="auto" w:fill="FFFFFF"/>
              <w:spacing w:before="120" w:after="120" w:line="240" w:lineRule="auto"/>
              <w:ind w:left="113" w:right="113"/>
              <w:jc w:val="center"/>
              <w:rPr>
                <w:rFonts w:eastAsia="Calibri" w:cs="Times New Roman"/>
                <w:bCs/>
                <w:noProof/>
                <w:sz w:val="16"/>
                <w:szCs w:val="16"/>
              </w:rPr>
            </w:pPr>
            <w:r w:rsidRPr="00533365">
              <w:rPr>
                <w:rFonts w:eastAsia="Calibri" w:cs="Times New Roman"/>
                <w:bCs/>
                <w:noProof/>
                <w:sz w:val="16"/>
                <w:szCs w:val="16"/>
              </w:rPr>
              <w:t>RCO02</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161A111A" w14:textId="77777777" w:rsidR="004D1FB7" w:rsidRPr="00533365" w:rsidRDefault="004D1FB7" w:rsidP="004D1FB7">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Przedsiębiorstwa objęte wsparciem w formie dotacji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10ECDDE" w14:textId="43D57DA5" w:rsidR="004D1FB7" w:rsidRPr="00533365" w:rsidRDefault="00533365" w:rsidP="009E311F">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przedsiębiorstwa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FFC72B3" w14:textId="7041EE8B" w:rsidR="004D1FB7" w:rsidRPr="00533365" w:rsidRDefault="00243B24" w:rsidP="009E311F">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4</w:t>
            </w:r>
            <w:r w:rsidR="004D1FB7" w:rsidRPr="00533365">
              <w:rPr>
                <w:rFonts w:eastAsia="Calibri" w:cs="Times New Roman"/>
                <w:bCs/>
                <w:noProof/>
                <w:sz w:val="16"/>
                <w:szCs w:val="16"/>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2C90796" w14:textId="77777777" w:rsidR="004D1FB7" w:rsidRPr="00533365" w:rsidRDefault="004D1FB7" w:rsidP="004D1FB7">
            <w:pPr>
              <w:shd w:val="clear" w:color="auto" w:fill="FFFFFF"/>
              <w:spacing w:before="120" w:after="120" w:line="240" w:lineRule="auto"/>
              <w:jc w:val="center"/>
              <w:rPr>
                <w:rFonts w:eastAsia="Calibri" w:cs="Times New Roman"/>
                <w:bCs/>
                <w:noProof/>
                <w:sz w:val="16"/>
                <w:szCs w:val="16"/>
              </w:rPr>
            </w:pPr>
            <w:r w:rsidRPr="00533365">
              <w:rPr>
                <w:rFonts w:eastAsia="Calibri" w:cs="Times New Roman"/>
                <w:bCs/>
                <w:noProof/>
                <w:sz w:val="16"/>
                <w:szCs w:val="16"/>
              </w:rPr>
              <w:t>130,00</w:t>
            </w:r>
          </w:p>
        </w:tc>
      </w:tr>
      <w:tr w:rsidR="004D1FB7" w:rsidRPr="003A6407" w14:paraId="6E370545" w14:textId="77777777" w:rsidTr="009E311F">
        <w:trPr>
          <w:trHeight w:val="340"/>
        </w:trPr>
        <w:tc>
          <w:tcPr>
            <w:tcW w:w="5000" w:type="pct"/>
            <w:gridSpan w:val="8"/>
            <w:shd w:val="clear" w:color="auto" w:fill="auto"/>
          </w:tcPr>
          <w:p w14:paraId="02D841A3"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Metodologia:</w:t>
            </w:r>
          </w:p>
          <w:p w14:paraId="3D5AC9D4"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Wskaźnik realizuje kod interwencji:</w:t>
            </w:r>
          </w:p>
          <w:p w14:paraId="5EFDAC06" w14:textId="77777777" w:rsidR="004D1FB7" w:rsidRDefault="004D1FB7" w:rsidP="009E311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w:t>
            </w:r>
            <w:r>
              <w:rPr>
                <w:rFonts w:eastAsia="Calibri" w:cs="Times New Roman"/>
              </w:rPr>
              <w:t>0</w:t>
            </w:r>
            <w:r w:rsidRPr="003A6407">
              <w:rPr>
                <w:rFonts w:eastAsia="Calibri" w:cs="Times New Roman"/>
              </w:rPr>
              <w:t xml:space="preserve"> </w:t>
            </w:r>
            <w:r>
              <w:rPr>
                <w:rFonts w:eastAsia="Calibri" w:cs="Times New Roman"/>
              </w:rPr>
              <w:t>I</w:t>
            </w:r>
            <w:r w:rsidRPr="009E10C5">
              <w:rPr>
                <w:rFonts w:eastAsia="Calibri" w:cs="Times New Roman"/>
              </w:rPr>
              <w:t>nfrastruktura biznesowa dla MŚP (w tym parki i obiekty przemysłowe)</w:t>
            </w:r>
            <w:r>
              <w:rPr>
                <w:rFonts w:eastAsia="Calibri" w:cs="Times New Roman"/>
              </w:rPr>
              <w:t xml:space="preserve"> </w:t>
            </w:r>
            <w:r w:rsidRPr="009E10C5">
              <w:rPr>
                <w:rFonts w:eastAsia="Calibri" w:cs="Times New Roman"/>
              </w:rPr>
              <w:t>17 570 346,00</w:t>
            </w:r>
            <w:r>
              <w:rPr>
                <w:rFonts w:eastAsia="Calibri" w:cs="Times New Roman"/>
              </w:rPr>
              <w:t xml:space="preserve"> </w:t>
            </w:r>
            <w:r w:rsidRPr="003A6407">
              <w:rPr>
                <w:rFonts w:eastAsia="Calibri" w:cs="Times New Roman"/>
              </w:rPr>
              <w:t>EUR;</w:t>
            </w:r>
          </w:p>
          <w:p w14:paraId="44BD4323" w14:textId="77777777" w:rsidR="004D1FB7" w:rsidRPr="003A6407" w:rsidRDefault="004D1FB7" w:rsidP="009E311F">
            <w:pPr>
              <w:numPr>
                <w:ilvl w:val="0"/>
                <w:numId w:val="12"/>
              </w:numPr>
              <w:shd w:val="clear" w:color="auto" w:fill="FFFFFF"/>
              <w:spacing w:before="60" w:after="60" w:line="240" w:lineRule="auto"/>
              <w:contextualSpacing/>
              <w:jc w:val="both"/>
              <w:rPr>
                <w:rFonts w:eastAsia="Calibri" w:cs="Times New Roman"/>
              </w:rPr>
            </w:pPr>
            <w:r w:rsidRPr="00393981">
              <w:rPr>
                <w:rFonts w:eastAsia="Calibri" w:cs="Times New Roman"/>
              </w:rPr>
              <w:t>021 Rozwój działalności i umiędzynarodowienie MŚP, w tym inwestycje produkcyjne (52 664 140,00 EUR)</w:t>
            </w:r>
          </w:p>
          <w:p w14:paraId="2BC57134" w14:textId="77777777" w:rsidR="004D1FB7" w:rsidRDefault="004D1FB7" w:rsidP="009E311F">
            <w:pPr>
              <w:shd w:val="clear" w:color="auto" w:fill="FFFFFF"/>
              <w:spacing w:before="60" w:after="60" w:line="240" w:lineRule="auto"/>
              <w:jc w:val="both"/>
              <w:rPr>
                <w:rFonts w:eastAsia="Calibri"/>
              </w:rPr>
            </w:pPr>
          </w:p>
          <w:p w14:paraId="5094A969" w14:textId="2C692EE7" w:rsidR="004D1FB7" w:rsidRPr="003A6407" w:rsidRDefault="004D1FB7" w:rsidP="009E311F">
            <w:pPr>
              <w:shd w:val="clear" w:color="auto" w:fill="FFFFFF"/>
              <w:spacing w:before="60" w:after="60" w:line="240" w:lineRule="auto"/>
              <w:jc w:val="both"/>
              <w:rPr>
                <w:rFonts w:eastAsia="Calibri"/>
              </w:rPr>
            </w:pPr>
            <w:r>
              <w:rPr>
                <w:rFonts w:eastAsia="Calibri"/>
              </w:rPr>
              <w:t xml:space="preserve">Zakłada się, że 100% alokacji kodu 020 oraz ok. 16,64 % alokacji kodu 21 będzie przeznaczone na wsparcie dotacyjne, tj. </w:t>
            </w:r>
            <w:r w:rsidRPr="00393981">
              <w:rPr>
                <w:rFonts w:eastAsia="Calibri"/>
              </w:rPr>
              <w:t xml:space="preserve">26 334 486,00 </w:t>
            </w:r>
            <w:r>
              <w:rPr>
                <w:rFonts w:eastAsia="Calibri"/>
              </w:rPr>
              <w:t>EUR (kod 01 dot. form finansowania)</w:t>
            </w:r>
          </w:p>
          <w:p w14:paraId="723412F5" w14:textId="77777777" w:rsidR="004D1FB7" w:rsidRDefault="004D1FB7" w:rsidP="009E311F">
            <w:pPr>
              <w:shd w:val="clear" w:color="auto" w:fill="FFFFFF"/>
              <w:spacing w:before="60" w:after="60" w:line="240" w:lineRule="auto"/>
              <w:jc w:val="both"/>
              <w:rPr>
                <w:rFonts w:eastAsia="Calibri"/>
              </w:rPr>
            </w:pPr>
          </w:p>
          <w:p w14:paraId="52C83DD5"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Pr="00393981">
              <w:rPr>
                <w:rFonts w:eastAsia="Calibri"/>
              </w:rPr>
              <w:t xml:space="preserve">  117 188 462,70    </w:t>
            </w:r>
            <w:r w:rsidRPr="003A6407">
              <w:rPr>
                <w:rFonts w:eastAsia="Calibri"/>
              </w:rPr>
              <w:t xml:space="preserve">PLN. </w:t>
            </w:r>
          </w:p>
          <w:p w14:paraId="66F905E5"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Pr="00393981">
              <w:rPr>
                <w:rFonts w:eastAsia="Calibri"/>
              </w:rPr>
              <w:t xml:space="preserve"> 808 953,38 </w:t>
            </w:r>
            <w:r w:rsidRPr="003A6407">
              <w:rPr>
                <w:rFonts w:eastAsia="Calibri"/>
              </w:rPr>
              <w:t xml:space="preserve">PLN. Koszt jednostkowy został skorygowany w oparciu o wartość inflacji na poziomie 15% i wynosi </w:t>
            </w:r>
            <w:r w:rsidRPr="00393981">
              <w:rPr>
                <w:rFonts w:eastAsia="Calibri"/>
              </w:rPr>
              <w:t xml:space="preserve"> 930 296,39 </w:t>
            </w:r>
            <w:r w:rsidRPr="003A6407">
              <w:rPr>
                <w:rFonts w:eastAsia="Calibri"/>
              </w:rPr>
              <w:t xml:space="preserve">PLN, uwzględniając dofinansowanie na poziomie 70% wynosi </w:t>
            </w:r>
            <w:r w:rsidRPr="00393981">
              <w:rPr>
                <w:rFonts w:eastAsia="Calibri"/>
              </w:rPr>
              <w:t xml:space="preserve"> 566 267,37 </w:t>
            </w:r>
            <w:r w:rsidRPr="003A6407">
              <w:rPr>
                <w:rFonts w:eastAsia="Calibri"/>
              </w:rPr>
              <w:t xml:space="preserve">PLN, tj. </w:t>
            </w:r>
            <w:r w:rsidRPr="007F71C7">
              <w:rPr>
                <w:rFonts w:eastAsia="Calibri"/>
              </w:rPr>
              <w:t xml:space="preserve">127 251,09 </w:t>
            </w:r>
            <w:r w:rsidRPr="003A6407">
              <w:rPr>
                <w:rFonts w:eastAsia="Calibri"/>
              </w:rPr>
              <w:t xml:space="preserve">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7A640325"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R= [(5*25)+(2*68)]/7= 37,2%. Wartość zaokrąglono do pełnej wartości 37%. </w:t>
            </w:r>
          </w:p>
          <w:p w14:paraId="69D9A44A"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Wyliczenie:</w:t>
            </w:r>
          </w:p>
          <w:p w14:paraId="5D80A2D7" w14:textId="77777777" w:rsidR="004D1FB7" w:rsidRPr="003A6407" w:rsidRDefault="004D1FB7" w:rsidP="009E311F">
            <w:pPr>
              <w:shd w:val="clear" w:color="auto" w:fill="FFFFFF"/>
              <w:spacing w:before="60" w:after="60" w:line="240" w:lineRule="auto"/>
              <w:jc w:val="both"/>
              <w:rPr>
                <w:rFonts w:eastAsia="Calibri"/>
              </w:rPr>
            </w:pPr>
            <w:r w:rsidRPr="00393981">
              <w:rPr>
                <w:rFonts w:eastAsia="Calibri"/>
              </w:rPr>
              <w:t xml:space="preserve">26 334 486,00 </w:t>
            </w:r>
            <w:r w:rsidRPr="003A6407">
              <w:rPr>
                <w:rFonts w:eastAsia="Calibri"/>
              </w:rPr>
              <w:t xml:space="preserve">/ </w:t>
            </w:r>
            <w:r w:rsidRPr="007F71C7">
              <w:rPr>
                <w:rFonts w:eastAsia="Calibri"/>
              </w:rPr>
              <w:t xml:space="preserve"> 127 251,09 </w:t>
            </w:r>
            <w:r w:rsidRPr="003A6407">
              <w:rPr>
                <w:rFonts w:eastAsia="Calibri"/>
              </w:rPr>
              <w:t xml:space="preserve">* (1-0,37)= </w:t>
            </w:r>
            <w:r>
              <w:rPr>
                <w:rFonts w:eastAsia="Calibri"/>
              </w:rPr>
              <w:t>130</w:t>
            </w:r>
            <w:r w:rsidRPr="003A6407">
              <w:rPr>
                <w:rFonts w:eastAsia="Calibri"/>
              </w:rPr>
              <w:t xml:space="preserve"> przedsiębiorstw</w:t>
            </w:r>
          </w:p>
          <w:p w14:paraId="2AF40AE4" w14:textId="77777777" w:rsidR="004D1FB7" w:rsidRPr="003A6407" w:rsidRDefault="004D1FB7" w:rsidP="009E311F">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6F529F2C" w14:textId="77777777" w:rsidR="004D1FB7" w:rsidRPr="007F71C7" w:rsidRDefault="004D1FB7">
            <w:pPr>
              <w:numPr>
                <w:ilvl w:val="0"/>
                <w:numId w:val="88"/>
              </w:numPr>
              <w:shd w:val="clear" w:color="auto" w:fill="FFFFFF"/>
              <w:spacing w:before="60" w:after="60" w:line="240" w:lineRule="auto"/>
              <w:contextualSpacing/>
              <w:jc w:val="both"/>
              <w:rPr>
                <w:rFonts w:eastAsia="Calibri" w:cs="Times New Roman"/>
                <w:bCs/>
                <w:color w:val="000000"/>
              </w:rPr>
            </w:pPr>
            <w:r w:rsidRPr="007F71C7">
              <w:rPr>
                <w:rFonts w:eastAsia="Calibri" w:cs="Times New Roman"/>
                <w:b/>
                <w:color w:val="000000"/>
              </w:rPr>
              <w:t>Ryzyko walutowe</w:t>
            </w:r>
            <w:r w:rsidRPr="007F71C7">
              <w:rPr>
                <w:rFonts w:eastAsia="Calibri" w:cs="Times New Roman"/>
                <w:bCs/>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FB14CBA" w14:textId="77777777" w:rsidR="004D1FB7" w:rsidRPr="007F71C7" w:rsidRDefault="004D1FB7">
            <w:pPr>
              <w:pStyle w:val="Akapitzlist"/>
              <w:numPr>
                <w:ilvl w:val="0"/>
                <w:numId w:val="88"/>
              </w:numPr>
              <w:shd w:val="clear" w:color="auto" w:fill="FFFFFF"/>
              <w:spacing w:before="60" w:after="60" w:line="240" w:lineRule="auto"/>
              <w:jc w:val="both"/>
              <w:rPr>
                <w:rFonts w:eastAsia="Calibri" w:cs="Times New Roman"/>
                <w:bCs/>
                <w:color w:val="000000"/>
              </w:rPr>
            </w:pPr>
            <w:r w:rsidRPr="007F71C7">
              <w:rPr>
                <w:rFonts w:eastAsia="Calibri" w:cs="Times New Roman"/>
                <w:b/>
                <w:color w:val="000000"/>
              </w:rPr>
              <w:t>Zawieszenie płatności przez KE</w:t>
            </w:r>
            <w:r w:rsidRPr="007F71C7">
              <w:rPr>
                <w:rFonts w:eastAsia="Calibri" w:cs="Times New Roman"/>
                <w:bCs/>
                <w:color w:val="000000"/>
              </w:rPr>
              <w:t xml:space="preserve"> dla danej osi priorytetowej; (istotność: umiarkowana);</w:t>
            </w:r>
          </w:p>
          <w:p w14:paraId="5FD94B38" w14:textId="77777777" w:rsidR="004D1FB7" w:rsidRPr="007F71C7" w:rsidRDefault="004D1FB7">
            <w:pPr>
              <w:pStyle w:val="Akapitzlist"/>
              <w:numPr>
                <w:ilvl w:val="0"/>
                <w:numId w:val="88"/>
              </w:numPr>
              <w:shd w:val="clear" w:color="auto" w:fill="FFFFFF"/>
              <w:spacing w:before="60" w:after="60" w:line="240" w:lineRule="auto"/>
              <w:jc w:val="both"/>
              <w:rPr>
                <w:rFonts w:eastAsia="Calibri" w:cs="Times New Roman"/>
                <w:bCs/>
                <w:color w:val="000000"/>
              </w:rPr>
            </w:pPr>
            <w:r w:rsidRPr="007F71C7">
              <w:rPr>
                <w:rFonts w:eastAsia="Calibri" w:cs="Times New Roman"/>
                <w:b/>
                <w:color w:val="000000"/>
              </w:rPr>
              <w:t>Opóźnienia, bądź niewykonanie projektu związane z trybem konkurencyjnym  i brakiem / ograniczonym dostępem do materiałów/surowców/półproduktów</w:t>
            </w:r>
            <w:r w:rsidRPr="007F71C7">
              <w:rPr>
                <w:rFonts w:eastAsia="Calibri" w:cs="Times New Roman"/>
                <w:bCs/>
                <w:color w:val="000000"/>
              </w:rPr>
              <w:t xml:space="preserve">, </w:t>
            </w:r>
            <w:proofErr w:type="spellStart"/>
            <w:r w:rsidRPr="007F71C7">
              <w:rPr>
                <w:rFonts w:eastAsia="Calibri" w:cs="Times New Roman"/>
                <w:bCs/>
                <w:color w:val="000000"/>
              </w:rPr>
              <w:t>ect</w:t>
            </w:r>
            <w:proofErr w:type="spellEnd"/>
            <w:r w:rsidRPr="007F71C7">
              <w:rPr>
                <w:rFonts w:eastAsia="Calibri" w:cs="Times New Roman"/>
                <w:bCs/>
                <w:color w:val="000000"/>
              </w:rPr>
              <w:t>. ; (istotność: poważna);</w:t>
            </w:r>
          </w:p>
          <w:p w14:paraId="2E278068" w14:textId="77777777" w:rsidR="004D1FB7" w:rsidRPr="007F71C7" w:rsidRDefault="004D1FB7">
            <w:pPr>
              <w:pStyle w:val="Akapitzlist"/>
              <w:numPr>
                <w:ilvl w:val="0"/>
                <w:numId w:val="88"/>
              </w:numPr>
              <w:shd w:val="clear" w:color="auto" w:fill="FFFFFF"/>
              <w:spacing w:before="60" w:after="60" w:line="240" w:lineRule="auto"/>
              <w:jc w:val="both"/>
              <w:rPr>
                <w:rFonts w:eastAsia="Calibri" w:cs="Times New Roman"/>
                <w:bCs/>
                <w:color w:val="000000"/>
              </w:rPr>
            </w:pPr>
            <w:r w:rsidRPr="007F71C7">
              <w:rPr>
                <w:rFonts w:eastAsia="Calibri" w:cs="Times New Roman"/>
                <w:b/>
                <w:color w:val="000000"/>
              </w:rPr>
              <w:t>Wpływ pandemii Covid-19 na gospodarkę</w:t>
            </w:r>
            <w:r w:rsidRPr="007F71C7">
              <w:rPr>
                <w:rFonts w:eastAsia="Calibri" w:cs="Times New Roman"/>
                <w:bCs/>
                <w:color w:val="000000"/>
              </w:rPr>
              <w:t xml:space="preserve"> regionalną, potencjalne możliwości realizacji projektów, na zdolności inwestycyjne i nastroje przedsiębiorstw oraz innych beneficjentów do inwestowania, zdolność administracyjną i kadrową (istotność: umiarkowana).</w:t>
            </w:r>
          </w:p>
          <w:p w14:paraId="3C75E030" w14:textId="77777777" w:rsidR="004D1FB7" w:rsidRPr="007F71C7" w:rsidRDefault="004D1FB7">
            <w:pPr>
              <w:pStyle w:val="Akapitzlist"/>
              <w:numPr>
                <w:ilvl w:val="0"/>
                <w:numId w:val="88"/>
              </w:numPr>
              <w:shd w:val="clear" w:color="auto" w:fill="FFFFFF"/>
              <w:spacing w:before="60" w:after="60" w:line="240" w:lineRule="auto"/>
              <w:jc w:val="both"/>
              <w:rPr>
                <w:rFonts w:eastAsia="Calibri" w:cs="Times New Roman"/>
                <w:bCs/>
                <w:color w:val="000000"/>
              </w:rPr>
            </w:pPr>
            <w:r w:rsidRPr="007F71C7">
              <w:rPr>
                <w:rFonts w:eastAsia="Calibri" w:cs="Times New Roman"/>
                <w:b/>
                <w:color w:val="000000"/>
              </w:rPr>
              <w:t>Duplikujące się przedsiębiorstwa</w:t>
            </w:r>
            <w:r w:rsidRPr="007F71C7">
              <w:rPr>
                <w:rFonts w:eastAsia="Calibri" w:cs="Times New Roman"/>
                <w:bCs/>
                <w:color w:val="000000"/>
              </w:rPr>
              <w:t xml:space="preserve"> (istotność: umiarkowana);</w:t>
            </w:r>
          </w:p>
          <w:p w14:paraId="11265314" w14:textId="77777777" w:rsidR="004D1FB7" w:rsidRPr="007F71C7" w:rsidRDefault="004D1FB7">
            <w:pPr>
              <w:pStyle w:val="Akapitzlist"/>
              <w:numPr>
                <w:ilvl w:val="0"/>
                <w:numId w:val="88"/>
              </w:numPr>
              <w:shd w:val="clear" w:color="auto" w:fill="FFFFFF"/>
              <w:spacing w:before="60" w:after="60" w:line="240" w:lineRule="auto"/>
              <w:jc w:val="both"/>
              <w:rPr>
                <w:rFonts w:eastAsia="Calibri" w:cs="Times New Roman"/>
                <w:bCs/>
                <w:color w:val="000000"/>
              </w:rPr>
            </w:pPr>
            <w:r w:rsidRPr="007F71C7">
              <w:rPr>
                <w:rFonts w:eastAsia="Calibri" w:cs="Times New Roman"/>
                <w:b/>
                <w:color w:val="000000"/>
              </w:rPr>
              <w:t>Rozwiązane umowy o dofinansowanie</w:t>
            </w:r>
            <w:r w:rsidRPr="007F71C7">
              <w:rPr>
                <w:rFonts w:eastAsia="Calibri" w:cs="Times New Roman"/>
                <w:bCs/>
                <w:color w:val="000000"/>
              </w:rPr>
              <w:t xml:space="preserve"> realizacji projektu – (istotność: umiarkowana).</w:t>
            </w:r>
          </w:p>
          <w:p w14:paraId="064DDE3E" w14:textId="77777777" w:rsidR="004D1FB7" w:rsidRPr="007F71C7" w:rsidRDefault="004D1FB7">
            <w:pPr>
              <w:pStyle w:val="Akapitzlist"/>
              <w:numPr>
                <w:ilvl w:val="0"/>
                <w:numId w:val="88"/>
              </w:numPr>
              <w:spacing w:after="0" w:line="240" w:lineRule="auto"/>
              <w:jc w:val="both"/>
              <w:rPr>
                <w:rFonts w:eastAsia="Calibri" w:cs="Times New Roman"/>
                <w:bCs/>
                <w:color w:val="000000"/>
              </w:rPr>
            </w:pPr>
            <w:r w:rsidRPr="007F71C7">
              <w:rPr>
                <w:rFonts w:eastAsia="Calibri" w:cs="Times New Roman"/>
                <w:b/>
                <w:color w:val="000000"/>
              </w:rPr>
              <w:lastRenderedPageBreak/>
              <w:t>Problemy z zabezpieczeniem wkładu własnego</w:t>
            </w:r>
            <w:r w:rsidRPr="007F71C7">
              <w:rPr>
                <w:rFonts w:eastAsia="Calibri" w:cs="Times New Roman"/>
                <w:bCs/>
                <w:color w:val="000000"/>
              </w:rPr>
              <w:t xml:space="preserve"> wnioskodawcy (istotność: poważna);</w:t>
            </w:r>
          </w:p>
          <w:p w14:paraId="745397EF" w14:textId="77777777" w:rsidR="004D1FB7" w:rsidRPr="003A6407" w:rsidRDefault="004D1FB7" w:rsidP="009E311F">
            <w:pPr>
              <w:spacing w:after="0" w:line="240" w:lineRule="auto"/>
              <w:contextualSpacing/>
              <w:jc w:val="both"/>
              <w:rPr>
                <w:rFonts w:eastAsia="Calibri" w:cs="Times New Roman"/>
                <w:color w:val="000000"/>
              </w:rPr>
            </w:pPr>
          </w:p>
          <w:p w14:paraId="45F89A7E" w14:textId="77777777" w:rsidR="004D1FB7" w:rsidRPr="003A6407" w:rsidRDefault="004D1FB7" w:rsidP="009E311F">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6D4BB88D" w14:textId="1A289A6F" w:rsidR="004D1FB7" w:rsidRPr="003A6407" w:rsidRDefault="004D1FB7" w:rsidP="009E311F">
            <w:pPr>
              <w:spacing w:after="0" w:line="240" w:lineRule="auto"/>
              <w:contextualSpacing/>
              <w:jc w:val="both"/>
              <w:rPr>
                <w:rFonts w:eastAsia="Calibri" w:cs="Times New Roman"/>
                <w:b/>
                <w:bCs/>
                <w:color w:val="000000"/>
              </w:rPr>
            </w:pPr>
            <w:r w:rsidRPr="003A6407">
              <w:rPr>
                <w:rFonts w:eastAsia="Calibri" w:cs="Times New Roman"/>
                <w:b/>
                <w:bCs/>
                <w:color w:val="000000"/>
              </w:rPr>
              <w:t>Projekty infrastrukturalne finansowane w ramach EFRR/FST cechują się dłuższym okresem realizacji i rozliczenia</w:t>
            </w:r>
            <w:r w:rsidR="00243B24">
              <w:rPr>
                <w:rFonts w:eastAsia="Calibri" w:cs="Times New Roman"/>
                <w:b/>
                <w:bCs/>
                <w:color w:val="000000"/>
              </w:rPr>
              <w:t>,</w:t>
            </w:r>
            <w:r w:rsidR="00243B24">
              <w:t xml:space="preserve"> </w:t>
            </w:r>
            <w:r w:rsidR="00243B24" w:rsidRPr="00243B24">
              <w:rPr>
                <w:rFonts w:eastAsia="Calibri" w:cs="Times New Roman"/>
                <w:b/>
                <w:bCs/>
                <w:color w:val="000000"/>
              </w:rPr>
              <w:t>cel pośredni dla 2024 r. będzie mógł być osiągnięty na niskim</w:t>
            </w:r>
            <w:r w:rsidRPr="003A6407">
              <w:rPr>
                <w:rFonts w:eastAsia="Calibri" w:cs="Times New Roman"/>
                <w:b/>
                <w:bCs/>
                <w:color w:val="000000"/>
              </w:rPr>
              <w:t>. Przeanalizowano dane historyczne z wdrażania RPO WD 2014-2020 (PI 3</w:t>
            </w:r>
            <w:r w:rsidR="00240266">
              <w:rPr>
                <w:rFonts w:eastAsia="Calibri" w:cs="Times New Roman"/>
                <w:b/>
                <w:bCs/>
                <w:color w:val="000000"/>
              </w:rPr>
              <w:t>a</w:t>
            </w:r>
            <w:r w:rsidRPr="003A6407">
              <w:rPr>
                <w:rFonts w:eastAsia="Calibri" w:cs="Times New Roman"/>
                <w:b/>
                <w:bCs/>
                <w:color w:val="000000"/>
              </w:rPr>
              <w:t xml:space="preserve"> </w:t>
            </w:r>
            <w:r w:rsidR="00243B24">
              <w:rPr>
                <w:rFonts w:eastAsia="Calibri" w:cs="Times New Roman"/>
                <w:b/>
                <w:bCs/>
                <w:color w:val="000000"/>
              </w:rPr>
              <w:t>oraz PI 3b</w:t>
            </w:r>
            <w:r w:rsidRPr="003A6407">
              <w:rPr>
                <w:rFonts w:eastAsia="Calibri" w:cs="Times New Roman"/>
                <w:b/>
                <w:bCs/>
                <w:color w:val="000000"/>
              </w:rPr>
              <w:t xml:space="preserve">), na podstawie Sprawozdania rocznego z 2021 r. - wskaźnik pn. </w:t>
            </w:r>
            <w:r w:rsidR="00240266" w:rsidRPr="00240266">
              <w:rPr>
                <w:rFonts w:eastAsia="Calibri" w:cs="Times New Roman"/>
                <w:b/>
                <w:bCs/>
                <w:color w:val="000000"/>
              </w:rPr>
              <w:t xml:space="preserve">Liczba przedsiębiorstw otrzymujących dotacje (CI 1) </w:t>
            </w:r>
            <w:r w:rsidRPr="003A6407">
              <w:rPr>
                <w:rFonts w:eastAsia="Calibri" w:cs="Times New Roman"/>
                <w:b/>
                <w:bCs/>
                <w:color w:val="000000"/>
              </w:rPr>
              <w:t>dopie</w:t>
            </w:r>
            <w:r w:rsidR="00EE369A">
              <w:rPr>
                <w:rFonts w:eastAsia="Calibri" w:cs="Times New Roman"/>
                <w:b/>
                <w:bCs/>
                <w:color w:val="000000"/>
              </w:rPr>
              <w:t>r</w:t>
            </w:r>
            <w:r w:rsidRPr="003A6407">
              <w:rPr>
                <w:rFonts w:eastAsia="Calibri" w:cs="Times New Roman"/>
                <w:b/>
                <w:bCs/>
                <w:color w:val="000000"/>
              </w:rPr>
              <w:t xml:space="preserve">o w 2017 r. osiągnął wartość </w:t>
            </w:r>
            <w:r w:rsidR="00243B24">
              <w:rPr>
                <w:rFonts w:eastAsia="Calibri" w:cs="Times New Roman"/>
                <w:b/>
                <w:bCs/>
                <w:color w:val="000000"/>
              </w:rPr>
              <w:t>84</w:t>
            </w:r>
            <w:r w:rsidRPr="003A6407">
              <w:rPr>
                <w:rFonts w:eastAsia="Calibri" w:cs="Times New Roman"/>
                <w:b/>
                <w:bCs/>
                <w:color w:val="000000"/>
              </w:rPr>
              <w:t>, co wobec wartości z wykonania na 2021 r. (</w:t>
            </w:r>
            <w:r w:rsidR="00240266">
              <w:rPr>
                <w:rFonts w:eastAsia="Calibri" w:cs="Times New Roman"/>
                <w:b/>
                <w:bCs/>
                <w:color w:val="000000"/>
              </w:rPr>
              <w:t>1076</w:t>
            </w:r>
            <w:r w:rsidRPr="003A6407">
              <w:rPr>
                <w:rFonts w:eastAsia="Calibri" w:cs="Times New Roman"/>
                <w:b/>
                <w:bCs/>
                <w:color w:val="000000"/>
              </w:rPr>
              <w:t xml:space="preserve">) stanowi zaledwie </w:t>
            </w:r>
            <w:r w:rsidR="00243B24">
              <w:rPr>
                <w:rFonts w:eastAsia="Calibri" w:cs="Times New Roman"/>
                <w:b/>
                <w:bCs/>
                <w:color w:val="000000"/>
              </w:rPr>
              <w:t>7,8</w:t>
            </w:r>
            <w:r w:rsidRPr="003A6407">
              <w:rPr>
                <w:rFonts w:eastAsia="Calibri" w:cs="Times New Roman"/>
                <w:b/>
                <w:bCs/>
                <w:color w:val="000000"/>
              </w:rPr>
              <w:t xml:space="preserve">%. </w:t>
            </w:r>
          </w:p>
          <w:p w14:paraId="0CF3DED4" w14:textId="22B94A6D" w:rsidR="004D1FB7" w:rsidRPr="003A6407" w:rsidRDefault="004D1FB7" w:rsidP="009E311F">
            <w:pPr>
              <w:spacing w:after="0" w:line="240" w:lineRule="auto"/>
              <w:contextualSpacing/>
              <w:jc w:val="both"/>
              <w:rPr>
                <w:rFonts w:eastAsia="Calibri" w:cs="Times New Roman"/>
                <w:b/>
                <w:bCs/>
                <w:color w:val="000000"/>
              </w:rPr>
            </w:pPr>
            <w:r w:rsidRPr="003A6407">
              <w:rPr>
                <w:rFonts w:eastAsia="Calibri" w:cs="Times New Roman"/>
                <w:b/>
                <w:bCs/>
                <w:color w:val="000000"/>
              </w:rPr>
              <w:t xml:space="preserve">Mając na uwadze, że 2017 r. był już czwartym rokiem wdrażania programu RPO WD 2014-2020, a rok 2024 będzie de facto dopiero drugim rokiem wdrażania FEDS, wartość pośrednią dla tego wskaźnika ustalono </w:t>
            </w:r>
            <w:r w:rsidR="00243B24">
              <w:rPr>
                <w:rFonts w:eastAsia="Calibri" w:cs="Times New Roman"/>
                <w:b/>
                <w:bCs/>
                <w:color w:val="000000"/>
              </w:rPr>
              <w:t>na poziomie 3%, tj. jako 4</w:t>
            </w:r>
            <w:r w:rsidRPr="003A6407">
              <w:rPr>
                <w:rFonts w:eastAsia="Calibri" w:cs="Times New Roman"/>
                <w:b/>
                <w:bCs/>
                <w:color w:val="000000"/>
              </w:rPr>
              <w:t>.</w:t>
            </w:r>
          </w:p>
          <w:p w14:paraId="02B82A2F" w14:textId="77777777" w:rsidR="004D1FB7" w:rsidRPr="003A6407" w:rsidRDefault="004D1FB7" w:rsidP="009E311F">
            <w:pPr>
              <w:spacing w:after="0" w:line="240" w:lineRule="auto"/>
              <w:ind w:left="720"/>
              <w:contextualSpacing/>
              <w:jc w:val="both"/>
              <w:rPr>
                <w:rFonts w:eastAsia="Calibri" w:cs="Times New Roman"/>
                <w:color w:val="000000"/>
                <w:sz w:val="22"/>
                <w:szCs w:val="22"/>
              </w:rPr>
            </w:pPr>
          </w:p>
        </w:tc>
      </w:tr>
    </w:tbl>
    <w:p w14:paraId="21A0C528" w14:textId="77777777" w:rsidR="004D1FB7" w:rsidRDefault="004D1FB7"/>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5AA2A623" w14:textId="77777777" w:rsidTr="00AD1DFA">
        <w:trPr>
          <w:cantSplit/>
          <w:trHeight w:val="1647"/>
        </w:trPr>
        <w:tc>
          <w:tcPr>
            <w:tcW w:w="451" w:type="pct"/>
            <w:shd w:val="clear" w:color="auto" w:fill="auto"/>
            <w:vAlign w:val="center"/>
          </w:tcPr>
          <w:bookmarkEnd w:id="96"/>
          <w:p w14:paraId="6C8BC4D7"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490B645D" w14:textId="2A5734E3"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55163227"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4F8EF15C"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39CE458B" w14:textId="77777777" w:rsidR="00BB0F80" w:rsidRPr="003A6407" w:rsidRDefault="00BB0F80" w:rsidP="00AD1DFA">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394EA749" w14:textId="6E94A5AE"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1974616E"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20CA7E7F"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13639732"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EAC1075"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5A005AA7" w14:textId="77777777" w:rsidR="00BB0F80" w:rsidRPr="003A6407" w:rsidRDefault="00BB0F80" w:rsidP="00AD1DFA">
            <w:pPr>
              <w:shd w:val="clear" w:color="auto" w:fill="FFFFFF"/>
              <w:spacing w:before="120" w:after="120" w:line="240" w:lineRule="auto"/>
              <w:jc w:val="center"/>
              <w:rPr>
                <w:rFonts w:eastAsia="Calibri" w:cs="Times New Roman"/>
                <w:b/>
                <w:noProof/>
                <w:sz w:val="16"/>
                <w:szCs w:val="16"/>
              </w:rPr>
            </w:pPr>
          </w:p>
        </w:tc>
      </w:tr>
      <w:tr w:rsidR="00BB0F80" w:rsidRPr="003A6407" w14:paraId="488652B6" w14:textId="77777777" w:rsidTr="00AD1DFA">
        <w:trPr>
          <w:trHeight w:val="340"/>
        </w:trPr>
        <w:tc>
          <w:tcPr>
            <w:tcW w:w="451" w:type="pct"/>
            <w:shd w:val="clear" w:color="auto" w:fill="auto"/>
            <w:vAlign w:val="center"/>
          </w:tcPr>
          <w:p w14:paraId="3981A9A6" w14:textId="77777777" w:rsidR="00BB0F80"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(iii)</w:t>
            </w:r>
          </w:p>
          <w:p w14:paraId="2CCC7504" w14:textId="1492F154" w:rsidR="00572DDA" w:rsidRPr="003A6407" w:rsidRDefault="00572DDA"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1.3</w:t>
            </w:r>
          </w:p>
        </w:tc>
        <w:tc>
          <w:tcPr>
            <w:tcW w:w="494" w:type="pct"/>
            <w:shd w:val="clear" w:color="auto" w:fill="auto"/>
            <w:vAlign w:val="center"/>
          </w:tcPr>
          <w:p w14:paraId="3AB1EE4C"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570FBD43" w14:textId="77777777"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11DCA383" w14:textId="0598D9FB" w:rsidR="00BB0F80" w:rsidRPr="003A6407" w:rsidRDefault="00BB0F80"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RCO03</w:t>
            </w:r>
          </w:p>
        </w:tc>
        <w:tc>
          <w:tcPr>
            <w:tcW w:w="1206" w:type="pct"/>
            <w:shd w:val="clear" w:color="auto" w:fill="auto"/>
            <w:vAlign w:val="center"/>
          </w:tcPr>
          <w:p w14:paraId="587988D8" w14:textId="77777777" w:rsidR="00BB0F80" w:rsidRPr="003A6407" w:rsidRDefault="00BB0F80" w:rsidP="00AD1DFA">
            <w:pPr>
              <w:keepNext/>
              <w:keepLines/>
              <w:spacing w:before="200" w:after="0"/>
              <w:jc w:val="center"/>
              <w:outlineLvl w:val="2"/>
              <w:rPr>
                <w:rFonts w:asciiTheme="minorHAnsi" w:eastAsia="Times New Roman" w:hAnsiTheme="minorHAnsi" w:cstheme="minorHAnsi"/>
                <w:bCs/>
                <w:noProof/>
                <w:sz w:val="16"/>
                <w:szCs w:val="16"/>
              </w:rPr>
            </w:pPr>
            <w:bookmarkStart w:id="97" w:name="_Toc97127019"/>
            <w:bookmarkStart w:id="98" w:name="_Toc114662369"/>
            <w:bookmarkStart w:id="99" w:name="_Toc120464375"/>
            <w:r w:rsidRPr="003A6407">
              <w:rPr>
                <w:rFonts w:asciiTheme="minorHAnsi" w:eastAsia="Times New Roman" w:hAnsiTheme="minorHAnsi" w:cstheme="minorHAnsi"/>
                <w:bCs/>
                <w:noProof/>
                <w:sz w:val="16"/>
                <w:szCs w:val="16"/>
              </w:rPr>
              <w:t>Przedsiębiorstwa objęte wsparciem z instrumentów finansowych</w:t>
            </w:r>
            <w:bookmarkEnd w:id="97"/>
            <w:bookmarkEnd w:id="98"/>
            <w:bookmarkEnd w:id="99"/>
          </w:p>
        </w:tc>
        <w:tc>
          <w:tcPr>
            <w:tcW w:w="884" w:type="pct"/>
            <w:shd w:val="clear" w:color="auto" w:fill="auto"/>
            <w:vAlign w:val="center"/>
          </w:tcPr>
          <w:p w14:paraId="49839F69" w14:textId="53EF1F84" w:rsidR="00BB0F80" w:rsidRPr="003A6407" w:rsidRDefault="00A30461" w:rsidP="00AD1DFA">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przedsiębiorstwa</w:t>
            </w:r>
            <w:r w:rsidR="00BB0F80" w:rsidRPr="003A6407">
              <w:rPr>
                <w:rFonts w:eastAsia="Calibri" w:cs="Times New Roman"/>
                <w:noProof/>
                <w:sz w:val="16"/>
                <w:szCs w:val="16"/>
              </w:rPr>
              <w:t>.</w:t>
            </w:r>
          </w:p>
        </w:tc>
        <w:tc>
          <w:tcPr>
            <w:tcW w:w="482" w:type="pct"/>
            <w:shd w:val="clear" w:color="auto" w:fill="auto"/>
            <w:vAlign w:val="center"/>
          </w:tcPr>
          <w:p w14:paraId="598749EC" w14:textId="79CBCC25" w:rsidR="00BB0F80" w:rsidRPr="003A6407" w:rsidRDefault="00890103" w:rsidP="00AD1DFA">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0,00</w:t>
            </w:r>
          </w:p>
        </w:tc>
        <w:tc>
          <w:tcPr>
            <w:tcW w:w="502" w:type="pct"/>
            <w:shd w:val="clear" w:color="auto" w:fill="auto"/>
            <w:vAlign w:val="center"/>
          </w:tcPr>
          <w:p w14:paraId="362BC737" w14:textId="77C39808" w:rsidR="00BB0F80" w:rsidRPr="003A6407" w:rsidRDefault="004D1FB7" w:rsidP="00AD1DFA">
            <w:pPr>
              <w:spacing w:after="0" w:line="240" w:lineRule="auto"/>
              <w:jc w:val="center"/>
              <w:rPr>
                <w:rFonts w:eastAsia="Calibri"/>
                <w:noProof/>
                <w:sz w:val="16"/>
                <w:szCs w:val="16"/>
              </w:rPr>
            </w:pPr>
            <w:r>
              <w:rPr>
                <w:rFonts w:eastAsia="Calibri"/>
                <w:noProof/>
                <w:sz w:val="16"/>
                <w:szCs w:val="16"/>
              </w:rPr>
              <w:t>701</w:t>
            </w:r>
            <w:r w:rsidR="00AD1DFA" w:rsidRPr="003A6407">
              <w:rPr>
                <w:rFonts w:eastAsia="Calibri"/>
                <w:noProof/>
                <w:sz w:val="16"/>
                <w:szCs w:val="16"/>
              </w:rPr>
              <w:t>,00</w:t>
            </w:r>
          </w:p>
        </w:tc>
      </w:tr>
      <w:tr w:rsidR="00BB0F80" w:rsidRPr="003A6407" w14:paraId="1BD2E5F8" w14:textId="77777777" w:rsidTr="00175EA5">
        <w:trPr>
          <w:trHeight w:val="340"/>
        </w:trPr>
        <w:tc>
          <w:tcPr>
            <w:tcW w:w="5000" w:type="pct"/>
            <w:gridSpan w:val="8"/>
            <w:shd w:val="clear" w:color="auto" w:fill="auto"/>
          </w:tcPr>
          <w:p w14:paraId="641FDFC4"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Metodologia:</w:t>
            </w:r>
          </w:p>
          <w:p w14:paraId="35D83F44"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Wskaźnik realizuje kod interwencji:</w:t>
            </w:r>
          </w:p>
          <w:p w14:paraId="43FFDE1B"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 (52 664 140,00 EUR);</w:t>
            </w:r>
          </w:p>
          <w:p w14:paraId="13E00C8A" w14:textId="1798EC2C" w:rsidR="004D1FB7" w:rsidRDefault="004D1FB7" w:rsidP="00FD5A66">
            <w:pPr>
              <w:shd w:val="clear" w:color="auto" w:fill="FFFFFF"/>
              <w:spacing w:before="60" w:after="60" w:line="240" w:lineRule="auto"/>
              <w:jc w:val="both"/>
              <w:rPr>
                <w:rFonts w:eastAsia="Calibri"/>
              </w:rPr>
            </w:pPr>
            <w:r w:rsidRPr="004D1FB7">
              <w:rPr>
                <w:rFonts w:eastAsia="Calibri"/>
              </w:rPr>
              <w:t>Zakłada się, że ok. 83,34 % alokacji kodu 21 będzie przeznaczone na wsparcie z instrumentów finansowych, tj. 43 900 000,00 EUR (kod 03 + kod 05 dot. form finansowania)</w:t>
            </w:r>
          </w:p>
          <w:p w14:paraId="49F899CF" w14:textId="43B2DB52" w:rsidR="00BB0F80" w:rsidRPr="003A6407" w:rsidRDefault="00BB0F80" w:rsidP="00FD5A66">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4D1FB7">
              <w:rPr>
                <w:rFonts w:eastAsia="Calibri"/>
              </w:rPr>
              <w:t>195 355 000</w:t>
            </w:r>
            <w:r w:rsidRPr="003A6407">
              <w:rPr>
                <w:rFonts w:eastAsia="Calibri"/>
              </w:rPr>
              <w:t xml:space="preserve">,00 PLN. </w:t>
            </w:r>
          </w:p>
          <w:p w14:paraId="61317888" w14:textId="77777777" w:rsidR="00BB0F80" w:rsidRPr="003A6407" w:rsidRDefault="00BB0F80" w:rsidP="00FD5A66">
            <w:pPr>
              <w:shd w:val="clear" w:color="auto" w:fill="FFFFFF"/>
              <w:spacing w:before="60" w:after="60" w:line="240" w:lineRule="auto"/>
              <w:jc w:val="both"/>
              <w:rPr>
                <w:rFonts w:eastAsia="Calibri"/>
              </w:rPr>
            </w:pPr>
          </w:p>
          <w:p w14:paraId="41E9ED8C" w14:textId="73009EC5" w:rsidR="00BB0F80" w:rsidRPr="003A6407" w:rsidRDefault="00BB0F80" w:rsidP="00FD5A66">
            <w:pPr>
              <w:shd w:val="clear" w:color="auto" w:fill="FFFFFF"/>
              <w:spacing w:before="60" w:after="60" w:line="240" w:lineRule="auto"/>
              <w:jc w:val="both"/>
              <w:rPr>
                <w:rFonts w:eastAsia="Calibri"/>
              </w:rPr>
            </w:pPr>
            <w:r w:rsidRPr="003A6407">
              <w:rPr>
                <w:rFonts w:eastAsia="Calibri"/>
              </w:rPr>
              <w:t>Historyczny kwalifikowalny koszt jednostkowy na bazie doświadczeń z perspektywy 2014-2020 wynosi 217 943,</w:t>
            </w:r>
            <w:r w:rsidR="004D1FB7">
              <w:rPr>
                <w:rFonts w:eastAsia="Calibri"/>
              </w:rPr>
              <w:t>59</w:t>
            </w:r>
            <w:r w:rsidRPr="003A6407">
              <w:rPr>
                <w:rFonts w:eastAsia="Calibri"/>
              </w:rPr>
              <w:t xml:space="preserve"> PLN. Koszt jednostkowy został skorygowany w oparciu o wartość inflacji na poziomie 15% i wynosi 250 635,1</w:t>
            </w:r>
            <w:r w:rsidR="004D1FB7">
              <w:rPr>
                <w:rFonts w:eastAsia="Calibri"/>
              </w:rPr>
              <w:t>3</w:t>
            </w:r>
            <w:r w:rsidRPr="003A6407">
              <w:rPr>
                <w:rFonts w:eastAsia="Calibri"/>
              </w:rPr>
              <w:t xml:space="preserve"> PLN, uwzględniając dofinansowanie na poziomie 70% wynosi 175 444,59 PLN, tj. 39 425,75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464ADC2A" w14:textId="5DBD62CC" w:rsidR="00BB0F80" w:rsidRPr="003A6407" w:rsidRDefault="00BB0F80" w:rsidP="00FD5A66">
            <w:pPr>
              <w:shd w:val="clear" w:color="auto" w:fill="FFFFFF"/>
              <w:spacing w:before="60" w:after="60" w:line="240" w:lineRule="auto"/>
              <w:jc w:val="both"/>
              <w:rPr>
                <w:rFonts w:eastAsia="Calibri"/>
              </w:rPr>
            </w:pPr>
            <w:r w:rsidRPr="003A6407">
              <w:rPr>
                <w:rFonts w:eastAsia="Calibri"/>
              </w:rPr>
              <w:t>R= [(5*25)+(2*68)]/7= 37,2</w:t>
            </w:r>
            <w:r w:rsidR="00412D9C" w:rsidRPr="003A6407">
              <w:rPr>
                <w:rFonts w:eastAsia="Calibri"/>
              </w:rPr>
              <w:t>%</w:t>
            </w:r>
            <w:r w:rsidRPr="003A6407">
              <w:rPr>
                <w:rFonts w:eastAsia="Calibri"/>
              </w:rPr>
              <w:t xml:space="preserve">. Wartość zaokrąglono do pełnej wartości 37%. </w:t>
            </w:r>
          </w:p>
          <w:p w14:paraId="40ED1BF6" w14:textId="77777777" w:rsidR="00BB0F80" w:rsidRPr="003A6407" w:rsidRDefault="00BB0F80" w:rsidP="00FD5A66">
            <w:pPr>
              <w:shd w:val="clear" w:color="auto" w:fill="FFFFFF"/>
              <w:spacing w:before="60" w:after="60" w:line="240" w:lineRule="auto"/>
              <w:jc w:val="both"/>
              <w:rPr>
                <w:rFonts w:eastAsia="Calibri"/>
              </w:rPr>
            </w:pPr>
            <w:r w:rsidRPr="003A6407">
              <w:rPr>
                <w:rFonts w:eastAsia="Calibri"/>
              </w:rPr>
              <w:t>Wyliczenie:</w:t>
            </w:r>
          </w:p>
          <w:p w14:paraId="63568B00" w14:textId="1C8D5213" w:rsidR="00BB0F80" w:rsidRPr="003A6407" w:rsidRDefault="004D1FB7" w:rsidP="00FD5A66">
            <w:pPr>
              <w:shd w:val="clear" w:color="auto" w:fill="FFFFFF"/>
              <w:spacing w:before="60" w:after="60" w:line="240" w:lineRule="auto"/>
              <w:jc w:val="both"/>
              <w:rPr>
                <w:rFonts w:eastAsia="Calibri"/>
              </w:rPr>
            </w:pPr>
            <w:r>
              <w:rPr>
                <w:rFonts w:eastAsia="Calibri"/>
              </w:rPr>
              <w:t>43 900 000,</w:t>
            </w:r>
            <w:r w:rsidR="00BB0F80" w:rsidRPr="003A6407">
              <w:rPr>
                <w:rFonts w:eastAsia="Calibri"/>
              </w:rPr>
              <w:t xml:space="preserve">00 / 39 425,75 * (1-0,37)= </w:t>
            </w:r>
            <w:r>
              <w:rPr>
                <w:rFonts w:eastAsia="Calibri"/>
              </w:rPr>
              <w:t>701</w:t>
            </w:r>
            <w:r w:rsidR="00BB0F80" w:rsidRPr="003A6407">
              <w:rPr>
                <w:rFonts w:eastAsia="Calibri"/>
              </w:rPr>
              <w:t xml:space="preserve"> przedsiębiorstw</w:t>
            </w:r>
          </w:p>
          <w:p w14:paraId="0A1F68A7" w14:textId="77777777" w:rsidR="00BB0F80" w:rsidRPr="003A6407" w:rsidRDefault="00BB0F80" w:rsidP="00FD5A66">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71FE867D" w14:textId="77777777" w:rsidR="00BB0F80" w:rsidRPr="003A6407" w:rsidRDefault="00BB0F80" w:rsidP="00F20BCD">
            <w:pPr>
              <w:numPr>
                <w:ilvl w:val="0"/>
                <w:numId w:val="28"/>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C7A4F9D" w14:textId="77777777" w:rsidR="00BB0F80" w:rsidRPr="003A6407" w:rsidRDefault="00BB0F80" w:rsidP="00F20BCD">
            <w:pPr>
              <w:numPr>
                <w:ilvl w:val="0"/>
                <w:numId w:val="28"/>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Zawieszenie płatności przez KE dla danej osi priorytetowej</w:t>
            </w:r>
            <w:r w:rsidRPr="003A6407">
              <w:rPr>
                <w:rFonts w:eastAsia="Calibri" w:cs="Times New Roman"/>
                <w:color w:val="000000"/>
              </w:rPr>
              <w:t>; (istotność: umiarkowana);</w:t>
            </w:r>
          </w:p>
          <w:p w14:paraId="0B4D0A96" w14:textId="77777777" w:rsidR="00BB0F80" w:rsidRPr="003A6407" w:rsidRDefault="00BB0F80" w:rsidP="00F20BCD">
            <w:pPr>
              <w:numPr>
                <w:ilvl w:val="0"/>
                <w:numId w:val="28"/>
              </w:numPr>
              <w:shd w:val="clear" w:color="auto" w:fill="FFFFFF"/>
              <w:spacing w:before="60" w:after="60" w:line="240" w:lineRule="auto"/>
              <w:contextualSpacing/>
              <w:jc w:val="both"/>
              <w:rPr>
                <w:rFonts w:eastAsia="Calibri" w:cs="Times New Roman"/>
                <w:b/>
                <w:color w:val="000000"/>
              </w:rPr>
            </w:pPr>
            <w:r w:rsidRPr="003A6407">
              <w:rPr>
                <w:rFonts w:eastAsia="Calibri" w:cs="Times New Roman"/>
                <w:b/>
                <w:color w:val="000000"/>
              </w:rPr>
              <w:t>Opóźnienia, bądź niewykonanie projektu związane z problemem zabezpieczenie wkładu własnego wnioskodawcy (istotność: poważna);</w:t>
            </w:r>
            <w:r w:rsidRPr="003A6407" w:rsidDel="00B27003">
              <w:rPr>
                <w:rFonts w:eastAsia="Calibri" w:cs="Times New Roman"/>
                <w:b/>
                <w:color w:val="000000"/>
              </w:rPr>
              <w:t xml:space="preserve"> </w:t>
            </w:r>
            <w:r w:rsidRPr="003A6407">
              <w:rPr>
                <w:rFonts w:eastAsia="Calibri" w:cs="Times New Roman"/>
                <w:bCs/>
                <w:color w:val="000000"/>
              </w:rPr>
              <w:t>(istotność: poważna);</w:t>
            </w:r>
          </w:p>
          <w:p w14:paraId="259BDA16" w14:textId="77777777" w:rsidR="00BB0F80" w:rsidRPr="003A6407" w:rsidRDefault="00BB0F80" w:rsidP="00F20BCD">
            <w:pPr>
              <w:numPr>
                <w:ilvl w:val="0"/>
                <w:numId w:val="28"/>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 xml:space="preserve">Wpływ pandemii Covid-19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70A3D4E" w14:textId="77777777" w:rsidR="00BB0F80" w:rsidRPr="003A6407" w:rsidRDefault="00BB0F80" w:rsidP="00F20BCD">
            <w:pPr>
              <w:numPr>
                <w:ilvl w:val="0"/>
                <w:numId w:val="28"/>
              </w:numPr>
              <w:spacing w:after="0" w:line="240" w:lineRule="auto"/>
              <w:contextualSpacing/>
              <w:jc w:val="both"/>
              <w:rPr>
                <w:rFonts w:eastAsia="Calibri" w:cs="Times New Roman"/>
                <w:color w:val="000000"/>
              </w:rPr>
            </w:pPr>
            <w:r w:rsidRPr="003A6407">
              <w:rPr>
                <w:rFonts w:eastAsia="Calibri" w:cs="Times New Roman"/>
                <w:b/>
                <w:bCs/>
                <w:color w:val="000000"/>
              </w:rPr>
              <w:t>Duplikujące się przedsiębiorstwa</w:t>
            </w:r>
            <w:r w:rsidRPr="003A6407">
              <w:rPr>
                <w:rFonts w:eastAsia="Calibri" w:cs="Times New Roman"/>
                <w:color w:val="000000"/>
              </w:rPr>
              <w:t xml:space="preserve"> (istotność: umiarkowana);</w:t>
            </w:r>
          </w:p>
          <w:p w14:paraId="0EDEC5D6" w14:textId="77777777" w:rsidR="00BB0F80" w:rsidRPr="003A6407" w:rsidRDefault="00BB0F80" w:rsidP="00F20BCD">
            <w:pPr>
              <w:numPr>
                <w:ilvl w:val="0"/>
                <w:numId w:val="28"/>
              </w:numPr>
              <w:spacing w:after="0" w:line="240" w:lineRule="auto"/>
              <w:contextualSpacing/>
              <w:jc w:val="both"/>
              <w:rPr>
                <w:rFonts w:eastAsia="Calibri" w:cs="Times New Roman"/>
                <w:color w:val="000000"/>
              </w:rPr>
            </w:pPr>
            <w:r w:rsidRPr="003A6407">
              <w:rPr>
                <w:rFonts w:eastAsia="Calibri" w:cs="Times New Roman"/>
                <w:b/>
                <w:bCs/>
                <w:color w:val="000000"/>
              </w:rPr>
              <w:lastRenderedPageBreak/>
              <w:t>Rozwiązane umowy o dofinansowanie</w:t>
            </w:r>
            <w:r w:rsidRPr="003A6407">
              <w:rPr>
                <w:rFonts w:eastAsia="Calibri" w:cs="Times New Roman"/>
                <w:color w:val="000000"/>
              </w:rPr>
              <w:t xml:space="preserve"> realizacji projektu – (istotność: umiarkowana).</w:t>
            </w:r>
          </w:p>
          <w:p w14:paraId="135856D2" w14:textId="2667394A" w:rsidR="00BB0F80" w:rsidRPr="003A6407" w:rsidRDefault="00BB0F80" w:rsidP="00F20BCD">
            <w:pPr>
              <w:numPr>
                <w:ilvl w:val="0"/>
                <w:numId w:val="28"/>
              </w:numPr>
              <w:spacing w:after="0" w:line="240" w:lineRule="auto"/>
              <w:contextualSpacing/>
              <w:jc w:val="both"/>
              <w:rPr>
                <w:rFonts w:eastAsia="Calibri" w:cs="Times New Roman"/>
                <w:color w:val="000000"/>
              </w:rPr>
            </w:pPr>
            <w:r w:rsidRPr="003A6407">
              <w:rPr>
                <w:rFonts w:eastAsia="Calibri" w:cs="Times New Roman"/>
                <w:b/>
                <w:bCs/>
                <w:color w:val="000000"/>
              </w:rPr>
              <w:t xml:space="preserve">Opóźnienia dotyczące uruchomienia </w:t>
            </w:r>
            <w:proofErr w:type="spellStart"/>
            <w:r w:rsidRPr="003A6407">
              <w:rPr>
                <w:rFonts w:eastAsia="Calibri" w:cs="Times New Roman"/>
                <w:b/>
                <w:bCs/>
                <w:color w:val="000000"/>
              </w:rPr>
              <w:t>pozadotacyjnego</w:t>
            </w:r>
            <w:proofErr w:type="spellEnd"/>
            <w:r w:rsidRPr="003A6407">
              <w:rPr>
                <w:rFonts w:eastAsia="Calibri" w:cs="Times New Roman"/>
                <w:b/>
                <w:bCs/>
                <w:color w:val="000000"/>
              </w:rPr>
              <w:t xml:space="preserve"> systemu</w:t>
            </w:r>
            <w:r w:rsidRPr="003A6407">
              <w:rPr>
                <w:rFonts w:eastAsia="Calibri" w:cs="Times New Roman"/>
                <w:color w:val="000000"/>
              </w:rPr>
              <w:t xml:space="preserve"> wsparcia oraz zagrożenia związane z wyborem menedżera funduszu funduszy i pośredników finansowych (istotność: poważna);</w:t>
            </w:r>
          </w:p>
          <w:p w14:paraId="610D8C05" w14:textId="129325DB" w:rsidR="007A0EB7" w:rsidRPr="003A6407" w:rsidRDefault="007A0EB7" w:rsidP="007A0EB7">
            <w:pPr>
              <w:spacing w:after="0" w:line="240" w:lineRule="auto"/>
              <w:contextualSpacing/>
              <w:jc w:val="both"/>
              <w:rPr>
                <w:rFonts w:eastAsia="Calibri" w:cs="Times New Roman"/>
                <w:color w:val="000000"/>
              </w:rPr>
            </w:pPr>
          </w:p>
          <w:p w14:paraId="4EF4E25C" w14:textId="77777777" w:rsidR="007A0EB7" w:rsidRPr="003A6407" w:rsidRDefault="007A0EB7" w:rsidP="007A0EB7">
            <w:pPr>
              <w:spacing w:after="0" w:line="240" w:lineRule="auto"/>
              <w:contextualSpacing/>
              <w:jc w:val="both"/>
              <w:rPr>
                <w:rFonts w:eastAsia="Calibri" w:cs="Times New Roman"/>
                <w:color w:val="000000"/>
              </w:rPr>
            </w:pPr>
          </w:p>
          <w:p w14:paraId="0411EF74" w14:textId="64A5B45C" w:rsidR="007A0EB7" w:rsidRPr="003A6407" w:rsidRDefault="007A0EB7" w:rsidP="007A0EB7">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234D3582" w14:textId="1CEA55DA" w:rsidR="007A0EB7" w:rsidRPr="003A6407" w:rsidRDefault="007A0EB7" w:rsidP="007A0EB7">
            <w:pPr>
              <w:spacing w:after="0" w:line="240" w:lineRule="auto"/>
              <w:contextualSpacing/>
              <w:jc w:val="both"/>
              <w:rPr>
                <w:rFonts w:eastAsia="Calibri" w:cs="Times New Roman"/>
                <w:b/>
                <w:bCs/>
                <w:color w:val="000000"/>
              </w:rPr>
            </w:pPr>
            <w:r w:rsidRPr="003A6407">
              <w:rPr>
                <w:rFonts w:eastAsia="Calibri" w:cs="Times New Roman"/>
                <w:b/>
                <w:bCs/>
                <w:color w:val="000000"/>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3c ), na podstawie Sprawozdania rocznego z 2021 r. - wskaźnik pn. Liczba przedsiębiorstw otrzymujących wsparcie finansowe inne niż dotacje (CI 3) dopiero w 2017 r. osiągnął wartość 7, co wobec wartości z wykonania na 2021 r. (1974) stanowi zaledwie 0,35</w:t>
            </w:r>
            <w:r w:rsidR="00412D9C" w:rsidRPr="003A6407">
              <w:rPr>
                <w:rFonts w:eastAsia="Calibri" w:cs="Times New Roman"/>
                <w:b/>
                <w:bCs/>
                <w:color w:val="000000"/>
              </w:rPr>
              <w:t>%</w:t>
            </w:r>
            <w:r w:rsidRPr="003A6407">
              <w:rPr>
                <w:rFonts w:eastAsia="Calibri" w:cs="Times New Roman"/>
                <w:b/>
                <w:bCs/>
                <w:color w:val="000000"/>
              </w:rPr>
              <w:t xml:space="preserve">. </w:t>
            </w:r>
            <w:r w:rsidR="00243B24" w:rsidRPr="00243B24">
              <w:rPr>
                <w:rFonts w:eastAsia="Calibri" w:cs="Times New Roman"/>
                <w:b/>
                <w:bCs/>
                <w:color w:val="000000"/>
              </w:rPr>
              <w:t>Ponadto procedura uruchomienia wsparcia finansowego w zakresie instrumentów finansowych (pożyczki) jest dłuższa niż wsparcie dotacyjne, dlatego cel na 2024 r. przewidziano na poziomie 0</w:t>
            </w:r>
            <w:r w:rsidR="00243B24">
              <w:rPr>
                <w:rFonts w:eastAsia="Calibri" w:cs="Times New Roman"/>
                <w:b/>
                <w:bCs/>
                <w:color w:val="000000"/>
              </w:rPr>
              <w:t>.</w:t>
            </w:r>
          </w:p>
          <w:p w14:paraId="3220004D" w14:textId="7EB4A1BE" w:rsidR="007A0EB7" w:rsidRDefault="007A0EB7" w:rsidP="00412D9C">
            <w:pPr>
              <w:spacing w:after="0" w:line="240" w:lineRule="auto"/>
              <w:contextualSpacing/>
              <w:jc w:val="both"/>
              <w:rPr>
                <w:rFonts w:eastAsia="Calibri" w:cs="Times New Roman"/>
                <w:b/>
                <w:bCs/>
                <w:color w:val="000000"/>
              </w:rPr>
            </w:pPr>
            <w:r w:rsidRPr="003A6407">
              <w:rPr>
                <w:rFonts w:eastAsia="Calibri" w:cs="Times New Roman"/>
                <w:b/>
                <w:bCs/>
                <w:color w:val="000000"/>
              </w:rPr>
              <w:t>Mając na uwadze, że 2017 r. był już czwartym rokiem wdrażania programu RPO WD 2014-2020, a rok 2024 będzie de facto dopiero drugim rokiem wdrażania FEDS, wartość pośrednią dla tego wskaźnika ustalono jako 0.</w:t>
            </w:r>
          </w:p>
          <w:p w14:paraId="3F0772FB" w14:textId="77777777" w:rsidR="00BB0F80" w:rsidRPr="003A6407" w:rsidRDefault="00BB0F80" w:rsidP="00B30C4B">
            <w:pPr>
              <w:spacing w:after="0" w:line="240" w:lineRule="auto"/>
              <w:contextualSpacing/>
              <w:jc w:val="both"/>
              <w:rPr>
                <w:rFonts w:eastAsia="Calibri" w:cs="Times New Roman"/>
                <w:color w:val="000000"/>
                <w:sz w:val="22"/>
                <w:szCs w:val="22"/>
              </w:rPr>
            </w:pPr>
          </w:p>
        </w:tc>
      </w:tr>
    </w:tbl>
    <w:p w14:paraId="04CD2C52" w14:textId="7A3753E0" w:rsidR="00BB0F80" w:rsidRDefault="00BB0F80" w:rsidP="00FD5A66">
      <w:pPr>
        <w:rPr>
          <w:rFonts w:eastAsia="Calibr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4D1FB7" w:rsidRPr="003A6407" w14:paraId="04870CB8" w14:textId="77777777" w:rsidTr="009E311F">
        <w:trPr>
          <w:cantSplit/>
          <w:trHeight w:val="1647"/>
        </w:trPr>
        <w:tc>
          <w:tcPr>
            <w:tcW w:w="451" w:type="pct"/>
            <w:shd w:val="clear" w:color="auto" w:fill="auto"/>
            <w:vAlign w:val="center"/>
          </w:tcPr>
          <w:p w14:paraId="188152DF"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1</w:t>
            </w:r>
          </w:p>
          <w:p w14:paraId="3454E3B1"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37AFDD5C"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70CBE703"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596A6110" w14:textId="77777777" w:rsidR="004D1FB7" w:rsidRPr="003A6407" w:rsidRDefault="004D1FB7" w:rsidP="009E311F">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611A9022"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531842B7"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64C44291"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583A9794"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5AD5FFFA"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5EC9F348" w14:textId="77777777" w:rsidR="004D1FB7" w:rsidRPr="003A6407" w:rsidRDefault="004D1FB7" w:rsidP="009E311F">
            <w:pPr>
              <w:shd w:val="clear" w:color="auto" w:fill="FFFFFF"/>
              <w:spacing w:before="120" w:after="120" w:line="240" w:lineRule="auto"/>
              <w:jc w:val="center"/>
              <w:rPr>
                <w:rFonts w:eastAsia="Calibri" w:cs="Times New Roman"/>
                <w:b/>
                <w:noProof/>
                <w:sz w:val="16"/>
                <w:szCs w:val="16"/>
              </w:rPr>
            </w:pPr>
          </w:p>
        </w:tc>
      </w:tr>
      <w:tr w:rsidR="004D1FB7" w:rsidRPr="003A6407" w14:paraId="01B42F32" w14:textId="77777777" w:rsidTr="009E311F">
        <w:trPr>
          <w:trHeight w:val="340"/>
        </w:trPr>
        <w:tc>
          <w:tcPr>
            <w:tcW w:w="451" w:type="pct"/>
            <w:shd w:val="clear" w:color="auto" w:fill="auto"/>
            <w:vAlign w:val="center"/>
          </w:tcPr>
          <w:p w14:paraId="4BFF901D" w14:textId="77777777" w:rsidR="004D1FB7" w:rsidRDefault="004D1FB7" w:rsidP="009E311F">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1 (iii)</w:t>
            </w:r>
          </w:p>
          <w:p w14:paraId="264874E4" w14:textId="77777777" w:rsidR="004D1FB7" w:rsidRPr="003A6407" w:rsidRDefault="004D1FB7" w:rsidP="009E311F">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1.3</w:t>
            </w:r>
          </w:p>
        </w:tc>
        <w:tc>
          <w:tcPr>
            <w:tcW w:w="494" w:type="pct"/>
            <w:shd w:val="clear" w:color="auto" w:fill="auto"/>
            <w:vAlign w:val="center"/>
          </w:tcPr>
          <w:p w14:paraId="44B905D3" w14:textId="77777777" w:rsidR="004D1FB7" w:rsidRPr="003A6407" w:rsidRDefault="004D1FB7" w:rsidP="009E311F">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092155EF" w14:textId="77777777" w:rsidR="004D1FB7" w:rsidRPr="003A6407" w:rsidRDefault="004D1FB7" w:rsidP="009E311F">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5EEA62FA" w14:textId="77777777" w:rsidR="004D1FB7" w:rsidRPr="003A6407" w:rsidRDefault="004D1FB7" w:rsidP="009E311F">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RCO0</w:t>
            </w:r>
            <w:r>
              <w:rPr>
                <w:rFonts w:eastAsia="Calibri" w:cs="Times New Roman"/>
                <w:noProof/>
                <w:sz w:val="16"/>
                <w:szCs w:val="16"/>
              </w:rPr>
              <w:t>15</w:t>
            </w:r>
          </w:p>
        </w:tc>
        <w:tc>
          <w:tcPr>
            <w:tcW w:w="1206" w:type="pct"/>
            <w:shd w:val="clear" w:color="auto" w:fill="auto"/>
            <w:vAlign w:val="center"/>
          </w:tcPr>
          <w:p w14:paraId="60E3F0A7" w14:textId="5A141CED" w:rsidR="004D1FB7" w:rsidRPr="003A6407" w:rsidRDefault="004D1FB7" w:rsidP="009E311F">
            <w:pPr>
              <w:keepNext/>
              <w:keepLines/>
              <w:spacing w:before="200" w:after="0"/>
              <w:jc w:val="center"/>
              <w:outlineLvl w:val="2"/>
              <w:rPr>
                <w:rFonts w:asciiTheme="minorHAnsi" w:eastAsia="Times New Roman" w:hAnsiTheme="minorHAnsi" w:cstheme="minorHAnsi"/>
                <w:bCs/>
                <w:noProof/>
                <w:sz w:val="16"/>
                <w:szCs w:val="16"/>
              </w:rPr>
            </w:pPr>
            <w:bookmarkStart w:id="100" w:name="_Toc120464376"/>
            <w:r w:rsidRPr="003A4B0F">
              <w:rPr>
                <w:rFonts w:asciiTheme="minorHAnsi" w:eastAsia="Times New Roman" w:hAnsiTheme="minorHAnsi" w:cstheme="minorHAnsi"/>
                <w:bCs/>
                <w:noProof/>
                <w:sz w:val="16"/>
                <w:szCs w:val="16"/>
              </w:rPr>
              <w:t>Wytworzona zdolność</w:t>
            </w:r>
            <w:r>
              <w:rPr>
                <w:rFonts w:asciiTheme="minorHAnsi" w:eastAsia="Times New Roman" w:hAnsiTheme="minorHAnsi" w:cstheme="minorHAnsi"/>
                <w:bCs/>
                <w:noProof/>
                <w:sz w:val="16"/>
                <w:szCs w:val="16"/>
              </w:rPr>
              <w:t xml:space="preserve">ć </w:t>
            </w:r>
            <w:r w:rsidRPr="003A4B0F">
              <w:rPr>
                <w:rFonts w:asciiTheme="minorHAnsi" w:eastAsia="Times New Roman" w:hAnsiTheme="minorHAnsi" w:cstheme="minorHAnsi"/>
                <w:bCs/>
                <w:noProof/>
                <w:sz w:val="16"/>
                <w:szCs w:val="16"/>
              </w:rPr>
              <w:t>inkubacji przedsiębiorstw</w:t>
            </w:r>
            <w:bookmarkEnd w:id="100"/>
          </w:p>
        </w:tc>
        <w:tc>
          <w:tcPr>
            <w:tcW w:w="884" w:type="pct"/>
            <w:shd w:val="clear" w:color="auto" w:fill="auto"/>
            <w:vAlign w:val="center"/>
          </w:tcPr>
          <w:p w14:paraId="23941CB9" w14:textId="60A906B6" w:rsidR="004D1FB7" w:rsidRPr="003A6407" w:rsidRDefault="00A30461" w:rsidP="009E311F">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przedsiebiorstwa</w:t>
            </w:r>
          </w:p>
        </w:tc>
        <w:tc>
          <w:tcPr>
            <w:tcW w:w="482" w:type="pct"/>
            <w:shd w:val="clear" w:color="auto" w:fill="auto"/>
            <w:vAlign w:val="center"/>
          </w:tcPr>
          <w:p w14:paraId="041EA7D3" w14:textId="1F7BFD6C" w:rsidR="004D1FB7" w:rsidRPr="003A6407" w:rsidRDefault="004D1FB7" w:rsidP="009E311F">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0,00</w:t>
            </w:r>
          </w:p>
        </w:tc>
        <w:tc>
          <w:tcPr>
            <w:tcW w:w="502" w:type="pct"/>
            <w:shd w:val="clear" w:color="auto" w:fill="auto"/>
            <w:vAlign w:val="center"/>
          </w:tcPr>
          <w:p w14:paraId="2718E920" w14:textId="77777777" w:rsidR="004D1FB7" w:rsidRPr="003A6407" w:rsidRDefault="004D1FB7" w:rsidP="009E311F">
            <w:pPr>
              <w:spacing w:after="0" w:line="240" w:lineRule="auto"/>
              <w:jc w:val="center"/>
              <w:rPr>
                <w:rFonts w:eastAsia="Calibri"/>
                <w:noProof/>
                <w:sz w:val="16"/>
                <w:szCs w:val="16"/>
              </w:rPr>
            </w:pPr>
            <w:r>
              <w:rPr>
                <w:rFonts w:eastAsia="Calibri"/>
                <w:noProof/>
                <w:sz w:val="16"/>
                <w:szCs w:val="16"/>
              </w:rPr>
              <w:t>1615</w:t>
            </w:r>
          </w:p>
        </w:tc>
      </w:tr>
      <w:tr w:rsidR="004D1FB7" w:rsidRPr="003A6407" w14:paraId="3CF48A18" w14:textId="77777777" w:rsidTr="009E311F">
        <w:trPr>
          <w:trHeight w:val="340"/>
        </w:trPr>
        <w:tc>
          <w:tcPr>
            <w:tcW w:w="5000" w:type="pct"/>
            <w:gridSpan w:val="8"/>
            <w:shd w:val="clear" w:color="auto" w:fill="auto"/>
          </w:tcPr>
          <w:p w14:paraId="788337F9"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Metodologia:</w:t>
            </w:r>
          </w:p>
          <w:p w14:paraId="5D074F1B"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Wskaźnik realizuje kod interwencji:</w:t>
            </w:r>
          </w:p>
          <w:p w14:paraId="24420C76" w14:textId="2DB45B4B" w:rsidR="00F434C6" w:rsidRPr="003A6407" w:rsidRDefault="004D1FB7" w:rsidP="004D1FB7">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w:t>
            </w:r>
            <w:r>
              <w:rPr>
                <w:rFonts w:eastAsia="Calibri" w:cs="Times New Roman"/>
              </w:rPr>
              <w:t>0</w:t>
            </w:r>
            <w:r w:rsidRPr="003A6407">
              <w:rPr>
                <w:rFonts w:eastAsia="Calibri" w:cs="Times New Roman"/>
              </w:rPr>
              <w:t xml:space="preserve"> </w:t>
            </w:r>
            <w:r w:rsidRPr="00A119ED">
              <w:rPr>
                <w:rFonts w:eastAsia="Calibri" w:cs="Times New Roman"/>
              </w:rPr>
              <w:t>Infrastruktura biznesowa dla MŚP (w tym parki i obiekty przemysłowe)</w:t>
            </w:r>
            <w:r w:rsidRPr="003A6407">
              <w:rPr>
                <w:rFonts w:eastAsia="Calibri" w:cs="Times New Roman"/>
              </w:rPr>
              <w:t xml:space="preserve"> (</w:t>
            </w:r>
            <w:r w:rsidRPr="00A119ED">
              <w:rPr>
                <w:rFonts w:eastAsia="Calibri" w:cs="Times New Roman"/>
              </w:rPr>
              <w:t>17 570 346,00</w:t>
            </w:r>
            <w:r>
              <w:rPr>
                <w:rFonts w:eastAsia="Calibri" w:cs="Times New Roman"/>
              </w:rPr>
              <w:t xml:space="preserve"> </w:t>
            </w:r>
            <w:r w:rsidRPr="003A6407">
              <w:rPr>
                <w:rFonts w:eastAsia="Calibri" w:cs="Times New Roman"/>
              </w:rPr>
              <w:t>EUR);</w:t>
            </w:r>
          </w:p>
          <w:p w14:paraId="579B38D5" w14:textId="77777777" w:rsidR="004D1FB7" w:rsidRDefault="004D1FB7" w:rsidP="009E311F">
            <w:pPr>
              <w:shd w:val="clear" w:color="auto" w:fill="FFFFFF"/>
              <w:spacing w:before="60" w:after="60" w:line="240" w:lineRule="auto"/>
              <w:jc w:val="both"/>
              <w:rPr>
                <w:rFonts w:eastAsia="Calibri"/>
              </w:rPr>
            </w:pPr>
          </w:p>
          <w:p w14:paraId="78E023CF" w14:textId="6B76FD36"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Pr="00A119ED">
              <w:rPr>
                <w:rFonts w:eastAsia="Calibri"/>
              </w:rPr>
              <w:t xml:space="preserve"> 78 188 039,70    </w:t>
            </w:r>
            <w:r w:rsidRPr="003A6407">
              <w:rPr>
                <w:rFonts w:eastAsia="Calibri"/>
              </w:rPr>
              <w:t xml:space="preserve">PLN. </w:t>
            </w:r>
          </w:p>
          <w:p w14:paraId="49CAB3A2" w14:textId="77777777" w:rsidR="004D1FB7" w:rsidRPr="003A6407" w:rsidRDefault="004D1FB7" w:rsidP="009E311F">
            <w:pPr>
              <w:shd w:val="clear" w:color="auto" w:fill="FFFFFF"/>
              <w:spacing w:before="60" w:after="60" w:line="240" w:lineRule="auto"/>
              <w:jc w:val="both"/>
              <w:rPr>
                <w:rFonts w:eastAsia="Calibri"/>
              </w:rPr>
            </w:pPr>
          </w:p>
          <w:p w14:paraId="005A3C60"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Pr="0053672C">
              <w:rPr>
                <w:rFonts w:eastAsia="Calibri"/>
              </w:rPr>
              <w:t xml:space="preserve"> 37 892,58 </w:t>
            </w:r>
            <w:r>
              <w:rPr>
                <w:rFonts w:eastAsia="Calibri"/>
              </w:rPr>
              <w:t xml:space="preserve"> </w:t>
            </w:r>
            <w:r w:rsidRPr="003A6407">
              <w:rPr>
                <w:rFonts w:eastAsia="Calibri"/>
              </w:rPr>
              <w:t xml:space="preserve">PLN. Koszt jednostkowy został skorygowany w oparciu o wartość inflacji na poziomie 15% i wynosi </w:t>
            </w:r>
            <w:r w:rsidRPr="0053672C">
              <w:rPr>
                <w:rFonts w:eastAsia="Calibri"/>
              </w:rPr>
              <w:t xml:space="preserve">  43 576,47 </w:t>
            </w:r>
            <w:r w:rsidRPr="003A6407">
              <w:rPr>
                <w:rFonts w:eastAsia="Calibri"/>
              </w:rPr>
              <w:t xml:space="preserve">PLN, uwzględniając dofinansowanie na poziomie 70% wynosi </w:t>
            </w:r>
            <w:r w:rsidRPr="0053672C">
              <w:rPr>
                <w:rFonts w:eastAsia="Calibri"/>
              </w:rPr>
              <w:t xml:space="preserve"> 30 503,53 </w:t>
            </w:r>
            <w:r w:rsidRPr="003A6407">
              <w:rPr>
                <w:rFonts w:eastAsia="Calibri"/>
              </w:rPr>
              <w:t xml:space="preserve">PLN, tj. </w:t>
            </w:r>
            <w:r w:rsidRPr="0053672C">
              <w:rPr>
                <w:rFonts w:eastAsia="Calibri"/>
              </w:rPr>
              <w:t>6854,72</w:t>
            </w:r>
            <w:r w:rsidRPr="003A6407">
              <w:rPr>
                <w:rFonts w:eastAsia="Calibri"/>
              </w:rPr>
              <w:t xml:space="preserve">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20CADF48" w14:textId="77777777" w:rsidR="004D1FB7" w:rsidRDefault="004D1FB7" w:rsidP="009E311F">
            <w:pPr>
              <w:shd w:val="clear" w:color="auto" w:fill="FFFFFF"/>
              <w:spacing w:before="60" w:after="60" w:line="240" w:lineRule="auto"/>
              <w:jc w:val="both"/>
              <w:rPr>
                <w:rFonts w:eastAsia="Calibri"/>
              </w:rPr>
            </w:pPr>
            <w:r w:rsidRPr="00B977F4">
              <w:rPr>
                <w:rFonts w:eastAsia="Calibri"/>
              </w:rPr>
              <w:t>R=[(6*25)+(3*68)]/</w:t>
            </w:r>
            <w:r>
              <w:rPr>
                <w:rFonts w:eastAsia="Calibri"/>
              </w:rPr>
              <w:t>7</w:t>
            </w:r>
            <w:r w:rsidRPr="00B977F4">
              <w:rPr>
                <w:rFonts w:eastAsia="Calibri"/>
              </w:rPr>
              <w:t xml:space="preserve">= </w:t>
            </w:r>
            <w:r>
              <w:rPr>
                <w:rFonts w:eastAsia="Calibri"/>
              </w:rPr>
              <w:t>37</w:t>
            </w:r>
            <w:r w:rsidRPr="00B977F4">
              <w:rPr>
                <w:rFonts w:eastAsia="Calibri"/>
              </w:rPr>
              <w:t>,</w:t>
            </w:r>
            <w:r>
              <w:rPr>
                <w:rFonts w:eastAsia="Calibri"/>
              </w:rPr>
              <w:t>2</w:t>
            </w:r>
            <w:r w:rsidRPr="00B977F4">
              <w:rPr>
                <w:rFonts w:eastAsia="Calibri"/>
              </w:rPr>
              <w:t xml:space="preserve">%. Wartość zaokrąglono do pełnej wartości </w:t>
            </w:r>
            <w:r>
              <w:rPr>
                <w:rFonts w:eastAsia="Calibri"/>
              </w:rPr>
              <w:t>37</w:t>
            </w:r>
            <w:r w:rsidRPr="00B977F4">
              <w:rPr>
                <w:rFonts w:eastAsia="Calibri"/>
              </w:rPr>
              <w:t xml:space="preserve">%. </w:t>
            </w:r>
          </w:p>
          <w:p w14:paraId="21E48DAC"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Wyliczenie:</w:t>
            </w:r>
          </w:p>
          <w:p w14:paraId="581BD068" w14:textId="77777777" w:rsidR="004D1FB7" w:rsidRPr="003A6407" w:rsidRDefault="004D1FB7" w:rsidP="009E311F">
            <w:pPr>
              <w:shd w:val="clear" w:color="auto" w:fill="FFFFFF"/>
              <w:spacing w:before="60" w:after="60" w:line="240" w:lineRule="auto"/>
              <w:jc w:val="both"/>
              <w:rPr>
                <w:rFonts w:eastAsia="Calibri"/>
              </w:rPr>
            </w:pPr>
            <w:r w:rsidRPr="00A119ED">
              <w:rPr>
                <w:rFonts w:eastAsia="Calibri" w:cs="Times New Roman"/>
              </w:rPr>
              <w:t>17 570 346,00</w:t>
            </w:r>
            <w:r>
              <w:rPr>
                <w:rFonts w:eastAsia="Calibri" w:cs="Times New Roman"/>
              </w:rPr>
              <w:t xml:space="preserve"> </w:t>
            </w:r>
            <w:r w:rsidRPr="003A6407">
              <w:rPr>
                <w:rFonts w:eastAsia="Calibri"/>
              </w:rPr>
              <w:t xml:space="preserve">/ </w:t>
            </w:r>
            <w:r w:rsidRPr="0053672C">
              <w:rPr>
                <w:rFonts w:eastAsia="Calibri"/>
              </w:rPr>
              <w:t>6854,72</w:t>
            </w:r>
            <w:r w:rsidRPr="003A6407">
              <w:rPr>
                <w:rFonts w:eastAsia="Calibri"/>
              </w:rPr>
              <w:t xml:space="preserve"> * (1-0,</w:t>
            </w:r>
            <w:r>
              <w:rPr>
                <w:rFonts w:eastAsia="Calibri"/>
              </w:rPr>
              <w:t>37</w:t>
            </w:r>
            <w:r w:rsidRPr="003A6407">
              <w:rPr>
                <w:rFonts w:eastAsia="Calibri"/>
              </w:rPr>
              <w:t xml:space="preserve">)= </w:t>
            </w:r>
            <w:r>
              <w:rPr>
                <w:rFonts w:eastAsia="Calibri"/>
              </w:rPr>
              <w:t>1615</w:t>
            </w:r>
            <w:r w:rsidRPr="003A6407">
              <w:rPr>
                <w:rFonts w:eastAsia="Calibri"/>
              </w:rPr>
              <w:t xml:space="preserve"> przedsiębiorstw</w:t>
            </w:r>
          </w:p>
          <w:p w14:paraId="3E170637" w14:textId="77777777" w:rsidR="004D1FB7" w:rsidRPr="003A6407" w:rsidRDefault="004D1FB7" w:rsidP="009E311F">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14563D0E" w14:textId="77777777" w:rsidR="004D1FB7" w:rsidRPr="00B977F4" w:rsidRDefault="004D1FB7" w:rsidP="001832AD">
            <w:pPr>
              <w:numPr>
                <w:ilvl w:val="0"/>
                <w:numId w:val="92"/>
              </w:numPr>
              <w:shd w:val="clear" w:color="auto" w:fill="FFFFFF"/>
              <w:spacing w:before="60" w:after="60" w:line="240" w:lineRule="auto"/>
              <w:contextualSpacing/>
              <w:jc w:val="both"/>
              <w:rPr>
                <w:rFonts w:eastAsia="Calibri" w:cs="Times New Roman"/>
                <w:color w:val="000000"/>
              </w:rPr>
            </w:pPr>
            <w:r w:rsidRPr="00A119ED">
              <w:rPr>
                <w:rFonts w:eastAsia="Calibri" w:cs="Times New Roman"/>
                <w:b/>
                <w:bCs/>
                <w:color w:val="000000"/>
              </w:rPr>
              <w:t xml:space="preserve">Ryzyko walutowe – </w:t>
            </w:r>
            <w:r w:rsidRPr="00B977F4">
              <w:rPr>
                <w:rFonts w:eastAsia="Calibri" w:cs="Times New Roman"/>
                <w:color w:val="000000"/>
              </w:rPr>
              <w:t>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B710A17" w14:textId="77777777" w:rsidR="004D1FB7" w:rsidRPr="00A119ED" w:rsidRDefault="004D1FB7" w:rsidP="001832AD">
            <w:pPr>
              <w:numPr>
                <w:ilvl w:val="0"/>
                <w:numId w:val="92"/>
              </w:numPr>
              <w:shd w:val="clear" w:color="auto" w:fill="FFFFFF"/>
              <w:spacing w:before="60" w:after="60" w:line="240" w:lineRule="auto"/>
              <w:contextualSpacing/>
              <w:jc w:val="both"/>
              <w:rPr>
                <w:rFonts w:eastAsia="Calibri" w:cs="Times New Roman"/>
                <w:b/>
                <w:bCs/>
                <w:color w:val="000000"/>
              </w:rPr>
            </w:pPr>
            <w:r w:rsidRPr="00A119ED">
              <w:rPr>
                <w:rFonts w:eastAsia="Calibri" w:cs="Times New Roman"/>
                <w:b/>
                <w:bCs/>
                <w:color w:val="000000"/>
              </w:rPr>
              <w:t>Zawieszenie płatności przez KE dla danej osi priorytetowej; (istotność: umiarkowana);</w:t>
            </w:r>
          </w:p>
          <w:p w14:paraId="4A9D038C" w14:textId="77777777" w:rsidR="004D1FB7" w:rsidRPr="00A119ED" w:rsidRDefault="004D1FB7" w:rsidP="001832AD">
            <w:pPr>
              <w:numPr>
                <w:ilvl w:val="0"/>
                <w:numId w:val="92"/>
              </w:numPr>
              <w:shd w:val="clear" w:color="auto" w:fill="FFFFFF"/>
              <w:spacing w:before="60" w:after="60" w:line="240" w:lineRule="auto"/>
              <w:contextualSpacing/>
              <w:jc w:val="both"/>
              <w:rPr>
                <w:rFonts w:eastAsia="Calibri" w:cs="Times New Roman"/>
                <w:b/>
                <w:bCs/>
                <w:color w:val="000000"/>
              </w:rPr>
            </w:pPr>
            <w:r w:rsidRPr="00A119ED">
              <w:rPr>
                <w:rFonts w:eastAsia="Calibri" w:cs="Times New Roman"/>
                <w:b/>
                <w:bCs/>
                <w:color w:val="000000"/>
              </w:rPr>
              <w:lastRenderedPageBreak/>
              <w:t>Ostateczne ustalenia dot. występowania i poziomu pomocy publicznej; (istotność: umiarkowana)</w:t>
            </w:r>
          </w:p>
          <w:p w14:paraId="049E00FB" w14:textId="77777777" w:rsidR="004D1FB7" w:rsidRPr="00B977F4" w:rsidRDefault="004D1FB7" w:rsidP="001832AD">
            <w:pPr>
              <w:numPr>
                <w:ilvl w:val="0"/>
                <w:numId w:val="92"/>
              </w:numPr>
              <w:shd w:val="clear" w:color="auto" w:fill="FFFFFF"/>
              <w:spacing w:before="60" w:after="60" w:line="240" w:lineRule="auto"/>
              <w:contextualSpacing/>
              <w:jc w:val="both"/>
              <w:rPr>
                <w:rFonts w:eastAsia="Calibri" w:cs="Times New Roman"/>
                <w:color w:val="000000"/>
              </w:rPr>
            </w:pPr>
            <w:r w:rsidRPr="00A119ED">
              <w:rPr>
                <w:rFonts w:eastAsia="Calibri" w:cs="Times New Roman"/>
                <w:b/>
                <w:bCs/>
                <w:color w:val="000000"/>
              </w:rPr>
              <w:t xml:space="preserve">Ryzyko wzrostu cen </w:t>
            </w:r>
            <w:r w:rsidRPr="00B977F4">
              <w:rPr>
                <w:rFonts w:eastAsia="Calibri" w:cs="Times New Roman"/>
                <w:color w:val="000000"/>
              </w:rPr>
              <w:t xml:space="preserve">związane ze wzrostem cen w gospodarce związane głównie ze wzrostem cen energii, gazu, surowców, </w:t>
            </w:r>
            <w:proofErr w:type="spellStart"/>
            <w:r w:rsidRPr="00B977F4">
              <w:rPr>
                <w:rFonts w:eastAsia="Calibri" w:cs="Times New Roman"/>
                <w:color w:val="000000"/>
              </w:rPr>
              <w:t>ect</w:t>
            </w:r>
            <w:proofErr w:type="spellEnd"/>
            <w:r w:rsidRPr="00B977F4">
              <w:rPr>
                <w:rFonts w:eastAsia="Calibri" w:cs="Times New Roman"/>
                <w:color w:val="000000"/>
              </w:rPr>
              <w:t>, oraz poziomem inflacji (istotność: poważna);</w:t>
            </w:r>
          </w:p>
          <w:p w14:paraId="3C985EF9" w14:textId="77777777" w:rsidR="004D1FB7" w:rsidRPr="00B977F4" w:rsidRDefault="004D1FB7" w:rsidP="001832AD">
            <w:pPr>
              <w:numPr>
                <w:ilvl w:val="0"/>
                <w:numId w:val="92"/>
              </w:numPr>
              <w:shd w:val="clear" w:color="auto" w:fill="FFFFFF"/>
              <w:spacing w:before="60" w:after="60" w:line="240" w:lineRule="auto"/>
              <w:contextualSpacing/>
              <w:jc w:val="both"/>
              <w:rPr>
                <w:rFonts w:eastAsia="Calibri" w:cs="Times New Roman"/>
                <w:color w:val="000000"/>
              </w:rPr>
            </w:pPr>
            <w:r w:rsidRPr="00A119ED">
              <w:rPr>
                <w:rFonts w:eastAsia="Calibri" w:cs="Times New Roman"/>
                <w:b/>
                <w:bCs/>
                <w:color w:val="000000"/>
              </w:rPr>
              <w:t xml:space="preserve">Rozwiązane umowy o dofinansowanie </w:t>
            </w:r>
            <w:r w:rsidRPr="00B977F4">
              <w:rPr>
                <w:rFonts w:eastAsia="Calibri" w:cs="Times New Roman"/>
                <w:color w:val="000000"/>
              </w:rPr>
              <w:t>realizacji projektu – (istotność: umiarkowana);</w:t>
            </w:r>
          </w:p>
          <w:p w14:paraId="3C803C5E" w14:textId="77777777" w:rsidR="004D1FB7" w:rsidRPr="00A119ED" w:rsidRDefault="004D1FB7" w:rsidP="001832AD">
            <w:pPr>
              <w:numPr>
                <w:ilvl w:val="0"/>
                <w:numId w:val="92"/>
              </w:numPr>
              <w:shd w:val="clear" w:color="auto" w:fill="FFFFFF"/>
              <w:spacing w:before="60" w:after="60" w:line="240" w:lineRule="auto"/>
              <w:contextualSpacing/>
              <w:jc w:val="both"/>
              <w:rPr>
                <w:rFonts w:eastAsia="Calibri" w:cs="Times New Roman"/>
                <w:b/>
                <w:bCs/>
                <w:color w:val="000000"/>
              </w:rPr>
            </w:pPr>
            <w:r w:rsidRPr="00A119ED">
              <w:rPr>
                <w:rFonts w:eastAsia="Calibri" w:cs="Times New Roman"/>
                <w:b/>
                <w:bCs/>
                <w:color w:val="000000"/>
              </w:rPr>
              <w:t xml:space="preserve">Problemy z zabezpieczeniem wkładu </w:t>
            </w:r>
            <w:r w:rsidRPr="00B977F4">
              <w:rPr>
                <w:rFonts w:eastAsia="Calibri" w:cs="Times New Roman"/>
                <w:color w:val="000000"/>
              </w:rPr>
              <w:t>własnego wnioskodawcy (istotność: poważna);</w:t>
            </w:r>
          </w:p>
          <w:p w14:paraId="1E98A7AF" w14:textId="2CAA6E01" w:rsidR="004D1FB7" w:rsidRDefault="004D1FB7" w:rsidP="001832AD">
            <w:pPr>
              <w:numPr>
                <w:ilvl w:val="0"/>
                <w:numId w:val="92"/>
              </w:numPr>
              <w:shd w:val="clear" w:color="auto" w:fill="FFFFFF"/>
              <w:spacing w:before="60" w:after="60" w:line="240" w:lineRule="auto"/>
              <w:contextualSpacing/>
              <w:jc w:val="both"/>
              <w:rPr>
                <w:rFonts w:eastAsia="Calibri" w:cs="Times New Roman"/>
                <w:b/>
                <w:bCs/>
                <w:color w:val="000000"/>
              </w:rPr>
            </w:pPr>
            <w:r w:rsidRPr="00A119ED">
              <w:rPr>
                <w:rFonts w:eastAsia="Calibri" w:cs="Times New Roman"/>
                <w:b/>
                <w:bCs/>
                <w:color w:val="000000"/>
              </w:rPr>
              <w:t xml:space="preserve">Duplikujące się przedsiębiorstwa </w:t>
            </w:r>
            <w:r w:rsidRPr="00B977F4">
              <w:rPr>
                <w:rFonts w:eastAsia="Calibri" w:cs="Times New Roman"/>
                <w:color w:val="000000"/>
              </w:rPr>
              <w:t>- waga ryzyka (istotność: umiarkowana);</w:t>
            </w:r>
            <w:r w:rsidRPr="00A119ED">
              <w:rPr>
                <w:rFonts w:eastAsia="Calibri" w:cs="Times New Roman"/>
                <w:b/>
                <w:bCs/>
                <w:color w:val="000000"/>
              </w:rPr>
              <w:t xml:space="preserve"> </w:t>
            </w:r>
          </w:p>
          <w:p w14:paraId="214AF06F" w14:textId="6BE48B00" w:rsidR="00581ABB" w:rsidRDefault="00581ABB" w:rsidP="00581ABB">
            <w:pPr>
              <w:shd w:val="clear" w:color="auto" w:fill="FFFFFF"/>
              <w:spacing w:before="60" w:after="60" w:line="240" w:lineRule="auto"/>
              <w:contextualSpacing/>
              <w:jc w:val="both"/>
              <w:rPr>
                <w:rFonts w:eastAsia="Calibri" w:cs="Times New Roman"/>
                <w:b/>
                <w:bCs/>
                <w:color w:val="000000"/>
              </w:rPr>
            </w:pPr>
          </w:p>
          <w:p w14:paraId="39B573BD" w14:textId="51F4C225" w:rsidR="00581ABB" w:rsidRPr="00A119ED" w:rsidRDefault="00581ABB" w:rsidP="00581ABB">
            <w:pPr>
              <w:shd w:val="clear" w:color="auto" w:fill="FFFFFF"/>
              <w:spacing w:before="60" w:after="60" w:line="240" w:lineRule="auto"/>
              <w:contextualSpacing/>
              <w:jc w:val="both"/>
              <w:rPr>
                <w:rFonts w:eastAsia="Calibri" w:cs="Times New Roman"/>
                <w:b/>
                <w:bCs/>
                <w:color w:val="000000"/>
              </w:rPr>
            </w:pPr>
            <w:r>
              <w:rPr>
                <w:rFonts w:eastAsia="Calibri" w:cs="Times New Roman"/>
                <w:b/>
                <w:bCs/>
                <w:color w:val="000000"/>
              </w:rPr>
              <w:t>Wartość wskaźnika liczona jest narastająco.</w:t>
            </w:r>
          </w:p>
          <w:p w14:paraId="6165ADA1" w14:textId="77777777" w:rsidR="004D1FB7" w:rsidRPr="003A6407" w:rsidRDefault="004D1FB7" w:rsidP="009E311F">
            <w:pPr>
              <w:spacing w:after="0" w:line="240" w:lineRule="auto"/>
              <w:contextualSpacing/>
              <w:jc w:val="both"/>
              <w:rPr>
                <w:rFonts w:eastAsia="Calibri" w:cs="Times New Roman"/>
                <w:color w:val="000000"/>
              </w:rPr>
            </w:pPr>
          </w:p>
          <w:p w14:paraId="14C2D727" w14:textId="77777777" w:rsidR="004D1FB7" w:rsidRPr="003A6407" w:rsidRDefault="004D1FB7" w:rsidP="009E311F">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11C4A898" w14:textId="0BE3213A" w:rsidR="004D1FB7" w:rsidRPr="003A6407" w:rsidRDefault="004D1FB7" w:rsidP="009E311F">
            <w:pPr>
              <w:spacing w:after="0" w:line="240" w:lineRule="auto"/>
              <w:contextualSpacing/>
              <w:jc w:val="both"/>
              <w:rPr>
                <w:rFonts w:eastAsia="Calibri" w:cs="Times New Roman"/>
                <w:b/>
                <w:bCs/>
                <w:color w:val="000000"/>
              </w:rPr>
            </w:pPr>
            <w:r w:rsidRPr="003A6407">
              <w:rPr>
                <w:rFonts w:eastAsia="Calibri" w:cs="Times New Roman"/>
                <w:b/>
                <w:bCs/>
                <w:color w:val="000000"/>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3</w:t>
            </w:r>
            <w:r w:rsidR="00243B24">
              <w:rPr>
                <w:rFonts w:eastAsia="Calibri" w:cs="Times New Roman"/>
                <w:b/>
                <w:bCs/>
                <w:color w:val="000000"/>
              </w:rPr>
              <w:t>a</w:t>
            </w:r>
            <w:r w:rsidRPr="003A6407">
              <w:rPr>
                <w:rFonts w:eastAsia="Calibri" w:cs="Times New Roman"/>
                <w:b/>
                <w:bCs/>
                <w:color w:val="000000"/>
              </w:rPr>
              <w:t xml:space="preserve"> ), na podstawie Sprawozdania rocznego z 2021 r. - wskaźnik pn. Liczba przedsiębiorstw otrzymujących wsparcie</w:t>
            </w:r>
            <w:r w:rsidR="00243B24">
              <w:rPr>
                <w:rFonts w:eastAsia="Calibri" w:cs="Times New Roman"/>
                <w:b/>
                <w:bCs/>
                <w:color w:val="000000"/>
              </w:rPr>
              <w:t xml:space="preserve"> niefinansowe</w:t>
            </w:r>
            <w:r w:rsidRPr="003A6407">
              <w:rPr>
                <w:rFonts w:eastAsia="Calibri" w:cs="Times New Roman"/>
                <w:b/>
                <w:bCs/>
                <w:color w:val="000000"/>
              </w:rPr>
              <w:t xml:space="preserve"> (CI </w:t>
            </w:r>
            <w:r w:rsidR="00243B24">
              <w:rPr>
                <w:rFonts w:eastAsia="Calibri" w:cs="Times New Roman"/>
                <w:b/>
                <w:bCs/>
                <w:color w:val="000000"/>
              </w:rPr>
              <w:t>4</w:t>
            </w:r>
            <w:r w:rsidRPr="003A6407">
              <w:rPr>
                <w:rFonts w:eastAsia="Calibri" w:cs="Times New Roman"/>
                <w:b/>
                <w:bCs/>
                <w:color w:val="000000"/>
              </w:rPr>
              <w:t xml:space="preserve">) w 2017 r. osiągnął wartość </w:t>
            </w:r>
            <w:r w:rsidR="00243B24">
              <w:rPr>
                <w:rFonts w:eastAsia="Calibri" w:cs="Times New Roman"/>
                <w:b/>
                <w:bCs/>
                <w:color w:val="000000"/>
              </w:rPr>
              <w:t>0</w:t>
            </w:r>
            <w:r w:rsidRPr="003A6407">
              <w:rPr>
                <w:rFonts w:eastAsia="Calibri" w:cs="Times New Roman"/>
                <w:b/>
                <w:bCs/>
                <w:color w:val="000000"/>
              </w:rPr>
              <w:t>, co wobec wartości z wykonania na 2021 r. (</w:t>
            </w:r>
            <w:r w:rsidR="00243B24">
              <w:rPr>
                <w:rFonts w:eastAsia="Calibri" w:cs="Times New Roman"/>
                <w:b/>
                <w:bCs/>
                <w:color w:val="000000"/>
              </w:rPr>
              <w:t>923</w:t>
            </w:r>
            <w:r w:rsidRPr="003A6407">
              <w:rPr>
                <w:rFonts w:eastAsia="Calibri" w:cs="Times New Roman"/>
                <w:b/>
                <w:bCs/>
                <w:color w:val="000000"/>
              </w:rPr>
              <w:t>) stanowi 0,</w:t>
            </w:r>
            <w:r w:rsidR="00FD3DE2">
              <w:rPr>
                <w:rFonts w:eastAsia="Calibri" w:cs="Times New Roman"/>
                <w:b/>
                <w:bCs/>
                <w:color w:val="000000"/>
              </w:rPr>
              <w:t>0</w:t>
            </w:r>
            <w:r w:rsidRPr="003A6407">
              <w:rPr>
                <w:rFonts w:eastAsia="Calibri" w:cs="Times New Roman"/>
                <w:b/>
                <w:bCs/>
                <w:color w:val="000000"/>
              </w:rPr>
              <w:t>%.</w:t>
            </w:r>
            <w:r w:rsidR="00FD3DE2">
              <w:rPr>
                <w:rFonts w:eastAsia="Calibri" w:cs="Times New Roman"/>
                <w:b/>
                <w:bCs/>
                <w:color w:val="000000"/>
              </w:rPr>
              <w:t xml:space="preserve">; wskaźnik </w:t>
            </w:r>
            <w:r w:rsidR="00FD3DE2" w:rsidRPr="00FD3DE2">
              <w:rPr>
                <w:rFonts w:eastAsia="Calibri" w:cs="Times New Roman"/>
                <w:b/>
                <w:bCs/>
                <w:color w:val="000000"/>
              </w:rPr>
              <w:t>Liczba wspartych inkubatorów przedsiębiorczości</w:t>
            </w:r>
            <w:r w:rsidR="00FD3DE2">
              <w:rPr>
                <w:rFonts w:eastAsia="Calibri" w:cs="Times New Roman"/>
                <w:b/>
                <w:bCs/>
                <w:color w:val="000000"/>
              </w:rPr>
              <w:t xml:space="preserve"> w 2017 osiągnął wartość 0 a w 2021 r. wartość 6.</w:t>
            </w:r>
          </w:p>
          <w:p w14:paraId="40849640" w14:textId="76DD3A94" w:rsidR="004D1FB7" w:rsidRPr="003A6407" w:rsidRDefault="004D1FB7" w:rsidP="009E311F">
            <w:pPr>
              <w:spacing w:after="0" w:line="240" w:lineRule="auto"/>
              <w:contextualSpacing/>
              <w:jc w:val="both"/>
              <w:rPr>
                <w:rFonts w:eastAsia="Calibri" w:cs="Times New Roman"/>
                <w:b/>
                <w:bCs/>
                <w:color w:val="000000"/>
              </w:rPr>
            </w:pPr>
            <w:r w:rsidRPr="003A6407">
              <w:rPr>
                <w:rFonts w:eastAsia="Calibri" w:cs="Times New Roman"/>
                <w:b/>
                <w:bCs/>
                <w:color w:val="000000"/>
              </w:rPr>
              <w:t>Mając na uwadze, że 2017 r. był już czwartym rokiem wdrażania programu RPO WD 2014-2020, a rok 2024 będzie de facto dopiero drugim rokiem wdrażania FEDS, wartość pośrednią dla tego wskaźnika ustalono jako 0.</w:t>
            </w:r>
          </w:p>
          <w:p w14:paraId="3984F695" w14:textId="77777777" w:rsidR="004D1FB7" w:rsidRPr="003A6407" w:rsidRDefault="004D1FB7" w:rsidP="009E311F">
            <w:pPr>
              <w:spacing w:after="0" w:line="240" w:lineRule="auto"/>
              <w:ind w:left="720"/>
              <w:contextualSpacing/>
              <w:jc w:val="both"/>
              <w:rPr>
                <w:rFonts w:eastAsia="Calibri" w:cs="Times New Roman"/>
                <w:color w:val="000000"/>
                <w:sz w:val="22"/>
                <w:szCs w:val="22"/>
              </w:rPr>
            </w:pPr>
          </w:p>
        </w:tc>
      </w:tr>
    </w:tbl>
    <w:p w14:paraId="3799A792" w14:textId="1CBE54CC" w:rsidR="004D1FB7" w:rsidRDefault="004D1FB7" w:rsidP="00FD5A66">
      <w:pPr>
        <w:rPr>
          <w:rFonts w:eastAsia="Calibri"/>
        </w:rPr>
      </w:pPr>
    </w:p>
    <w:p w14:paraId="4CC7D7E5" w14:textId="34F2A5FF" w:rsidR="004D1FB7" w:rsidRDefault="004D1FB7" w:rsidP="00FD5A66">
      <w:pPr>
        <w:rPr>
          <w:rFonts w:eastAsia="Calibri"/>
        </w:rPr>
      </w:pPr>
    </w:p>
    <w:p w14:paraId="5BD6F9C2" w14:textId="77777777" w:rsidR="00F434C6" w:rsidRPr="003A6407" w:rsidRDefault="00F434C6" w:rsidP="00FD5A66">
      <w:pPr>
        <w:rPr>
          <w:rFonts w:eastAsia="Calibri"/>
        </w:rPr>
      </w:pPr>
    </w:p>
    <w:p w14:paraId="4E29F55E" w14:textId="6C9AB44C" w:rsidR="00BB0F80" w:rsidRDefault="00BB0F80" w:rsidP="009557FB">
      <w:pPr>
        <w:pStyle w:val="Nagwek2"/>
        <w:spacing w:after="200"/>
      </w:pPr>
      <w:bookmarkStart w:id="101" w:name="_Toc114662370"/>
      <w:bookmarkStart w:id="102" w:name="_Toc120464377"/>
      <w:r w:rsidRPr="003A6407">
        <w:t>Wskaźniki rezultatu</w:t>
      </w:r>
      <w:bookmarkEnd w:id="101"/>
      <w:bookmarkEnd w:id="102"/>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850"/>
        <w:gridCol w:w="1418"/>
        <w:gridCol w:w="850"/>
        <w:gridCol w:w="852"/>
        <w:gridCol w:w="515"/>
        <w:gridCol w:w="691"/>
        <w:gridCol w:w="691"/>
        <w:gridCol w:w="690"/>
      </w:tblGrid>
      <w:tr w:rsidR="007F21A2" w:rsidRPr="003A6407" w14:paraId="4C763132" w14:textId="77777777" w:rsidTr="00593E55">
        <w:trPr>
          <w:cantSplit/>
          <w:trHeight w:val="1768"/>
        </w:trPr>
        <w:tc>
          <w:tcPr>
            <w:tcW w:w="375" w:type="pct"/>
            <w:vAlign w:val="center"/>
          </w:tcPr>
          <w:p w14:paraId="1EC49EE8" w14:textId="21D6AC51" w:rsidR="007F21A2" w:rsidRPr="003A6407" w:rsidRDefault="007F21A2" w:rsidP="00593E55">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 xml:space="preserve">CP </w:t>
            </w:r>
            <w:r>
              <w:rPr>
                <w:rFonts w:eastAsia="Calibri" w:cs="Times New Roman"/>
                <w:b/>
                <w:noProof/>
                <w:sz w:val="16"/>
                <w:szCs w:val="16"/>
                <w:lang w:eastAsia="pl-PL"/>
              </w:rPr>
              <w:t>1</w:t>
            </w:r>
          </w:p>
          <w:p w14:paraId="7810E0C0" w14:textId="77777777" w:rsidR="007F21A2" w:rsidRPr="003A6407" w:rsidRDefault="007F21A2" w:rsidP="00593E55">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345" w:type="pct"/>
            <w:vAlign w:val="center"/>
          </w:tcPr>
          <w:p w14:paraId="3A8B27FA" w14:textId="77777777" w:rsidR="007F21A2" w:rsidRPr="003A6407" w:rsidRDefault="007F21A2" w:rsidP="00593E55">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07896FF9" w14:textId="77777777" w:rsidR="007F21A2" w:rsidRPr="003A6407" w:rsidRDefault="007F21A2" w:rsidP="00593E55">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82" w:type="pct"/>
            <w:textDirection w:val="btLr"/>
            <w:vAlign w:val="center"/>
          </w:tcPr>
          <w:p w14:paraId="3E99683E" w14:textId="77777777" w:rsidR="007F21A2" w:rsidRPr="003A6407" w:rsidRDefault="007F21A2" w:rsidP="00593E55">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04" w:type="pct"/>
            <w:shd w:val="clear" w:color="auto" w:fill="auto"/>
            <w:vAlign w:val="center"/>
          </w:tcPr>
          <w:p w14:paraId="1E40E2A0" w14:textId="77777777" w:rsidR="007F21A2" w:rsidRPr="003A6407" w:rsidRDefault="007F21A2" w:rsidP="00593E55">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3A42CE45" w14:textId="77777777" w:rsidR="007F21A2" w:rsidRPr="003A6407" w:rsidRDefault="007F21A2" w:rsidP="00593E55">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83" w:type="pct"/>
            <w:textDirection w:val="btLr"/>
            <w:vAlign w:val="center"/>
          </w:tcPr>
          <w:p w14:paraId="2FF0051C" w14:textId="77777777" w:rsidR="007F21A2" w:rsidRPr="003A6407" w:rsidRDefault="007F21A2" w:rsidP="00593E55">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292" w:type="pct"/>
            <w:textDirection w:val="btLr"/>
            <w:vAlign w:val="center"/>
          </w:tcPr>
          <w:p w14:paraId="2600C70F" w14:textId="77777777" w:rsidR="007F21A2" w:rsidRPr="003A6407" w:rsidRDefault="007F21A2" w:rsidP="00593E55">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06E153A8" w14:textId="77777777" w:rsidR="007F21A2" w:rsidRPr="003A6407" w:rsidRDefault="007F21A2" w:rsidP="00593E55">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0D531945" w14:textId="77777777" w:rsidR="007F21A2" w:rsidRPr="003A6407" w:rsidRDefault="007F21A2" w:rsidP="00593E55">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47FD193F" w14:textId="77777777" w:rsidR="007F21A2" w:rsidRPr="003A6407" w:rsidRDefault="007F21A2" w:rsidP="00593E55">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53BE7408" w14:textId="77777777" w:rsidR="007F21A2" w:rsidRPr="003A6407" w:rsidRDefault="007F21A2" w:rsidP="00593E55">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7F21A2" w:rsidRPr="003A6407" w14:paraId="379EE50D" w14:textId="77777777" w:rsidTr="00593E55">
        <w:trPr>
          <w:trHeight w:val="434"/>
        </w:trPr>
        <w:tc>
          <w:tcPr>
            <w:tcW w:w="375" w:type="pct"/>
            <w:vAlign w:val="center"/>
          </w:tcPr>
          <w:p w14:paraId="02380A5A" w14:textId="77777777" w:rsidR="007F21A2" w:rsidRDefault="007F21A2" w:rsidP="00593E55">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 xml:space="preserve">1 </w:t>
            </w:r>
            <w:r w:rsidRPr="003A6407">
              <w:rPr>
                <w:rFonts w:eastAsia="Calibri" w:cs="Times New Roman"/>
                <w:noProof/>
                <w:sz w:val="16"/>
                <w:szCs w:val="16"/>
                <w:lang w:eastAsia="pl-PL"/>
              </w:rPr>
              <w:t>(</w:t>
            </w:r>
            <w:r>
              <w:rPr>
                <w:rFonts w:eastAsia="Calibri" w:cs="Times New Roman"/>
                <w:noProof/>
                <w:sz w:val="16"/>
                <w:szCs w:val="16"/>
                <w:lang w:eastAsia="pl-PL"/>
              </w:rPr>
              <w:t>ii</w:t>
            </w:r>
            <w:r w:rsidRPr="003A6407">
              <w:rPr>
                <w:rFonts w:eastAsia="Calibri" w:cs="Times New Roman"/>
                <w:noProof/>
                <w:sz w:val="16"/>
                <w:szCs w:val="16"/>
                <w:lang w:eastAsia="pl-PL"/>
              </w:rPr>
              <w:t>i)</w:t>
            </w:r>
          </w:p>
          <w:p w14:paraId="6D4A2048" w14:textId="727E172D" w:rsidR="007F21A2" w:rsidRPr="003A6407" w:rsidRDefault="007F21A2" w:rsidP="00593E55">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1.3</w:t>
            </w:r>
          </w:p>
        </w:tc>
        <w:tc>
          <w:tcPr>
            <w:tcW w:w="345" w:type="pct"/>
            <w:vAlign w:val="center"/>
          </w:tcPr>
          <w:p w14:paraId="4FC5512F" w14:textId="149BA367" w:rsidR="007F21A2" w:rsidRPr="003A6407" w:rsidRDefault="007F21A2" w:rsidP="00593E55">
            <w:pPr>
              <w:jc w:val="center"/>
              <w:rPr>
                <w:rFonts w:eastAsia="Calibri" w:cs="Times New Roman"/>
                <w:sz w:val="16"/>
                <w:szCs w:val="16"/>
              </w:rPr>
            </w:pPr>
            <w:r>
              <w:rPr>
                <w:rFonts w:eastAsia="Calibri" w:cs="Times New Roman"/>
                <w:noProof/>
                <w:sz w:val="16"/>
                <w:szCs w:val="16"/>
              </w:rPr>
              <w:t>EFRR</w:t>
            </w:r>
          </w:p>
        </w:tc>
        <w:tc>
          <w:tcPr>
            <w:tcW w:w="562" w:type="pct"/>
            <w:vAlign w:val="center"/>
          </w:tcPr>
          <w:p w14:paraId="5FC8489F" w14:textId="77777777" w:rsidR="007F21A2" w:rsidRPr="003A6407" w:rsidRDefault="007F21A2" w:rsidP="00593E55">
            <w:pPr>
              <w:jc w:val="center"/>
              <w:rPr>
                <w:rFonts w:eastAsia="Calibri" w:cs="Times New Roman"/>
                <w:sz w:val="16"/>
                <w:szCs w:val="16"/>
              </w:rPr>
            </w:pPr>
            <w:r w:rsidRPr="003A6407">
              <w:rPr>
                <w:rFonts w:eastAsia="Calibri" w:cs="Times New Roman"/>
                <w:noProof/>
                <w:sz w:val="16"/>
                <w:szCs w:val="16"/>
              </w:rPr>
              <w:t>Przejściowy</w:t>
            </w:r>
          </w:p>
        </w:tc>
        <w:tc>
          <w:tcPr>
            <w:tcW w:w="482" w:type="pct"/>
            <w:vAlign w:val="center"/>
          </w:tcPr>
          <w:p w14:paraId="2196DFB8" w14:textId="77777777" w:rsidR="007F21A2" w:rsidRPr="003A6407" w:rsidRDefault="007F21A2" w:rsidP="00593E55">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 01</w:t>
            </w:r>
          </w:p>
        </w:tc>
        <w:tc>
          <w:tcPr>
            <w:tcW w:w="804" w:type="pct"/>
            <w:shd w:val="clear" w:color="auto" w:fill="auto"/>
            <w:vAlign w:val="center"/>
          </w:tcPr>
          <w:p w14:paraId="34115529" w14:textId="4AB56BD8" w:rsidR="007F21A2" w:rsidRPr="003A6407" w:rsidRDefault="007F21A2" w:rsidP="00593E55">
            <w:pPr>
              <w:keepNext/>
              <w:keepLines/>
              <w:spacing w:before="200" w:after="0"/>
              <w:jc w:val="center"/>
              <w:outlineLvl w:val="2"/>
              <w:rPr>
                <w:rFonts w:eastAsia="Calibri" w:cs="Times New Roman"/>
                <w:b/>
                <w:bCs/>
                <w:noProof/>
                <w:sz w:val="16"/>
                <w:szCs w:val="16"/>
                <w:lang w:eastAsia="pl-PL"/>
              </w:rPr>
            </w:pPr>
            <w:bookmarkStart w:id="103" w:name="_Toc120464378"/>
            <w:r w:rsidRPr="003A6407">
              <w:rPr>
                <w:rFonts w:asciiTheme="minorHAnsi" w:eastAsia="Times New Roman" w:hAnsiTheme="minorHAnsi" w:cstheme="minorHAnsi"/>
                <w:bCs/>
                <w:noProof/>
                <w:sz w:val="16"/>
                <w:szCs w:val="16"/>
              </w:rPr>
              <w:t xml:space="preserve">Miejsca pracy utworzone we wspieranych </w:t>
            </w:r>
            <w:r w:rsidR="00D544BC">
              <w:rPr>
                <w:rFonts w:asciiTheme="minorHAnsi" w:eastAsia="Times New Roman" w:hAnsiTheme="minorHAnsi" w:cstheme="minorHAnsi"/>
                <w:bCs/>
                <w:noProof/>
                <w:sz w:val="16"/>
                <w:szCs w:val="16"/>
              </w:rPr>
              <w:t>podmiotach</w:t>
            </w:r>
            <w:bookmarkEnd w:id="103"/>
          </w:p>
        </w:tc>
        <w:tc>
          <w:tcPr>
            <w:tcW w:w="482" w:type="pct"/>
            <w:vAlign w:val="center"/>
          </w:tcPr>
          <w:p w14:paraId="17FCCC08" w14:textId="77777777" w:rsidR="007F21A2" w:rsidRPr="003A6407" w:rsidRDefault="007F21A2" w:rsidP="00593E55">
            <w:pPr>
              <w:jc w:val="center"/>
              <w:rPr>
                <w:rFonts w:eastAsia="Calibri" w:cs="Times New Roman"/>
                <w:noProof/>
                <w:sz w:val="16"/>
                <w:szCs w:val="16"/>
              </w:rPr>
            </w:pPr>
          </w:p>
          <w:p w14:paraId="582C02FB" w14:textId="3D307744" w:rsidR="007F21A2" w:rsidRPr="003A6407" w:rsidRDefault="007F21A2" w:rsidP="00593E55">
            <w:pPr>
              <w:jc w:val="center"/>
              <w:rPr>
                <w:rFonts w:eastAsia="Calibri" w:cs="Times New Roman"/>
                <w:noProof/>
                <w:sz w:val="16"/>
                <w:szCs w:val="16"/>
              </w:rPr>
            </w:pPr>
            <w:r>
              <w:rPr>
                <w:rFonts w:eastAsia="Calibri" w:cs="Times New Roman"/>
                <w:noProof/>
                <w:sz w:val="16"/>
                <w:szCs w:val="16"/>
              </w:rPr>
              <w:t>roczn</w:t>
            </w:r>
            <w:r w:rsidR="001910A1">
              <w:rPr>
                <w:rFonts w:eastAsia="Calibri" w:cs="Times New Roman"/>
                <w:noProof/>
                <w:sz w:val="16"/>
                <w:szCs w:val="16"/>
              </w:rPr>
              <w:t>y</w:t>
            </w:r>
            <w:r>
              <w:rPr>
                <w:rFonts w:eastAsia="Calibri" w:cs="Times New Roman"/>
                <w:noProof/>
                <w:sz w:val="16"/>
                <w:szCs w:val="16"/>
              </w:rPr>
              <w:t xml:space="preserve"> </w:t>
            </w:r>
            <w:r w:rsidRPr="003A6407">
              <w:rPr>
                <w:rFonts w:eastAsia="Calibri" w:cs="Times New Roman"/>
                <w:noProof/>
                <w:sz w:val="16"/>
                <w:szCs w:val="16"/>
              </w:rPr>
              <w:t>EPC</w:t>
            </w:r>
          </w:p>
        </w:tc>
        <w:tc>
          <w:tcPr>
            <w:tcW w:w="483" w:type="pct"/>
            <w:vAlign w:val="center"/>
          </w:tcPr>
          <w:p w14:paraId="2B7B3A3E" w14:textId="77777777" w:rsidR="007F21A2" w:rsidRPr="003A6407" w:rsidRDefault="007F21A2" w:rsidP="00593E55">
            <w:pPr>
              <w:spacing w:before="120" w:after="120" w:line="240" w:lineRule="auto"/>
              <w:jc w:val="center"/>
              <w:rPr>
                <w:rFonts w:eastAsia="Calibri" w:cs="Times New Roman"/>
                <w:noProof/>
                <w:sz w:val="16"/>
                <w:szCs w:val="16"/>
              </w:rPr>
            </w:pPr>
            <w:r w:rsidRPr="003A6407">
              <w:rPr>
                <w:rFonts w:eastAsia="Calibri" w:cs="Times New Roman"/>
                <w:noProof/>
                <w:sz w:val="16"/>
                <w:szCs w:val="16"/>
              </w:rPr>
              <w:t>0</w:t>
            </w:r>
          </w:p>
        </w:tc>
        <w:tc>
          <w:tcPr>
            <w:tcW w:w="292" w:type="pct"/>
            <w:vAlign w:val="center"/>
          </w:tcPr>
          <w:p w14:paraId="317614F2" w14:textId="77777777" w:rsidR="007F21A2" w:rsidRPr="003A6407" w:rsidRDefault="007F21A2" w:rsidP="00593E55">
            <w:pPr>
              <w:spacing w:before="120" w:after="120" w:line="240" w:lineRule="auto"/>
              <w:jc w:val="center"/>
              <w:rPr>
                <w:rFonts w:eastAsia="Calibri" w:cs="Times New Roman"/>
                <w:noProof/>
                <w:sz w:val="16"/>
                <w:szCs w:val="16"/>
              </w:rPr>
            </w:pPr>
            <w:r w:rsidRPr="003A6407">
              <w:rPr>
                <w:rFonts w:eastAsia="Calibri" w:cs="Times New Roman"/>
                <w:noProof/>
                <w:sz w:val="16"/>
                <w:szCs w:val="16"/>
              </w:rPr>
              <w:t>2022</w:t>
            </w:r>
          </w:p>
        </w:tc>
        <w:tc>
          <w:tcPr>
            <w:tcW w:w="392" w:type="pct"/>
            <w:shd w:val="clear" w:color="auto" w:fill="auto"/>
            <w:vAlign w:val="center"/>
          </w:tcPr>
          <w:p w14:paraId="1A0E5924" w14:textId="34C20A20" w:rsidR="007F21A2" w:rsidRPr="003A6407" w:rsidRDefault="00980FF3" w:rsidP="00593E55">
            <w:pPr>
              <w:spacing w:after="0" w:line="240" w:lineRule="auto"/>
              <w:jc w:val="center"/>
              <w:rPr>
                <w:rFonts w:eastAsia="Calibri" w:cs="Times New Roman"/>
                <w:noProof/>
                <w:sz w:val="16"/>
                <w:szCs w:val="16"/>
              </w:rPr>
            </w:pPr>
            <w:r>
              <w:rPr>
                <w:rFonts w:eastAsia="Calibri" w:cs="Times New Roman"/>
                <w:noProof/>
                <w:sz w:val="16"/>
                <w:szCs w:val="16"/>
              </w:rPr>
              <w:t>1 677</w:t>
            </w:r>
          </w:p>
        </w:tc>
        <w:tc>
          <w:tcPr>
            <w:tcW w:w="392" w:type="pct"/>
            <w:shd w:val="clear" w:color="auto" w:fill="auto"/>
            <w:vAlign w:val="center"/>
          </w:tcPr>
          <w:p w14:paraId="337E69A9" w14:textId="77777777" w:rsidR="007F21A2" w:rsidRPr="003A6407" w:rsidRDefault="007F21A2" w:rsidP="00593E55">
            <w:pPr>
              <w:spacing w:before="120" w:after="120" w:line="480" w:lineRule="auto"/>
              <w:jc w:val="center"/>
              <w:rPr>
                <w:rFonts w:eastAsia="Calibri" w:cs="Times New Roman"/>
                <w:noProof/>
                <w:sz w:val="16"/>
                <w:szCs w:val="16"/>
              </w:rPr>
            </w:pPr>
            <w:r w:rsidRPr="003A6407">
              <w:rPr>
                <w:rFonts w:eastAsia="Calibri" w:cs="Times New Roman"/>
                <w:noProof/>
                <w:sz w:val="16"/>
                <w:szCs w:val="16"/>
              </w:rPr>
              <w:t>SL</w:t>
            </w:r>
          </w:p>
        </w:tc>
        <w:tc>
          <w:tcPr>
            <w:tcW w:w="391" w:type="pct"/>
            <w:vAlign w:val="center"/>
          </w:tcPr>
          <w:p w14:paraId="13A838FC" w14:textId="77777777" w:rsidR="007F21A2" w:rsidRPr="003A6407" w:rsidRDefault="007F21A2" w:rsidP="00593E55">
            <w:pPr>
              <w:jc w:val="center"/>
              <w:rPr>
                <w:rFonts w:eastAsia="Calibri" w:cs="Times New Roman"/>
                <w:noProof/>
                <w:sz w:val="16"/>
                <w:szCs w:val="16"/>
              </w:rPr>
            </w:pPr>
          </w:p>
        </w:tc>
      </w:tr>
      <w:tr w:rsidR="007F21A2" w:rsidRPr="003A6407" w14:paraId="3F7D4786" w14:textId="77777777" w:rsidTr="00593E55">
        <w:trPr>
          <w:trHeight w:val="434"/>
        </w:trPr>
        <w:tc>
          <w:tcPr>
            <w:tcW w:w="5000" w:type="pct"/>
            <w:gridSpan w:val="11"/>
          </w:tcPr>
          <w:p w14:paraId="65C604D4" w14:textId="77777777" w:rsidR="007F21A2" w:rsidRPr="003A6407" w:rsidRDefault="007F21A2" w:rsidP="00593E55">
            <w:pPr>
              <w:shd w:val="clear" w:color="auto" w:fill="FFFFFF"/>
              <w:spacing w:before="60" w:after="60" w:line="240" w:lineRule="auto"/>
              <w:jc w:val="both"/>
              <w:rPr>
                <w:rFonts w:eastAsia="Calibri"/>
              </w:rPr>
            </w:pPr>
            <w:r w:rsidRPr="003A6407">
              <w:rPr>
                <w:rFonts w:eastAsia="Calibri"/>
              </w:rPr>
              <w:t>Metodologia:</w:t>
            </w:r>
          </w:p>
          <w:p w14:paraId="78B42270" w14:textId="77777777" w:rsidR="007F21A2" w:rsidRPr="003A6407" w:rsidRDefault="007F21A2" w:rsidP="00593E55">
            <w:pPr>
              <w:shd w:val="clear" w:color="auto" w:fill="FFFFFF"/>
              <w:spacing w:before="60" w:after="60" w:line="240" w:lineRule="auto"/>
              <w:jc w:val="both"/>
              <w:rPr>
                <w:rFonts w:eastAsia="Calibri"/>
              </w:rPr>
            </w:pPr>
            <w:r w:rsidRPr="003A6407">
              <w:rPr>
                <w:rFonts w:eastAsia="Calibri"/>
              </w:rPr>
              <w:t>Wskaźnik realizuje kod interwencji:</w:t>
            </w:r>
          </w:p>
          <w:p w14:paraId="7AAEA637" w14:textId="77777777" w:rsidR="00F434C6" w:rsidRPr="00F434C6" w:rsidRDefault="00F434C6" w:rsidP="00F434C6">
            <w:pPr>
              <w:pStyle w:val="Akapitzlist"/>
              <w:numPr>
                <w:ilvl w:val="0"/>
                <w:numId w:val="12"/>
              </w:numPr>
              <w:rPr>
                <w:rFonts w:eastAsia="Calibri" w:cs="Times New Roman"/>
              </w:rPr>
            </w:pPr>
            <w:r w:rsidRPr="00F434C6">
              <w:rPr>
                <w:rFonts w:eastAsia="Calibri" w:cs="Times New Roman"/>
              </w:rPr>
              <w:t>020 Infrastruktura biznesowa dla MŚP (w tym parki i obiekty przemysłowe) (17 570 346,00 EUR);</w:t>
            </w:r>
          </w:p>
          <w:p w14:paraId="34D41271" w14:textId="6D2BCE55" w:rsidR="00F434C6" w:rsidRPr="003A6407" w:rsidRDefault="007F21A2" w:rsidP="00F434C6">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 (</w:t>
            </w:r>
            <w:r w:rsidR="00F434C6" w:rsidRPr="00F434C6">
              <w:rPr>
                <w:rFonts w:eastAsia="Calibri" w:cs="Times New Roman"/>
              </w:rPr>
              <w:t>52 664</w:t>
            </w:r>
            <w:r w:rsidR="00F434C6">
              <w:rPr>
                <w:rFonts w:eastAsia="Calibri" w:cs="Times New Roman"/>
              </w:rPr>
              <w:t> </w:t>
            </w:r>
            <w:r w:rsidR="00F434C6" w:rsidRPr="00F434C6">
              <w:rPr>
                <w:rFonts w:eastAsia="Calibri" w:cs="Times New Roman"/>
              </w:rPr>
              <w:t>140</w:t>
            </w:r>
            <w:r w:rsidR="00F434C6">
              <w:rPr>
                <w:rFonts w:eastAsia="Calibri" w:cs="Times New Roman"/>
              </w:rPr>
              <w:t xml:space="preserve"> EUR)</w:t>
            </w:r>
          </w:p>
          <w:p w14:paraId="688DB831" w14:textId="77777777" w:rsidR="00F434C6" w:rsidRPr="003A6407" w:rsidRDefault="00F434C6" w:rsidP="0017578E">
            <w:pPr>
              <w:shd w:val="clear" w:color="auto" w:fill="FFFFFF"/>
              <w:spacing w:before="60" w:after="60" w:line="240" w:lineRule="auto"/>
              <w:ind w:left="770"/>
              <w:contextualSpacing/>
              <w:jc w:val="both"/>
              <w:rPr>
                <w:rFonts w:eastAsia="Calibri" w:cs="Times New Roman"/>
              </w:rPr>
            </w:pPr>
          </w:p>
          <w:p w14:paraId="7EBE133A" w14:textId="074E67C4" w:rsidR="007F21A2" w:rsidRPr="003A6407" w:rsidRDefault="007F21A2" w:rsidP="00593E55">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Pr="006B1AA4">
              <w:rPr>
                <w:rFonts w:eastAsia="Calibri"/>
              </w:rPr>
              <w:t xml:space="preserve"> </w:t>
            </w:r>
            <w:r w:rsidR="0017578E" w:rsidRPr="0017578E">
              <w:rPr>
                <w:rFonts w:eastAsia="Calibri"/>
              </w:rPr>
              <w:t xml:space="preserve">312 543 462,70    </w:t>
            </w:r>
            <w:r w:rsidRPr="006B1AA4">
              <w:rPr>
                <w:rFonts w:eastAsia="Calibri"/>
              </w:rPr>
              <w:t xml:space="preserve">    </w:t>
            </w:r>
            <w:r w:rsidRPr="003A6407">
              <w:rPr>
                <w:rFonts w:eastAsia="Calibri"/>
              </w:rPr>
              <w:t xml:space="preserve">PLN. </w:t>
            </w:r>
            <w:r w:rsidR="00F434C6" w:rsidRPr="00F434C6">
              <w:rPr>
                <w:rFonts w:eastAsia="Calibri"/>
              </w:rPr>
              <w:t>(70 234 486 EUR)</w:t>
            </w:r>
          </w:p>
          <w:p w14:paraId="5CF49BCB" w14:textId="301D7BB5" w:rsidR="007F21A2" w:rsidRPr="003A6407" w:rsidRDefault="007F21A2" w:rsidP="00593E55">
            <w:pPr>
              <w:shd w:val="clear" w:color="auto" w:fill="FFFFFF"/>
              <w:spacing w:before="60" w:after="60" w:line="240" w:lineRule="auto"/>
              <w:jc w:val="both"/>
              <w:rPr>
                <w:rFonts w:eastAsia="Calibri"/>
              </w:rPr>
            </w:pPr>
            <w:r w:rsidRPr="003A6407">
              <w:rPr>
                <w:rFonts w:eastAsia="Calibri"/>
              </w:rPr>
              <w:t xml:space="preserve">Koszt jednostkowy wyliczony na bazie wskaźnika EECO02 z CP4 a „Liczba osób bezrobotnych, w tym długotrwale bezrobotnych, objętych wsparciem w programie”, który wynosi </w:t>
            </w:r>
            <w:bookmarkStart w:id="104" w:name="OLE_LINK1"/>
            <w:r w:rsidRPr="003A6407">
              <w:rPr>
                <w:rFonts w:eastAsia="Calibri"/>
              </w:rPr>
              <w:t>19 507,89</w:t>
            </w:r>
            <w:bookmarkEnd w:id="104"/>
            <w:r w:rsidRPr="003A6407">
              <w:rPr>
                <w:rFonts w:eastAsia="Calibri"/>
              </w:rPr>
              <w:t xml:space="preserve"> PLN. Koszt jednostkowy został skorygowany w oparciu o wartość inflacji na poziomie 15% i wynosi </w:t>
            </w:r>
            <w:r w:rsidR="0017578E" w:rsidRPr="0017578E">
              <w:rPr>
                <w:rFonts w:eastAsia="Calibri"/>
              </w:rPr>
              <w:t xml:space="preserve"> 22 434,07 </w:t>
            </w:r>
            <w:r w:rsidRPr="003A6407">
              <w:rPr>
                <w:rFonts w:eastAsia="Calibri"/>
              </w:rPr>
              <w:t>PLN</w:t>
            </w:r>
            <w:r w:rsidR="00F77C41">
              <w:rPr>
                <w:rFonts w:eastAsia="Calibri"/>
              </w:rPr>
              <w:t xml:space="preserve">, </w:t>
            </w:r>
            <w:r w:rsidR="00F77C41" w:rsidRPr="003A6407">
              <w:rPr>
                <w:rFonts w:asciiTheme="minorHAnsi" w:eastAsia="Calibri" w:hAnsiTheme="minorHAnsi" w:cstheme="minorHAnsi"/>
              </w:rPr>
              <w:t xml:space="preserve">a </w:t>
            </w:r>
            <w:r w:rsidR="00F77C41" w:rsidRPr="003A6407">
              <w:rPr>
                <w:rFonts w:asciiTheme="minorHAnsi" w:eastAsia="Calibri" w:hAnsiTheme="minorHAnsi" w:cstheme="minorHAnsi"/>
              </w:rPr>
              <w:lastRenderedPageBreak/>
              <w:t>obniżony do wartości dofinansowania na poziomie 70% wynosi 15 703,85 PLN</w:t>
            </w:r>
            <w:r>
              <w:rPr>
                <w:rFonts w:eastAsia="Calibri"/>
              </w:rPr>
              <w:t xml:space="preserve"> </w:t>
            </w:r>
            <w:r w:rsidRPr="003A6407">
              <w:rPr>
                <w:rFonts w:eastAsia="Calibri"/>
              </w:rPr>
              <w:t xml:space="preserve">tj. </w:t>
            </w:r>
            <w:r>
              <w:rPr>
                <w:rFonts w:eastAsia="Calibri"/>
              </w:rPr>
              <w:t xml:space="preserve"> </w:t>
            </w:r>
            <w:r w:rsidR="00E170FA">
              <w:rPr>
                <w:rFonts w:eastAsia="Calibri"/>
              </w:rPr>
              <w:t>w zaokrągleniu 3 528,96</w:t>
            </w:r>
            <w:r w:rsidRPr="003A6407">
              <w:rPr>
                <w:rFonts w:eastAsia="Calibri"/>
              </w:rPr>
              <w:t xml:space="preserve"> EUR</w:t>
            </w:r>
            <w:r w:rsidR="00E170FA">
              <w:rPr>
                <w:rFonts w:eastAsia="Calibri"/>
              </w:rPr>
              <w:t xml:space="preserve">. </w:t>
            </w:r>
            <w:r w:rsidRPr="003A6407">
              <w:rPr>
                <w:rFonts w:eastAsia="Calibri"/>
              </w:rPr>
              <w:t xml:space="preserve">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2F09A12D" w14:textId="77777777" w:rsidR="007F21A2" w:rsidRPr="003A6407" w:rsidRDefault="007F21A2" w:rsidP="00593E55">
            <w:pPr>
              <w:spacing w:before="60" w:after="60" w:line="240" w:lineRule="auto"/>
              <w:jc w:val="both"/>
              <w:rPr>
                <w:rFonts w:eastAsia="Calibri"/>
              </w:rPr>
            </w:pPr>
            <w:r w:rsidRPr="003A6407">
              <w:rPr>
                <w:rFonts w:eastAsia="Calibri"/>
              </w:rPr>
              <w:t xml:space="preserve">R= [(5*25)+(3*68)]/8= 41,1. Wartość zaokrąglono do pełnej wartości 41%. </w:t>
            </w:r>
          </w:p>
          <w:p w14:paraId="1F78FA71" w14:textId="77777777" w:rsidR="007F21A2" w:rsidRPr="003A6407" w:rsidRDefault="007F21A2" w:rsidP="00593E55">
            <w:pPr>
              <w:shd w:val="clear" w:color="auto" w:fill="FFFFFF"/>
              <w:spacing w:before="60" w:after="60" w:line="240" w:lineRule="auto"/>
              <w:jc w:val="both"/>
              <w:rPr>
                <w:rFonts w:eastAsia="Calibri"/>
              </w:rPr>
            </w:pPr>
          </w:p>
          <w:p w14:paraId="7F2C7246" w14:textId="77777777" w:rsidR="007F21A2" w:rsidRPr="003A6407" w:rsidRDefault="007F21A2" w:rsidP="00593E55">
            <w:pPr>
              <w:shd w:val="clear" w:color="auto" w:fill="FFFFFF"/>
              <w:spacing w:before="60" w:after="60" w:line="240" w:lineRule="auto"/>
              <w:jc w:val="both"/>
              <w:rPr>
                <w:rFonts w:eastAsia="Calibri"/>
              </w:rPr>
            </w:pPr>
            <w:r w:rsidRPr="003A6407">
              <w:rPr>
                <w:rFonts w:eastAsia="Calibri"/>
              </w:rPr>
              <w:t>Wyliczenie:</w:t>
            </w:r>
          </w:p>
          <w:p w14:paraId="6728F498" w14:textId="7AC4ED14" w:rsidR="007F21A2" w:rsidRPr="003A6407" w:rsidRDefault="007F21A2" w:rsidP="00593E55">
            <w:pPr>
              <w:shd w:val="clear" w:color="auto" w:fill="FFFFFF"/>
              <w:spacing w:before="60" w:after="60" w:line="240" w:lineRule="auto"/>
              <w:jc w:val="both"/>
              <w:rPr>
                <w:rFonts w:eastAsia="Calibri"/>
              </w:rPr>
            </w:pPr>
            <w:r>
              <w:rPr>
                <w:rFonts w:eastAsia="Calibri"/>
              </w:rPr>
              <w:t>(</w:t>
            </w:r>
            <w:r w:rsidR="003007F4" w:rsidRPr="00F434C6">
              <w:rPr>
                <w:rFonts w:eastAsia="Calibri"/>
              </w:rPr>
              <w:t>70 234</w:t>
            </w:r>
            <w:r w:rsidR="003007F4">
              <w:rPr>
                <w:rFonts w:eastAsia="Calibri"/>
              </w:rPr>
              <w:t> </w:t>
            </w:r>
            <w:r w:rsidR="003007F4" w:rsidRPr="00F434C6">
              <w:rPr>
                <w:rFonts w:eastAsia="Calibri"/>
              </w:rPr>
              <w:t xml:space="preserve">486 </w:t>
            </w:r>
            <w:r w:rsidRPr="003A6407">
              <w:rPr>
                <w:rFonts w:eastAsia="Calibri"/>
              </w:rPr>
              <w:t xml:space="preserve">/ </w:t>
            </w:r>
            <w:r w:rsidR="003007F4">
              <w:rPr>
                <w:rFonts w:eastAsia="Calibri"/>
              </w:rPr>
              <w:t>3 528,96</w:t>
            </w:r>
            <w:r w:rsidR="003007F4" w:rsidRPr="003A6407">
              <w:rPr>
                <w:rFonts w:eastAsia="Calibri"/>
              </w:rPr>
              <w:t xml:space="preserve"> </w:t>
            </w:r>
            <w:r w:rsidRPr="003A6407">
              <w:rPr>
                <w:rFonts w:eastAsia="Calibri"/>
              </w:rPr>
              <w:t xml:space="preserve"> * (1-0,41)</w:t>
            </w:r>
            <w:r>
              <w:rPr>
                <w:rFonts w:eastAsia="Calibri"/>
              </w:rPr>
              <w:t>) / 7 lat</w:t>
            </w:r>
            <w:r w:rsidR="00050350">
              <w:rPr>
                <w:rFonts w:eastAsia="Calibri"/>
              </w:rPr>
              <w:t xml:space="preserve"> programu</w:t>
            </w:r>
            <w:r w:rsidRPr="003A6407">
              <w:rPr>
                <w:rFonts w:eastAsia="Calibri"/>
              </w:rPr>
              <w:t xml:space="preserve"> = </w:t>
            </w:r>
            <w:r>
              <w:rPr>
                <w:rFonts w:eastAsia="Calibri"/>
              </w:rPr>
              <w:t xml:space="preserve"> </w:t>
            </w:r>
            <w:r w:rsidR="00980FF3">
              <w:rPr>
                <w:rFonts w:eastAsia="Calibri"/>
              </w:rPr>
              <w:t xml:space="preserve">1 677 </w:t>
            </w:r>
            <w:r>
              <w:rPr>
                <w:rFonts w:eastAsia="Calibri"/>
              </w:rPr>
              <w:t>roczn</w:t>
            </w:r>
            <w:r w:rsidR="001910A1">
              <w:rPr>
                <w:rFonts w:eastAsia="Calibri"/>
              </w:rPr>
              <w:t>y</w:t>
            </w:r>
            <w:r>
              <w:rPr>
                <w:rFonts w:eastAsia="Calibri"/>
              </w:rPr>
              <w:t xml:space="preserve"> </w:t>
            </w:r>
            <w:r w:rsidRPr="003A6407">
              <w:rPr>
                <w:rFonts w:eastAsia="Calibri"/>
              </w:rPr>
              <w:t>EPC</w:t>
            </w:r>
          </w:p>
          <w:p w14:paraId="293C4D27" w14:textId="77777777" w:rsidR="007F21A2" w:rsidRPr="003A6407" w:rsidRDefault="007F21A2" w:rsidP="00593E55">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09689428"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Ryzyko walutowe</w:t>
            </w:r>
            <w:r w:rsidRPr="003A6407">
              <w:rPr>
                <w:rFonts w:eastAsia="Calibr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0C0884D9"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Zawieszenie płatności przez KE</w:t>
            </w:r>
            <w:r w:rsidRPr="003A6407">
              <w:rPr>
                <w:rFonts w:eastAsia="Calibri"/>
              </w:rPr>
              <w:t xml:space="preserve"> dla danej osi priorytetowej; (istotność: umiarkowana);</w:t>
            </w:r>
          </w:p>
          <w:p w14:paraId="3DDD22CB"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Opóźnienia</w:t>
            </w:r>
            <w:r w:rsidRPr="003A6407">
              <w:rPr>
                <w:rFonts w:eastAsia="Calibri"/>
              </w:rPr>
              <w:t xml:space="preserve">, bądź niewykonanie projektu związane z trybem konkurencyjnym i brakiem / ograniczonym dostępem do materiałów/surowców/półproduktów, </w:t>
            </w:r>
            <w:proofErr w:type="spellStart"/>
            <w:r w:rsidRPr="003A6407">
              <w:rPr>
                <w:rFonts w:eastAsia="Calibri"/>
              </w:rPr>
              <w:t>ect</w:t>
            </w:r>
            <w:proofErr w:type="spellEnd"/>
            <w:r w:rsidRPr="003A6407">
              <w:rPr>
                <w:rFonts w:eastAsia="Calibri"/>
              </w:rPr>
              <w:t>. (istotność: umiarkowana);</w:t>
            </w:r>
          </w:p>
          <w:p w14:paraId="678C94CB"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Wpływ pandemii Covid-19</w:t>
            </w:r>
            <w:r w:rsidRPr="003A6407">
              <w:rPr>
                <w:rFonts w:eastAsia="Calibri"/>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173521CA"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Problemy z zabezpieczeniem wkładu własnego</w:t>
            </w:r>
            <w:r w:rsidRPr="003A6407">
              <w:rPr>
                <w:rFonts w:eastAsia="Calibri"/>
              </w:rPr>
              <w:t xml:space="preserve"> wnioskodawcy (istotność: poważna); </w:t>
            </w:r>
          </w:p>
          <w:p w14:paraId="6C5E0764"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Ryzyko wzrostu cen</w:t>
            </w:r>
            <w:r w:rsidRPr="003A6407">
              <w:rPr>
                <w:rFonts w:eastAsia="Calibri"/>
              </w:rPr>
              <w:t xml:space="preserve"> związane ze wzrostem cen w gospodarce związane głównie ze wzrostem cen energii, gazu, surowców, </w:t>
            </w:r>
            <w:proofErr w:type="spellStart"/>
            <w:r w:rsidRPr="003A6407">
              <w:rPr>
                <w:rFonts w:eastAsia="Calibri"/>
              </w:rPr>
              <w:t>ect</w:t>
            </w:r>
            <w:proofErr w:type="spellEnd"/>
            <w:r w:rsidRPr="003A6407">
              <w:rPr>
                <w:rFonts w:eastAsia="Calibri"/>
              </w:rPr>
              <w:t>. oraz poziomem inflacji (istotność: poważna);</w:t>
            </w:r>
          </w:p>
          <w:p w14:paraId="6E4E6C54" w14:textId="77777777" w:rsidR="007F21A2" w:rsidRPr="003A6407" w:rsidRDefault="007F21A2" w:rsidP="00593E55">
            <w:pPr>
              <w:numPr>
                <w:ilvl w:val="0"/>
                <w:numId w:val="75"/>
              </w:numPr>
              <w:spacing w:after="0" w:line="240" w:lineRule="auto"/>
              <w:contextualSpacing/>
              <w:jc w:val="both"/>
              <w:rPr>
                <w:rFonts w:eastAsia="Calibri"/>
              </w:rPr>
            </w:pPr>
            <w:r w:rsidRPr="003A6407">
              <w:rPr>
                <w:rFonts w:eastAsia="Calibri"/>
                <w:b/>
                <w:bCs/>
              </w:rPr>
              <w:t>Brak zainteresowania oferowanym wsparciem</w:t>
            </w:r>
            <w:r w:rsidRPr="003A6407">
              <w:rPr>
                <w:rFonts w:eastAsia="Calibri"/>
              </w:rPr>
              <w:t xml:space="preserve"> ze strony przedsiębiorstw - (istotność: poważna);</w:t>
            </w:r>
          </w:p>
          <w:p w14:paraId="519ECD06" w14:textId="77777777" w:rsidR="007F21A2" w:rsidRPr="008B001A" w:rsidRDefault="007F21A2" w:rsidP="00593E55">
            <w:pPr>
              <w:numPr>
                <w:ilvl w:val="0"/>
                <w:numId w:val="75"/>
              </w:numPr>
              <w:spacing w:after="0" w:line="240" w:lineRule="auto"/>
              <w:contextualSpacing/>
              <w:jc w:val="both"/>
              <w:rPr>
                <w:rFonts w:eastAsia="Calibri" w:cs="Times New Roman"/>
                <w:noProof/>
                <w:sz w:val="16"/>
                <w:szCs w:val="16"/>
              </w:rPr>
            </w:pPr>
            <w:r w:rsidRPr="003A6407">
              <w:rPr>
                <w:rFonts w:eastAsia="Calibri"/>
                <w:b/>
                <w:bCs/>
              </w:rPr>
              <w:t>Rozwiązane umowy o dofinansowanie</w:t>
            </w:r>
            <w:r w:rsidRPr="003A6407">
              <w:rPr>
                <w:rFonts w:eastAsia="Calibri"/>
              </w:rPr>
              <w:t xml:space="preserve"> realizacji projektu – (istotność: umiarkowana).</w:t>
            </w:r>
          </w:p>
          <w:p w14:paraId="542C386B" w14:textId="77777777" w:rsidR="007F21A2" w:rsidRPr="003A6407" w:rsidRDefault="007F21A2" w:rsidP="00593E55">
            <w:pPr>
              <w:spacing w:after="0" w:line="240" w:lineRule="auto"/>
              <w:ind w:left="720"/>
              <w:contextualSpacing/>
              <w:jc w:val="both"/>
              <w:rPr>
                <w:rFonts w:eastAsia="Calibri" w:cs="Times New Roman"/>
                <w:noProof/>
                <w:sz w:val="16"/>
                <w:szCs w:val="16"/>
              </w:rPr>
            </w:pPr>
          </w:p>
        </w:tc>
      </w:tr>
    </w:tbl>
    <w:p w14:paraId="0603AC2B" w14:textId="62A0D0B0" w:rsidR="00A42EDC" w:rsidRDefault="00A42EDC" w:rsidP="00A42EDC"/>
    <w:p w14:paraId="4E72E9B2" w14:textId="4B3D3A3D" w:rsidR="00A42EDC" w:rsidRDefault="00A42EDC" w:rsidP="00A42EDC"/>
    <w:p w14:paraId="06F0133A" w14:textId="77777777" w:rsidR="007F21A2" w:rsidRPr="00A42EDC" w:rsidRDefault="007F21A2" w:rsidP="00F434C6"/>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711"/>
        <w:gridCol w:w="1557"/>
        <w:gridCol w:w="850"/>
        <w:gridCol w:w="813"/>
        <w:gridCol w:w="554"/>
        <w:gridCol w:w="691"/>
        <w:gridCol w:w="691"/>
        <w:gridCol w:w="690"/>
      </w:tblGrid>
      <w:tr w:rsidR="00191FE2" w:rsidRPr="003A6407" w14:paraId="346EE3BD" w14:textId="77777777" w:rsidTr="00AD1DFA">
        <w:trPr>
          <w:cantSplit/>
          <w:trHeight w:val="1768"/>
        </w:trPr>
        <w:tc>
          <w:tcPr>
            <w:tcW w:w="375" w:type="pct"/>
            <w:vAlign w:val="center"/>
          </w:tcPr>
          <w:p w14:paraId="3AB6FE1A" w14:textId="77777777" w:rsidR="00BB0F80" w:rsidRPr="003A6407" w:rsidRDefault="00BB0F80" w:rsidP="00AD1DFA">
            <w:pPr>
              <w:spacing w:before="120" w:after="120" w:line="240" w:lineRule="auto"/>
              <w:jc w:val="center"/>
              <w:rPr>
                <w:rFonts w:eastAsia="Calibri" w:cs="Times New Roman"/>
                <w:b/>
                <w:noProof/>
                <w:sz w:val="16"/>
                <w:szCs w:val="16"/>
                <w:lang w:eastAsia="pl-PL"/>
              </w:rPr>
            </w:pPr>
            <w:bookmarkStart w:id="105" w:name="_Hlk119668609"/>
            <w:r w:rsidRPr="003A6407">
              <w:rPr>
                <w:rFonts w:eastAsia="Calibri" w:cs="Times New Roman"/>
                <w:b/>
                <w:noProof/>
                <w:sz w:val="16"/>
                <w:szCs w:val="16"/>
                <w:lang w:eastAsia="pl-PL"/>
              </w:rPr>
              <w:t>CP 1</w:t>
            </w:r>
          </w:p>
          <w:p w14:paraId="193EF4F4" w14:textId="2968A7A6"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345" w:type="pct"/>
            <w:vAlign w:val="center"/>
          </w:tcPr>
          <w:p w14:paraId="1F47EF63"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25B76C07"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03" w:type="pct"/>
            <w:textDirection w:val="btLr"/>
            <w:vAlign w:val="center"/>
          </w:tcPr>
          <w:p w14:paraId="08B811D4"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83" w:type="pct"/>
            <w:shd w:val="clear" w:color="auto" w:fill="auto"/>
            <w:vAlign w:val="center"/>
          </w:tcPr>
          <w:p w14:paraId="189097DB"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7E1E7BFB"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61" w:type="pct"/>
            <w:textDirection w:val="btLr"/>
            <w:vAlign w:val="center"/>
          </w:tcPr>
          <w:p w14:paraId="72873AB3"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48E3E23B" w14:textId="77777777" w:rsidR="00BB0F80" w:rsidRPr="003A6407" w:rsidRDefault="00BB0F80" w:rsidP="00AD1DFA">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696ADF5A" w14:textId="77777777" w:rsidR="00BB0F80" w:rsidRPr="003A6407" w:rsidRDefault="00BB0F80"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44076B71" w14:textId="77777777" w:rsidR="00BB0F80" w:rsidRPr="003A6407" w:rsidRDefault="00BB0F80" w:rsidP="00AD1DFA">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6BB1AF88" w14:textId="77777777" w:rsidR="00BB0F80" w:rsidRPr="003A6407" w:rsidRDefault="00BB0F80" w:rsidP="00AD1DFA">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1AA7DA50" w14:textId="77777777" w:rsidR="00BB0F80" w:rsidRPr="003A6407" w:rsidRDefault="00BB0F80" w:rsidP="00AD1DFA">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551FA68D" w14:textId="77777777" w:rsidTr="00AD1DFA">
        <w:trPr>
          <w:trHeight w:val="434"/>
        </w:trPr>
        <w:tc>
          <w:tcPr>
            <w:tcW w:w="375" w:type="pct"/>
            <w:vAlign w:val="center"/>
          </w:tcPr>
          <w:p w14:paraId="16DA5D5C" w14:textId="77777777" w:rsidR="00BB0F80" w:rsidRDefault="00BB0F80" w:rsidP="00AD1DFA">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1 (iii)</w:t>
            </w:r>
          </w:p>
          <w:p w14:paraId="1D2397BD" w14:textId="682B8898" w:rsidR="00572DDA" w:rsidRPr="003A6407" w:rsidRDefault="00572DDA" w:rsidP="00AD1DFA">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1.3</w:t>
            </w:r>
          </w:p>
        </w:tc>
        <w:tc>
          <w:tcPr>
            <w:tcW w:w="345" w:type="pct"/>
            <w:vAlign w:val="center"/>
          </w:tcPr>
          <w:p w14:paraId="7980EB79" w14:textId="77777777" w:rsidR="00BB0F80" w:rsidRPr="003A6407" w:rsidRDefault="00BB0F80" w:rsidP="00AD1DFA">
            <w:pPr>
              <w:jc w:val="center"/>
              <w:rPr>
                <w:rFonts w:eastAsia="Calibri" w:cs="Times New Roman"/>
                <w:sz w:val="16"/>
                <w:szCs w:val="16"/>
              </w:rPr>
            </w:pPr>
            <w:r w:rsidRPr="003A6407">
              <w:rPr>
                <w:rFonts w:eastAsia="Calibri" w:cs="Times New Roman"/>
                <w:noProof/>
                <w:sz w:val="16"/>
                <w:szCs w:val="16"/>
              </w:rPr>
              <w:t>EFRR</w:t>
            </w:r>
          </w:p>
        </w:tc>
        <w:tc>
          <w:tcPr>
            <w:tcW w:w="562" w:type="pct"/>
            <w:vAlign w:val="center"/>
          </w:tcPr>
          <w:p w14:paraId="61D67B8A" w14:textId="77777777" w:rsidR="00BB0F80" w:rsidRPr="003A6407" w:rsidRDefault="00BB0F80" w:rsidP="00AD1DFA">
            <w:pPr>
              <w:jc w:val="center"/>
              <w:rPr>
                <w:rFonts w:eastAsia="Calibri" w:cs="Times New Roman"/>
                <w:sz w:val="16"/>
                <w:szCs w:val="16"/>
              </w:rPr>
            </w:pPr>
            <w:r w:rsidRPr="003A6407">
              <w:rPr>
                <w:rFonts w:eastAsia="Calibri" w:cs="Times New Roman"/>
                <w:noProof/>
                <w:sz w:val="16"/>
                <w:szCs w:val="16"/>
              </w:rPr>
              <w:t>Przejściowy</w:t>
            </w:r>
          </w:p>
        </w:tc>
        <w:tc>
          <w:tcPr>
            <w:tcW w:w="403" w:type="pct"/>
            <w:vAlign w:val="center"/>
          </w:tcPr>
          <w:p w14:paraId="7C4E3D43" w14:textId="77777777" w:rsidR="00BB0F80" w:rsidRPr="003A6407" w:rsidRDefault="00BB0F80" w:rsidP="00AD1DFA">
            <w:pPr>
              <w:spacing w:before="120" w:after="120" w:line="240" w:lineRule="auto"/>
              <w:jc w:val="center"/>
              <w:rPr>
                <w:rFonts w:eastAsia="Calibri" w:cs="Times New Roman"/>
                <w:noProof/>
                <w:sz w:val="16"/>
                <w:szCs w:val="16"/>
              </w:rPr>
            </w:pPr>
            <w:r w:rsidRPr="003A6407">
              <w:rPr>
                <w:rFonts w:eastAsia="Calibri" w:cs="Times New Roman"/>
                <w:noProof/>
                <w:sz w:val="16"/>
                <w:szCs w:val="16"/>
              </w:rPr>
              <w:t>RCR003</w:t>
            </w:r>
          </w:p>
        </w:tc>
        <w:tc>
          <w:tcPr>
            <w:tcW w:w="883" w:type="pct"/>
            <w:shd w:val="clear" w:color="auto" w:fill="auto"/>
            <w:vAlign w:val="center"/>
          </w:tcPr>
          <w:p w14:paraId="60913544" w14:textId="77777777" w:rsidR="00BB0F80" w:rsidRPr="003A6407" w:rsidRDefault="00BB0F80" w:rsidP="00AD1DFA">
            <w:pPr>
              <w:keepNext/>
              <w:keepLines/>
              <w:spacing w:before="200" w:after="0"/>
              <w:jc w:val="center"/>
              <w:outlineLvl w:val="2"/>
              <w:rPr>
                <w:rFonts w:eastAsia="Calibri" w:cs="Times New Roman"/>
                <w:b/>
                <w:bCs/>
                <w:noProof/>
                <w:sz w:val="16"/>
                <w:szCs w:val="16"/>
              </w:rPr>
            </w:pPr>
            <w:bookmarkStart w:id="106" w:name="_Toc114662371"/>
            <w:bookmarkStart w:id="107" w:name="_Toc120464379"/>
            <w:r w:rsidRPr="003A6407">
              <w:rPr>
                <w:rFonts w:asciiTheme="minorHAnsi" w:eastAsia="Times New Roman" w:hAnsiTheme="minorHAnsi" w:cstheme="minorHAnsi"/>
                <w:bCs/>
                <w:noProof/>
                <w:sz w:val="16"/>
                <w:szCs w:val="16"/>
              </w:rPr>
              <w:t>Małe i średnie przedsiębiorstwa (MŚP) wprowadzające innowacje produktowe lub procesowe</w:t>
            </w:r>
            <w:bookmarkEnd w:id="106"/>
            <w:bookmarkEnd w:id="107"/>
          </w:p>
        </w:tc>
        <w:tc>
          <w:tcPr>
            <w:tcW w:w="482" w:type="pct"/>
            <w:vAlign w:val="center"/>
          </w:tcPr>
          <w:p w14:paraId="3DB54A58" w14:textId="237E72DB" w:rsidR="00BB0F80" w:rsidRPr="003A6407" w:rsidRDefault="00A30461" w:rsidP="00AD1DFA">
            <w:pPr>
              <w:jc w:val="center"/>
              <w:rPr>
                <w:rFonts w:eastAsia="Calibri" w:cs="Times New Roman"/>
                <w:noProof/>
                <w:sz w:val="16"/>
                <w:szCs w:val="16"/>
                <w:lang w:eastAsia="pl-PL"/>
              </w:rPr>
            </w:pPr>
            <w:r>
              <w:rPr>
                <w:rFonts w:eastAsia="Calibri" w:cs="Times New Roman"/>
                <w:noProof/>
                <w:sz w:val="16"/>
                <w:szCs w:val="16"/>
                <w:lang w:eastAsia="pl-PL"/>
              </w:rPr>
              <w:t>przedsiębiorstwa</w:t>
            </w:r>
          </w:p>
        </w:tc>
        <w:tc>
          <w:tcPr>
            <w:tcW w:w="461" w:type="pct"/>
            <w:vAlign w:val="center"/>
          </w:tcPr>
          <w:p w14:paraId="6EF1E73C" w14:textId="64C0495F" w:rsidR="00BB0F80" w:rsidRPr="003A6407" w:rsidRDefault="00890103" w:rsidP="00AD1DFA">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4" w:type="pct"/>
            <w:vAlign w:val="center"/>
          </w:tcPr>
          <w:p w14:paraId="5140DDC2" w14:textId="77E06C72" w:rsidR="00BB0F80" w:rsidRPr="00160708" w:rsidRDefault="00890103" w:rsidP="00AD1DFA">
            <w:pPr>
              <w:spacing w:before="120" w:after="120" w:line="240" w:lineRule="auto"/>
              <w:jc w:val="center"/>
              <w:rPr>
                <w:rFonts w:eastAsia="Calibri" w:cs="Times New Roman"/>
                <w:bCs/>
                <w:noProof/>
                <w:sz w:val="16"/>
                <w:szCs w:val="16"/>
                <w:lang w:eastAsia="pl-PL"/>
              </w:rPr>
            </w:pPr>
            <w:r w:rsidRPr="00160708">
              <w:rPr>
                <w:rFonts w:eastAsia="Calibri" w:cs="Times New Roman"/>
                <w:bCs/>
                <w:noProof/>
                <w:sz w:val="16"/>
                <w:szCs w:val="16"/>
                <w:lang w:eastAsia="pl-PL"/>
              </w:rPr>
              <w:t>2022</w:t>
            </w:r>
          </w:p>
        </w:tc>
        <w:tc>
          <w:tcPr>
            <w:tcW w:w="392" w:type="pct"/>
            <w:shd w:val="clear" w:color="auto" w:fill="auto"/>
            <w:vAlign w:val="center"/>
          </w:tcPr>
          <w:p w14:paraId="40884A25" w14:textId="07CC5CA9" w:rsidR="00BB0F80" w:rsidRPr="00160708" w:rsidRDefault="00BB0F80" w:rsidP="00AD1DFA">
            <w:pPr>
              <w:spacing w:before="120" w:after="120" w:line="240" w:lineRule="auto"/>
              <w:jc w:val="center"/>
              <w:rPr>
                <w:rFonts w:eastAsia="Calibri" w:cs="Times New Roman"/>
                <w:bCs/>
                <w:noProof/>
                <w:sz w:val="16"/>
                <w:szCs w:val="16"/>
                <w:lang w:eastAsia="pl-PL"/>
              </w:rPr>
            </w:pPr>
            <w:r w:rsidRPr="00160708">
              <w:rPr>
                <w:rFonts w:eastAsia="Calibri" w:cs="Times New Roman"/>
                <w:bCs/>
                <w:noProof/>
                <w:sz w:val="16"/>
                <w:szCs w:val="16"/>
                <w:lang w:eastAsia="pl-PL"/>
              </w:rPr>
              <w:t>146</w:t>
            </w:r>
            <w:r w:rsidR="00160708">
              <w:rPr>
                <w:rFonts w:eastAsia="Calibri" w:cs="Times New Roman"/>
                <w:bCs/>
                <w:noProof/>
                <w:sz w:val="16"/>
                <w:szCs w:val="16"/>
                <w:lang w:eastAsia="pl-PL"/>
              </w:rPr>
              <w:t>,00</w:t>
            </w:r>
          </w:p>
        </w:tc>
        <w:tc>
          <w:tcPr>
            <w:tcW w:w="392" w:type="pct"/>
            <w:shd w:val="clear" w:color="auto" w:fill="auto"/>
            <w:vAlign w:val="center"/>
          </w:tcPr>
          <w:p w14:paraId="47915225" w14:textId="338D411F" w:rsidR="00BB0F80" w:rsidRPr="003A6407" w:rsidRDefault="00890103" w:rsidP="00AD1DFA">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1" w:type="pct"/>
            <w:vAlign w:val="center"/>
          </w:tcPr>
          <w:p w14:paraId="2D093414" w14:textId="77777777" w:rsidR="00BB0F80" w:rsidRPr="003A6407" w:rsidRDefault="00BB0F80" w:rsidP="00AD1DFA">
            <w:pPr>
              <w:jc w:val="center"/>
              <w:rPr>
                <w:rFonts w:eastAsia="Calibri" w:cs="Times New Roman"/>
                <w:noProof/>
                <w:sz w:val="16"/>
                <w:szCs w:val="16"/>
              </w:rPr>
            </w:pPr>
          </w:p>
        </w:tc>
      </w:tr>
      <w:tr w:rsidR="00BB0F80" w:rsidRPr="003A6407" w14:paraId="1F5D4AE0" w14:textId="77777777" w:rsidTr="00270B09">
        <w:trPr>
          <w:trHeight w:val="434"/>
        </w:trPr>
        <w:tc>
          <w:tcPr>
            <w:tcW w:w="5000" w:type="pct"/>
            <w:gridSpan w:val="11"/>
          </w:tcPr>
          <w:p w14:paraId="3A454D68"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Metodologia:</w:t>
            </w:r>
          </w:p>
          <w:p w14:paraId="0FB774FD"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Wskaźnik realizuje kod interwencji:</w:t>
            </w:r>
          </w:p>
          <w:p w14:paraId="0C0FB819" w14:textId="77777777" w:rsidR="00BB0F80" w:rsidRPr="003A6407" w:rsidRDefault="00BB0F80" w:rsidP="00F20BCD">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 (52 664 140,00 EUR);</w:t>
            </w:r>
          </w:p>
          <w:p w14:paraId="521654AC"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234 355 423,00 PLN. </w:t>
            </w:r>
          </w:p>
          <w:p w14:paraId="3DBB302A" w14:textId="4A918D61" w:rsidR="00BB0F80" w:rsidRPr="003A6407" w:rsidRDefault="00BB0F80" w:rsidP="00270B09">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1 174 155,01 PLN. Koszt jednostkowy został skorygowany w oparciu o wartość inflacji na poziomie 15% i wynosi 1 350 278,26 PLN , uwzględniając wartość dofinansowania na poziomie 70% wynosi 945 194,78 PLN, </w:t>
            </w:r>
            <w:r w:rsidRPr="003A6407">
              <w:rPr>
                <w:rFonts w:eastAsia="Calibri"/>
              </w:rPr>
              <w:lastRenderedPageBreak/>
              <w:t xml:space="preserve">tj. 212 403,32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51338164" w14:textId="77777777" w:rsidR="00BB0F80" w:rsidRPr="003A6407" w:rsidRDefault="00BB0F80" w:rsidP="00270B09">
            <w:pPr>
              <w:spacing w:before="60" w:after="60" w:line="240" w:lineRule="auto"/>
              <w:jc w:val="both"/>
              <w:rPr>
                <w:rFonts w:eastAsia="Calibri"/>
              </w:rPr>
            </w:pPr>
            <w:r w:rsidRPr="003A6407">
              <w:rPr>
                <w:rFonts w:eastAsia="Calibri"/>
              </w:rPr>
              <w:t xml:space="preserve">R=[(6*25)+(3*68)]/8= 41,1%. Wartość zaokrąglono do pełnej wartości 41%. </w:t>
            </w:r>
          </w:p>
          <w:p w14:paraId="3FF7B3C4" w14:textId="77777777" w:rsidR="00BB0F80" w:rsidRPr="003A6407" w:rsidRDefault="00BB0F80" w:rsidP="00270B09">
            <w:pPr>
              <w:shd w:val="clear" w:color="auto" w:fill="FFFFFF"/>
              <w:spacing w:before="60" w:after="60" w:line="240" w:lineRule="auto"/>
              <w:jc w:val="both"/>
              <w:rPr>
                <w:rFonts w:eastAsia="Calibri"/>
              </w:rPr>
            </w:pPr>
          </w:p>
          <w:p w14:paraId="1CB84943" w14:textId="77777777" w:rsidR="00BB0F80" w:rsidRPr="003A6407" w:rsidRDefault="00BB0F80" w:rsidP="00270B09">
            <w:pPr>
              <w:shd w:val="clear" w:color="auto" w:fill="FFFFFF"/>
              <w:spacing w:before="60" w:after="60" w:line="240" w:lineRule="auto"/>
              <w:jc w:val="both"/>
              <w:rPr>
                <w:rFonts w:eastAsia="Calibri"/>
              </w:rPr>
            </w:pPr>
            <w:r w:rsidRPr="003A6407">
              <w:rPr>
                <w:rFonts w:eastAsia="Calibri"/>
              </w:rPr>
              <w:t>Wyliczenie:</w:t>
            </w:r>
          </w:p>
          <w:p w14:paraId="64DF47C2" w14:textId="36F91540" w:rsidR="00BB0F80" w:rsidRPr="003A6407" w:rsidRDefault="00BB0F80" w:rsidP="00270B09">
            <w:pPr>
              <w:shd w:val="clear" w:color="auto" w:fill="FFFFFF"/>
              <w:spacing w:before="60" w:after="60" w:line="240" w:lineRule="auto"/>
              <w:jc w:val="both"/>
              <w:rPr>
                <w:rFonts w:eastAsia="Calibri"/>
              </w:rPr>
            </w:pPr>
            <w:r w:rsidRPr="003A6407">
              <w:rPr>
                <w:rFonts w:eastAsia="Calibri"/>
              </w:rPr>
              <w:t>52 664 140,00/ 212 403,32 * (1-0,41) = 146 szt.</w:t>
            </w:r>
          </w:p>
          <w:p w14:paraId="64D0D50F" w14:textId="77777777" w:rsidR="00BB0F80" w:rsidRPr="003A6407" w:rsidRDefault="00BB0F80" w:rsidP="00270B09">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3A8A9CC2" w14:textId="77777777" w:rsidR="00BB0F80" w:rsidRPr="003A6407" w:rsidRDefault="00BB0F80" w:rsidP="007F21A2">
            <w:pPr>
              <w:numPr>
                <w:ilvl w:val="0"/>
                <w:numId w:val="9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72AC7F10" w14:textId="77777777" w:rsidR="00BB0F80" w:rsidRPr="003A6407" w:rsidRDefault="00BB0F80" w:rsidP="007F21A2">
            <w:pPr>
              <w:numPr>
                <w:ilvl w:val="0"/>
                <w:numId w:val="9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 przez KE dla danej osi priorytetowej</w:t>
            </w:r>
            <w:r w:rsidRPr="003A6407">
              <w:rPr>
                <w:rFonts w:eastAsia="Calibri" w:cs="Times New Roman"/>
                <w:color w:val="000000"/>
              </w:rPr>
              <w:t>; (istotność: umiarkowana);</w:t>
            </w:r>
          </w:p>
          <w:p w14:paraId="5E9378AE" w14:textId="77777777" w:rsidR="00BB0F80" w:rsidRPr="003A6407" w:rsidRDefault="00BB0F80" w:rsidP="007F21A2">
            <w:pPr>
              <w:numPr>
                <w:ilvl w:val="0"/>
                <w:numId w:val="9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Ostateczne ustalenia dot. występowania i poziomu pomocy publicznej</w:t>
            </w:r>
            <w:r w:rsidRPr="003A6407">
              <w:rPr>
                <w:rFonts w:eastAsia="Calibri" w:cs="Times New Roman"/>
                <w:color w:val="000000"/>
              </w:rPr>
              <w:t>; (istotność: umiarkowana)</w:t>
            </w:r>
          </w:p>
          <w:p w14:paraId="5A898C64" w14:textId="77777777" w:rsidR="00BB0F80" w:rsidRPr="003A6407" w:rsidRDefault="00BB0F80" w:rsidP="007F21A2">
            <w:pPr>
              <w:numPr>
                <w:ilvl w:val="0"/>
                <w:numId w:val="91"/>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Opóźnienia, bądź niewykonanie projektu związane z </w:t>
            </w:r>
            <w:proofErr w:type="spellStart"/>
            <w:r w:rsidRPr="003A6407">
              <w:rPr>
                <w:rFonts w:eastAsia="Calibri" w:cs="Times New Roman"/>
                <w:b/>
                <w:color w:val="000000"/>
              </w:rPr>
              <w:t>z</w:t>
            </w:r>
            <w:proofErr w:type="spellEnd"/>
            <w:r w:rsidRPr="003A6407">
              <w:rPr>
                <w:rFonts w:eastAsia="Calibri" w:cs="Times New Roman"/>
                <w:b/>
                <w:color w:val="000000"/>
              </w:rPr>
              <w:t xml:space="preserve"> trybem konkurencyjnym i brakiem / ograniczonym dostępem do materiałów/surowców/półproduktów, </w:t>
            </w:r>
            <w:proofErr w:type="spellStart"/>
            <w:r w:rsidRPr="003A6407">
              <w:rPr>
                <w:rFonts w:eastAsia="Calibri" w:cs="Times New Roman"/>
                <w:b/>
                <w:color w:val="000000"/>
              </w:rPr>
              <w:t>ect</w:t>
            </w:r>
            <w:proofErr w:type="spellEnd"/>
            <w:r w:rsidRPr="003A6407">
              <w:rPr>
                <w:rFonts w:eastAsia="Calibri" w:cs="Times New Roman"/>
                <w:b/>
                <w:color w:val="000000"/>
              </w:rPr>
              <w:t>.</w:t>
            </w:r>
            <w:r w:rsidRPr="003A6407">
              <w:rPr>
                <w:rFonts w:eastAsia="Calibri" w:cs="Times New Roman"/>
                <w:b/>
                <w:bCs/>
                <w:color w:val="000000"/>
              </w:rPr>
              <w:t xml:space="preserve"> </w:t>
            </w:r>
            <w:r w:rsidRPr="003A6407">
              <w:rPr>
                <w:rFonts w:eastAsia="Calibri" w:cs="Times New Roman"/>
                <w:color w:val="000000"/>
              </w:rPr>
              <w:t>; (istotność: poważna)</w:t>
            </w:r>
          </w:p>
          <w:p w14:paraId="69DBC8B8" w14:textId="77777777" w:rsidR="00BB0F80" w:rsidRPr="003A6407" w:rsidRDefault="00BB0F80" w:rsidP="007F21A2">
            <w:pPr>
              <w:numPr>
                <w:ilvl w:val="0"/>
                <w:numId w:val="91"/>
              </w:numPr>
              <w:shd w:val="clear" w:color="auto" w:fill="FFFFFF"/>
              <w:spacing w:before="60" w:after="60" w:line="240" w:lineRule="auto"/>
              <w:jc w:val="both"/>
              <w:rPr>
                <w:rFonts w:eastAsia="Calibri"/>
                <w:color w:val="000000"/>
              </w:rPr>
            </w:pPr>
            <w:r w:rsidRPr="003A6407">
              <w:rPr>
                <w:rFonts w:eastAsia="Calibri"/>
                <w:b/>
                <w:color w:val="000000"/>
              </w:rPr>
              <w:t>Ryzyko wzrostu cen</w:t>
            </w:r>
            <w:r w:rsidRPr="003A6407">
              <w:rPr>
                <w:rFonts w:eastAsia="Calibri"/>
                <w:bCs/>
                <w:color w:val="000000"/>
              </w:rPr>
              <w:t xml:space="preserve"> związane ze wzrostem cen w gospodarce związane głównie ze wzrostem cen energii, gazu, surowców, </w:t>
            </w:r>
            <w:proofErr w:type="spellStart"/>
            <w:r w:rsidRPr="003A6407">
              <w:rPr>
                <w:rFonts w:eastAsia="Calibri"/>
                <w:bCs/>
                <w:color w:val="000000"/>
              </w:rPr>
              <w:t>ect</w:t>
            </w:r>
            <w:proofErr w:type="spellEnd"/>
            <w:r w:rsidRPr="003A6407">
              <w:rPr>
                <w:rFonts w:eastAsia="Calibri"/>
                <w:bCs/>
                <w:color w:val="000000"/>
              </w:rPr>
              <w:t>, oraz poziomem inflacji (istotność: poważna);</w:t>
            </w:r>
          </w:p>
          <w:p w14:paraId="2FB0265E" w14:textId="77777777" w:rsidR="00BB0F80" w:rsidRPr="003A6407" w:rsidRDefault="00BB0F80" w:rsidP="007F21A2">
            <w:pPr>
              <w:numPr>
                <w:ilvl w:val="0"/>
                <w:numId w:val="91"/>
              </w:numPr>
              <w:shd w:val="clear" w:color="auto" w:fill="FFFFFF"/>
              <w:spacing w:before="60" w:after="60" w:line="240" w:lineRule="auto"/>
              <w:jc w:val="both"/>
              <w:rPr>
                <w:rFonts w:eastAsia="Calibri"/>
                <w:color w:val="000000"/>
              </w:rPr>
            </w:pPr>
            <w:r w:rsidRPr="003A6407">
              <w:rPr>
                <w:rFonts w:eastAsia="Calibri"/>
                <w:b/>
                <w:bCs/>
                <w:color w:val="000000"/>
              </w:rPr>
              <w:t>Rozwiązane umowy o dofinansowanie</w:t>
            </w:r>
            <w:r w:rsidRPr="003A6407">
              <w:rPr>
                <w:rFonts w:eastAsia="Calibri"/>
                <w:color w:val="000000"/>
              </w:rPr>
              <w:t xml:space="preserve"> realizacji projektu – (istotność: umiarkowana);</w:t>
            </w:r>
          </w:p>
          <w:p w14:paraId="13BCB0BA" w14:textId="77777777" w:rsidR="00BB0F80" w:rsidRPr="003A6407" w:rsidRDefault="00BB0F80" w:rsidP="007F21A2">
            <w:pPr>
              <w:numPr>
                <w:ilvl w:val="0"/>
                <w:numId w:val="91"/>
              </w:numPr>
              <w:shd w:val="clear" w:color="auto" w:fill="FFFFFF"/>
              <w:spacing w:before="60" w:after="60" w:line="240" w:lineRule="auto"/>
              <w:jc w:val="both"/>
              <w:rPr>
                <w:rFonts w:eastAsia="Calibri"/>
                <w:color w:val="000000"/>
              </w:rPr>
            </w:pPr>
            <w:r w:rsidRPr="003A6407">
              <w:rPr>
                <w:rFonts w:eastAsia="Calibri"/>
                <w:b/>
                <w:bCs/>
                <w:color w:val="000000"/>
              </w:rPr>
              <w:t>Problemy z zabezpieczeniem wkładu</w:t>
            </w:r>
            <w:r w:rsidRPr="003A6407">
              <w:rPr>
                <w:rFonts w:eastAsia="Calibri"/>
                <w:color w:val="000000"/>
              </w:rPr>
              <w:t xml:space="preserve"> własnego wnioskodawcy (istotność: poważna);</w:t>
            </w:r>
          </w:p>
          <w:p w14:paraId="12CE7A21" w14:textId="77777777" w:rsidR="00BB0F80" w:rsidRPr="003A6407" w:rsidRDefault="00BB0F80" w:rsidP="007F21A2">
            <w:pPr>
              <w:numPr>
                <w:ilvl w:val="0"/>
                <w:numId w:val="91"/>
              </w:numPr>
              <w:shd w:val="clear" w:color="auto" w:fill="FFFFFF"/>
              <w:spacing w:before="60" w:after="60" w:line="240" w:lineRule="auto"/>
              <w:jc w:val="both"/>
              <w:rPr>
                <w:rFonts w:eastAsia="Calibri"/>
                <w:color w:val="000000"/>
              </w:rPr>
            </w:pPr>
            <w:r w:rsidRPr="003A6407">
              <w:rPr>
                <w:rFonts w:eastAsia="Calibri"/>
                <w:b/>
                <w:bCs/>
                <w:color w:val="000000"/>
              </w:rPr>
              <w:t>Duplikujące się przedsiębiorstwa</w:t>
            </w:r>
            <w:r w:rsidRPr="003A6407">
              <w:rPr>
                <w:rFonts w:eastAsia="Calibri"/>
                <w:color w:val="000000"/>
              </w:rPr>
              <w:t xml:space="preserve"> - waga ryzyka (istotność: umiarkowana); </w:t>
            </w:r>
          </w:p>
          <w:p w14:paraId="48D49B79" w14:textId="65FB38C2" w:rsidR="005C0260" w:rsidRPr="003A6407" w:rsidRDefault="005C0260" w:rsidP="00412D9C">
            <w:pPr>
              <w:shd w:val="clear" w:color="auto" w:fill="FFFFFF"/>
              <w:spacing w:before="60" w:after="60" w:line="240" w:lineRule="auto"/>
              <w:jc w:val="both"/>
              <w:rPr>
                <w:rFonts w:eastAsia="Calibri"/>
                <w:color w:val="000000"/>
              </w:rPr>
            </w:pPr>
          </w:p>
        </w:tc>
      </w:tr>
      <w:bookmarkEnd w:id="105"/>
    </w:tbl>
    <w:p w14:paraId="4DC4012E" w14:textId="77777777" w:rsidR="004D1FB7" w:rsidRDefault="004D1FB7"/>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852"/>
        <w:gridCol w:w="1416"/>
        <w:gridCol w:w="850"/>
        <w:gridCol w:w="813"/>
        <w:gridCol w:w="554"/>
        <w:gridCol w:w="691"/>
        <w:gridCol w:w="691"/>
        <w:gridCol w:w="690"/>
      </w:tblGrid>
      <w:tr w:rsidR="004D1FB7" w:rsidRPr="003A6407" w14:paraId="38D293C6" w14:textId="77777777" w:rsidTr="009E311F">
        <w:trPr>
          <w:cantSplit/>
          <w:trHeight w:val="1768"/>
        </w:trPr>
        <w:tc>
          <w:tcPr>
            <w:tcW w:w="375" w:type="pct"/>
            <w:vAlign w:val="center"/>
          </w:tcPr>
          <w:p w14:paraId="688AAC9E" w14:textId="77777777" w:rsidR="004D1FB7" w:rsidRPr="003A6407" w:rsidRDefault="004D1FB7" w:rsidP="009E311F">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1</w:t>
            </w:r>
          </w:p>
          <w:p w14:paraId="2B0D215C" w14:textId="77777777" w:rsidR="004D1FB7" w:rsidRPr="003A6407" w:rsidRDefault="004D1FB7" w:rsidP="009E311F">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345" w:type="pct"/>
            <w:vAlign w:val="center"/>
          </w:tcPr>
          <w:p w14:paraId="31C598D8" w14:textId="77777777" w:rsidR="004D1FB7" w:rsidRPr="003A6407" w:rsidRDefault="004D1FB7" w:rsidP="009E311F">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048568D2" w14:textId="77777777" w:rsidR="004D1FB7" w:rsidRPr="003A6407" w:rsidRDefault="004D1FB7" w:rsidP="009E311F">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83" w:type="pct"/>
            <w:textDirection w:val="btLr"/>
            <w:vAlign w:val="center"/>
          </w:tcPr>
          <w:p w14:paraId="0D12E54F" w14:textId="77777777" w:rsidR="004D1FB7" w:rsidRPr="003A6407" w:rsidRDefault="004D1FB7" w:rsidP="009E311F">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03" w:type="pct"/>
            <w:shd w:val="clear" w:color="auto" w:fill="auto"/>
            <w:vAlign w:val="center"/>
          </w:tcPr>
          <w:p w14:paraId="28F3B0D6" w14:textId="77777777" w:rsidR="004D1FB7" w:rsidRPr="003A6407" w:rsidRDefault="004D1FB7" w:rsidP="009E311F">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27D3D0DE" w14:textId="77777777" w:rsidR="004D1FB7" w:rsidRPr="003A6407" w:rsidRDefault="004D1FB7" w:rsidP="009E311F">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61" w:type="pct"/>
            <w:textDirection w:val="btLr"/>
            <w:vAlign w:val="center"/>
          </w:tcPr>
          <w:p w14:paraId="0400A74C" w14:textId="77777777" w:rsidR="004D1FB7" w:rsidRPr="003A6407" w:rsidRDefault="004D1FB7" w:rsidP="009E311F">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281ECF80" w14:textId="77777777" w:rsidR="004D1FB7" w:rsidRPr="003A6407" w:rsidRDefault="004D1FB7" w:rsidP="009E311F">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410B2084" w14:textId="77777777" w:rsidR="004D1FB7" w:rsidRPr="003A6407" w:rsidRDefault="004D1FB7" w:rsidP="009E311F">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62EB3893" w14:textId="77777777" w:rsidR="004D1FB7" w:rsidRPr="003A6407" w:rsidRDefault="004D1FB7" w:rsidP="009E311F">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74E64A52" w14:textId="77777777" w:rsidR="004D1FB7" w:rsidRPr="003A6407" w:rsidRDefault="004D1FB7" w:rsidP="009E311F">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41BE33B6" w14:textId="77777777" w:rsidR="004D1FB7" w:rsidRPr="003A6407" w:rsidRDefault="004D1FB7" w:rsidP="009E311F">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4D1FB7" w:rsidRPr="003A6407" w14:paraId="44B9D445" w14:textId="77777777" w:rsidTr="009E311F">
        <w:trPr>
          <w:trHeight w:val="434"/>
        </w:trPr>
        <w:tc>
          <w:tcPr>
            <w:tcW w:w="375" w:type="pct"/>
            <w:vAlign w:val="center"/>
          </w:tcPr>
          <w:p w14:paraId="017BF7CA" w14:textId="77777777" w:rsidR="004D1FB7" w:rsidRDefault="004D1FB7" w:rsidP="009E311F">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1 (iii)</w:t>
            </w:r>
          </w:p>
          <w:p w14:paraId="0BDDA03B" w14:textId="77777777" w:rsidR="004D1FB7" w:rsidRPr="003A6407" w:rsidRDefault="004D1FB7" w:rsidP="009E311F">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1.3</w:t>
            </w:r>
          </w:p>
        </w:tc>
        <w:tc>
          <w:tcPr>
            <w:tcW w:w="345" w:type="pct"/>
            <w:vAlign w:val="center"/>
          </w:tcPr>
          <w:p w14:paraId="5058B27A" w14:textId="77777777" w:rsidR="004D1FB7" w:rsidRPr="003A6407" w:rsidRDefault="004D1FB7" w:rsidP="009E311F">
            <w:pPr>
              <w:jc w:val="center"/>
              <w:rPr>
                <w:rFonts w:eastAsia="Calibri" w:cs="Times New Roman"/>
                <w:sz w:val="16"/>
                <w:szCs w:val="16"/>
              </w:rPr>
            </w:pPr>
            <w:r w:rsidRPr="003A6407">
              <w:rPr>
                <w:rFonts w:eastAsia="Calibri" w:cs="Times New Roman"/>
                <w:noProof/>
                <w:sz w:val="16"/>
                <w:szCs w:val="16"/>
              </w:rPr>
              <w:t>EFRR</w:t>
            </w:r>
          </w:p>
        </w:tc>
        <w:tc>
          <w:tcPr>
            <w:tcW w:w="562" w:type="pct"/>
            <w:vAlign w:val="center"/>
          </w:tcPr>
          <w:p w14:paraId="75C3DCC1" w14:textId="77777777" w:rsidR="004D1FB7" w:rsidRPr="003A6407" w:rsidRDefault="004D1FB7" w:rsidP="009E311F">
            <w:pPr>
              <w:jc w:val="center"/>
              <w:rPr>
                <w:rFonts w:eastAsia="Calibri" w:cs="Times New Roman"/>
                <w:sz w:val="16"/>
                <w:szCs w:val="16"/>
              </w:rPr>
            </w:pPr>
            <w:r w:rsidRPr="003A6407">
              <w:rPr>
                <w:rFonts w:eastAsia="Calibri" w:cs="Times New Roman"/>
                <w:noProof/>
                <w:sz w:val="16"/>
                <w:szCs w:val="16"/>
              </w:rPr>
              <w:t>Przejściowy</w:t>
            </w:r>
          </w:p>
        </w:tc>
        <w:tc>
          <w:tcPr>
            <w:tcW w:w="483" w:type="pct"/>
            <w:vAlign w:val="center"/>
          </w:tcPr>
          <w:p w14:paraId="75F8C5F5" w14:textId="45090BA8" w:rsidR="004D1FB7" w:rsidRPr="003A6407" w:rsidRDefault="004D1FB7" w:rsidP="009E311F">
            <w:pPr>
              <w:spacing w:before="120" w:after="120" w:line="240" w:lineRule="auto"/>
              <w:jc w:val="center"/>
              <w:rPr>
                <w:rFonts w:eastAsia="Calibri" w:cs="Times New Roman"/>
                <w:noProof/>
                <w:sz w:val="16"/>
                <w:szCs w:val="16"/>
              </w:rPr>
            </w:pPr>
            <w:r w:rsidRPr="003A6407">
              <w:rPr>
                <w:rFonts w:eastAsia="Calibri" w:cs="Times New Roman"/>
                <w:noProof/>
                <w:sz w:val="16"/>
                <w:szCs w:val="16"/>
              </w:rPr>
              <w:t>RCR</w:t>
            </w:r>
            <w:r>
              <w:rPr>
                <w:rFonts w:eastAsia="Calibri" w:cs="Times New Roman"/>
                <w:noProof/>
                <w:sz w:val="16"/>
                <w:szCs w:val="16"/>
              </w:rPr>
              <w:t>18</w:t>
            </w:r>
          </w:p>
        </w:tc>
        <w:tc>
          <w:tcPr>
            <w:tcW w:w="803" w:type="pct"/>
            <w:shd w:val="clear" w:color="auto" w:fill="auto"/>
            <w:vAlign w:val="center"/>
          </w:tcPr>
          <w:p w14:paraId="63CF2CEE" w14:textId="77777777" w:rsidR="004D1FB7" w:rsidRPr="00BA1E44" w:rsidRDefault="004D1FB7" w:rsidP="009E311F">
            <w:pPr>
              <w:jc w:val="center"/>
              <w:rPr>
                <w:rFonts w:eastAsia="Calibri" w:cs="Times New Roman"/>
                <w:noProof/>
                <w:sz w:val="16"/>
                <w:szCs w:val="16"/>
              </w:rPr>
            </w:pPr>
            <w:r w:rsidRPr="00BA1E44">
              <w:rPr>
                <w:rFonts w:eastAsia="Calibri" w:cs="Times New Roman"/>
                <w:noProof/>
                <w:sz w:val="16"/>
                <w:szCs w:val="16"/>
              </w:rPr>
              <w:t>MŚP korzystające z usług inkubatora przedsiębiorczości po jego utworzeniu</w:t>
            </w:r>
          </w:p>
          <w:p w14:paraId="1DFB9A14" w14:textId="77777777" w:rsidR="004D1FB7" w:rsidRPr="00A278E3" w:rsidRDefault="004D1FB7" w:rsidP="009E311F">
            <w:pPr>
              <w:keepNext/>
              <w:keepLines/>
              <w:spacing w:before="200" w:after="0"/>
              <w:jc w:val="center"/>
              <w:outlineLvl w:val="2"/>
              <w:rPr>
                <w:rFonts w:eastAsia="Calibri" w:cs="Times New Roman"/>
                <w:noProof/>
                <w:sz w:val="16"/>
                <w:szCs w:val="16"/>
              </w:rPr>
            </w:pPr>
          </w:p>
        </w:tc>
        <w:tc>
          <w:tcPr>
            <w:tcW w:w="482" w:type="pct"/>
            <w:vAlign w:val="center"/>
          </w:tcPr>
          <w:p w14:paraId="5852AF28" w14:textId="07110C8B" w:rsidR="004D1FB7" w:rsidRPr="003A6407" w:rsidRDefault="00A30461" w:rsidP="009E311F">
            <w:pPr>
              <w:jc w:val="center"/>
              <w:rPr>
                <w:rFonts w:eastAsia="Calibri" w:cs="Times New Roman"/>
                <w:noProof/>
                <w:sz w:val="16"/>
                <w:szCs w:val="16"/>
                <w:lang w:eastAsia="pl-PL"/>
              </w:rPr>
            </w:pPr>
            <w:r>
              <w:rPr>
                <w:rFonts w:eastAsia="Calibri" w:cs="Times New Roman"/>
                <w:noProof/>
                <w:sz w:val="16"/>
                <w:szCs w:val="16"/>
                <w:lang w:eastAsia="pl-PL"/>
              </w:rPr>
              <w:t>przedsiębiorstwa</w:t>
            </w:r>
            <w:r w:rsidR="004D1FB7">
              <w:rPr>
                <w:rFonts w:eastAsia="Calibri" w:cs="Times New Roman"/>
                <w:noProof/>
                <w:sz w:val="16"/>
                <w:szCs w:val="16"/>
                <w:lang w:eastAsia="pl-PL"/>
              </w:rPr>
              <w:t>/rok</w:t>
            </w:r>
          </w:p>
        </w:tc>
        <w:tc>
          <w:tcPr>
            <w:tcW w:w="461" w:type="pct"/>
            <w:vAlign w:val="center"/>
          </w:tcPr>
          <w:p w14:paraId="77166CB7" w14:textId="77777777" w:rsidR="004D1FB7" w:rsidRPr="003A6407" w:rsidRDefault="004D1FB7" w:rsidP="009E311F">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4" w:type="pct"/>
            <w:vAlign w:val="center"/>
          </w:tcPr>
          <w:p w14:paraId="3255AADB" w14:textId="77777777" w:rsidR="004D1FB7" w:rsidRPr="00160708" w:rsidRDefault="004D1FB7" w:rsidP="009E311F">
            <w:pPr>
              <w:spacing w:before="120" w:after="120" w:line="240" w:lineRule="auto"/>
              <w:jc w:val="center"/>
              <w:rPr>
                <w:rFonts w:eastAsia="Calibri" w:cs="Times New Roman"/>
                <w:bCs/>
                <w:noProof/>
                <w:sz w:val="16"/>
                <w:szCs w:val="16"/>
                <w:lang w:eastAsia="pl-PL"/>
              </w:rPr>
            </w:pPr>
            <w:r w:rsidRPr="00160708">
              <w:rPr>
                <w:rFonts w:eastAsia="Calibri" w:cs="Times New Roman"/>
                <w:bCs/>
                <w:noProof/>
                <w:sz w:val="16"/>
                <w:szCs w:val="16"/>
                <w:lang w:eastAsia="pl-PL"/>
              </w:rPr>
              <w:t>2022</w:t>
            </w:r>
          </w:p>
        </w:tc>
        <w:tc>
          <w:tcPr>
            <w:tcW w:w="392" w:type="pct"/>
            <w:shd w:val="clear" w:color="auto" w:fill="auto"/>
            <w:vAlign w:val="center"/>
          </w:tcPr>
          <w:p w14:paraId="1B886F80" w14:textId="77777777" w:rsidR="004D1FB7" w:rsidRPr="00160708" w:rsidRDefault="004D1FB7" w:rsidP="009E311F">
            <w:pPr>
              <w:spacing w:before="120" w:after="120" w:line="240" w:lineRule="auto"/>
              <w:jc w:val="center"/>
              <w:rPr>
                <w:rFonts w:eastAsia="Calibri" w:cs="Times New Roman"/>
                <w:bCs/>
                <w:noProof/>
                <w:sz w:val="16"/>
                <w:szCs w:val="16"/>
                <w:lang w:eastAsia="pl-PL"/>
              </w:rPr>
            </w:pPr>
            <w:r>
              <w:rPr>
                <w:rFonts w:eastAsia="Calibri" w:cs="Times New Roman"/>
                <w:bCs/>
                <w:noProof/>
                <w:sz w:val="16"/>
                <w:szCs w:val="16"/>
                <w:lang w:eastAsia="pl-PL"/>
              </w:rPr>
              <w:t>316</w:t>
            </w:r>
          </w:p>
        </w:tc>
        <w:tc>
          <w:tcPr>
            <w:tcW w:w="392" w:type="pct"/>
            <w:shd w:val="clear" w:color="auto" w:fill="auto"/>
            <w:vAlign w:val="center"/>
          </w:tcPr>
          <w:p w14:paraId="5C2A301B" w14:textId="77777777" w:rsidR="004D1FB7" w:rsidRPr="003A6407" w:rsidRDefault="004D1FB7" w:rsidP="009E311F">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1" w:type="pct"/>
            <w:vAlign w:val="center"/>
          </w:tcPr>
          <w:p w14:paraId="598454E6" w14:textId="77777777" w:rsidR="004D1FB7" w:rsidRPr="003A6407" w:rsidRDefault="004D1FB7" w:rsidP="009E311F">
            <w:pPr>
              <w:jc w:val="center"/>
              <w:rPr>
                <w:rFonts w:eastAsia="Calibri" w:cs="Times New Roman"/>
                <w:noProof/>
                <w:sz w:val="16"/>
                <w:szCs w:val="16"/>
              </w:rPr>
            </w:pPr>
          </w:p>
        </w:tc>
      </w:tr>
      <w:tr w:rsidR="004D1FB7" w:rsidRPr="003A6407" w14:paraId="09676578" w14:textId="77777777" w:rsidTr="009E311F">
        <w:trPr>
          <w:trHeight w:val="434"/>
        </w:trPr>
        <w:tc>
          <w:tcPr>
            <w:tcW w:w="5000" w:type="pct"/>
            <w:gridSpan w:val="11"/>
          </w:tcPr>
          <w:p w14:paraId="2811374E"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Metodologia:</w:t>
            </w:r>
          </w:p>
          <w:p w14:paraId="378375D1"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Wskaźnik realizuje kod interwencji:</w:t>
            </w:r>
          </w:p>
          <w:p w14:paraId="494B9B88" w14:textId="77777777" w:rsidR="004D1FB7" w:rsidRPr="003A6407" w:rsidRDefault="004D1FB7" w:rsidP="004D1FB7">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 (52 664 140,00 EUR);</w:t>
            </w:r>
          </w:p>
          <w:p w14:paraId="749A8A9E"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234 355 423,00 PLN. </w:t>
            </w:r>
          </w:p>
          <w:p w14:paraId="67C4C3E9"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Pr="00216B35">
              <w:rPr>
                <w:rFonts w:eastAsia="Calibri"/>
              </w:rPr>
              <w:t xml:space="preserve">543 794,99 </w:t>
            </w:r>
            <w:r w:rsidRPr="003A6407">
              <w:rPr>
                <w:rFonts w:eastAsia="Calibri"/>
              </w:rPr>
              <w:t xml:space="preserve"> PLN. Koszt jednostkowy został skorygowany w oparciu o wartość inflacji na poziomie 15% i wynosi </w:t>
            </w:r>
            <w:r w:rsidRPr="00216B35">
              <w:rPr>
                <w:rFonts w:eastAsia="Calibri"/>
              </w:rPr>
              <w:t xml:space="preserve">625 364,24 </w:t>
            </w:r>
            <w:r w:rsidRPr="003A6407">
              <w:rPr>
                <w:rFonts w:eastAsia="Calibri"/>
              </w:rPr>
              <w:t xml:space="preserve">PLN , uwzględniając wartość dofinansowania na poziomie 70% wynosi </w:t>
            </w:r>
            <w:r w:rsidRPr="00216B35">
              <w:rPr>
                <w:rFonts w:eastAsia="Calibri"/>
              </w:rPr>
              <w:t xml:space="preserve">437 754,97 </w:t>
            </w:r>
            <w:r w:rsidRPr="003A6407">
              <w:rPr>
                <w:rFonts w:eastAsia="Calibri"/>
              </w:rPr>
              <w:t xml:space="preserve">PLN, tj. </w:t>
            </w:r>
            <w:r w:rsidRPr="00216B35">
              <w:rPr>
                <w:rFonts w:eastAsia="Calibri"/>
              </w:rPr>
              <w:t xml:space="preserve">98 371,90 </w:t>
            </w:r>
            <w:r w:rsidRPr="003A6407">
              <w:rPr>
                <w:rFonts w:eastAsia="Calibri"/>
              </w:rPr>
              <w:t xml:space="preserve">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029CACDF" w14:textId="77777777" w:rsidR="004D1FB7" w:rsidRPr="003A6407" w:rsidRDefault="004D1FB7" w:rsidP="009E311F">
            <w:pPr>
              <w:spacing w:before="60" w:after="60" w:line="240" w:lineRule="auto"/>
              <w:jc w:val="both"/>
              <w:rPr>
                <w:rFonts w:eastAsia="Calibri"/>
              </w:rPr>
            </w:pPr>
            <w:r w:rsidRPr="003A6407">
              <w:rPr>
                <w:rFonts w:eastAsia="Calibri"/>
              </w:rPr>
              <w:t xml:space="preserve">R=[(6*25)+(3*68)]/8= 41,1%. Wartość zaokrąglono do pełnej wartości 41%. </w:t>
            </w:r>
          </w:p>
          <w:p w14:paraId="4FA097B7" w14:textId="77777777" w:rsidR="004D1FB7" w:rsidRPr="003A6407" w:rsidRDefault="004D1FB7" w:rsidP="009E311F">
            <w:pPr>
              <w:shd w:val="clear" w:color="auto" w:fill="FFFFFF"/>
              <w:spacing w:before="60" w:after="60" w:line="240" w:lineRule="auto"/>
              <w:jc w:val="both"/>
              <w:rPr>
                <w:rFonts w:eastAsia="Calibri"/>
              </w:rPr>
            </w:pPr>
          </w:p>
          <w:p w14:paraId="5EE923DE"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lastRenderedPageBreak/>
              <w:t>Wyliczenie:</w:t>
            </w:r>
          </w:p>
          <w:p w14:paraId="3111EB11" w14:textId="77777777" w:rsidR="004D1FB7" w:rsidRPr="003A6407" w:rsidRDefault="004D1FB7" w:rsidP="009E311F">
            <w:pPr>
              <w:shd w:val="clear" w:color="auto" w:fill="FFFFFF"/>
              <w:spacing w:before="60" w:after="60" w:line="240" w:lineRule="auto"/>
              <w:jc w:val="both"/>
              <w:rPr>
                <w:rFonts w:eastAsia="Calibri"/>
              </w:rPr>
            </w:pPr>
            <w:r w:rsidRPr="003A6407">
              <w:rPr>
                <w:rFonts w:eastAsia="Calibri"/>
              </w:rPr>
              <w:t xml:space="preserve">52 664 140,00/ </w:t>
            </w:r>
            <w:r w:rsidRPr="00216B35">
              <w:rPr>
                <w:rFonts w:eastAsia="Calibri"/>
              </w:rPr>
              <w:t xml:space="preserve">98 371,90 </w:t>
            </w:r>
            <w:r w:rsidRPr="003A6407">
              <w:rPr>
                <w:rFonts w:eastAsia="Calibri"/>
              </w:rPr>
              <w:t>* (1-0,41) =  szt.</w:t>
            </w:r>
            <w:r>
              <w:rPr>
                <w:rFonts w:eastAsia="Calibri"/>
              </w:rPr>
              <w:t xml:space="preserve"> 316</w:t>
            </w:r>
          </w:p>
          <w:p w14:paraId="1773C8D7" w14:textId="77777777" w:rsidR="004D1FB7" w:rsidRPr="003A6407" w:rsidRDefault="004D1FB7" w:rsidP="009E311F">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4FEC9587" w14:textId="77777777" w:rsidR="004D1FB7" w:rsidRPr="003A6407" w:rsidRDefault="004D1FB7">
            <w:pPr>
              <w:numPr>
                <w:ilvl w:val="0"/>
                <w:numId w:val="8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2314970" w14:textId="77777777" w:rsidR="004D1FB7" w:rsidRPr="003A6407" w:rsidRDefault="004D1FB7">
            <w:pPr>
              <w:numPr>
                <w:ilvl w:val="0"/>
                <w:numId w:val="8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 przez KE dla danej osi priorytetowej</w:t>
            </w:r>
            <w:r w:rsidRPr="003A6407">
              <w:rPr>
                <w:rFonts w:eastAsia="Calibri" w:cs="Times New Roman"/>
                <w:color w:val="000000"/>
              </w:rPr>
              <w:t>; (istotność: umiarkowana);</w:t>
            </w:r>
          </w:p>
          <w:p w14:paraId="77DB2F04" w14:textId="77777777" w:rsidR="004D1FB7" w:rsidRPr="003A6407" w:rsidRDefault="004D1FB7">
            <w:pPr>
              <w:numPr>
                <w:ilvl w:val="0"/>
                <w:numId w:val="8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Ostateczne ustalenia dot. występowania i poziomu pomocy publicznej</w:t>
            </w:r>
            <w:r w:rsidRPr="003A6407">
              <w:rPr>
                <w:rFonts w:eastAsia="Calibri" w:cs="Times New Roman"/>
                <w:color w:val="000000"/>
              </w:rPr>
              <w:t>; (istotność: umiarkowana)</w:t>
            </w:r>
          </w:p>
          <w:p w14:paraId="2EA7AAC9" w14:textId="77777777" w:rsidR="004D1FB7" w:rsidRPr="003A6407" w:rsidRDefault="004D1FB7">
            <w:pPr>
              <w:numPr>
                <w:ilvl w:val="0"/>
                <w:numId w:val="89"/>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Opóźnienia, bądź niewykonanie projektu związane z  trybem konkurencyjnym i brakiem / ograniczonym dostępem do materiałów/surowców/półproduktów, </w:t>
            </w:r>
            <w:proofErr w:type="spellStart"/>
            <w:r w:rsidRPr="003A6407">
              <w:rPr>
                <w:rFonts w:eastAsia="Calibri" w:cs="Times New Roman"/>
                <w:b/>
                <w:color w:val="000000"/>
              </w:rPr>
              <w:t>ect</w:t>
            </w:r>
            <w:proofErr w:type="spellEnd"/>
            <w:r w:rsidRPr="003A6407">
              <w:rPr>
                <w:rFonts w:eastAsia="Calibri" w:cs="Times New Roman"/>
                <w:b/>
                <w:color w:val="000000"/>
              </w:rPr>
              <w:t>.</w:t>
            </w:r>
            <w:r w:rsidRPr="003A6407">
              <w:rPr>
                <w:rFonts w:eastAsia="Calibri" w:cs="Times New Roman"/>
                <w:b/>
                <w:bCs/>
                <w:color w:val="000000"/>
              </w:rPr>
              <w:t xml:space="preserve"> </w:t>
            </w:r>
            <w:r w:rsidRPr="003A6407">
              <w:rPr>
                <w:rFonts w:eastAsia="Calibri" w:cs="Times New Roman"/>
                <w:color w:val="000000"/>
              </w:rPr>
              <w:t>; (istotność: poważna)</w:t>
            </w:r>
          </w:p>
          <w:p w14:paraId="714F9E15" w14:textId="77777777" w:rsidR="004D1FB7" w:rsidRPr="003A6407" w:rsidRDefault="004D1FB7">
            <w:pPr>
              <w:numPr>
                <w:ilvl w:val="0"/>
                <w:numId w:val="89"/>
              </w:numPr>
              <w:shd w:val="clear" w:color="auto" w:fill="FFFFFF"/>
              <w:spacing w:before="60" w:after="60" w:line="240" w:lineRule="auto"/>
              <w:jc w:val="both"/>
              <w:rPr>
                <w:rFonts w:eastAsia="Calibri"/>
                <w:color w:val="000000"/>
              </w:rPr>
            </w:pPr>
            <w:r w:rsidRPr="003A6407">
              <w:rPr>
                <w:rFonts w:eastAsia="Calibri"/>
                <w:b/>
                <w:color w:val="000000"/>
              </w:rPr>
              <w:t>Ryzyko wzrostu cen</w:t>
            </w:r>
            <w:r w:rsidRPr="003A6407">
              <w:rPr>
                <w:rFonts w:eastAsia="Calibri"/>
                <w:bCs/>
                <w:color w:val="000000"/>
              </w:rPr>
              <w:t xml:space="preserve"> związane ze wzrostem cen w gospodarce związane głównie ze wzrostem cen energii, gazu, surowców, </w:t>
            </w:r>
            <w:proofErr w:type="spellStart"/>
            <w:r w:rsidRPr="003A6407">
              <w:rPr>
                <w:rFonts w:eastAsia="Calibri"/>
                <w:bCs/>
                <w:color w:val="000000"/>
              </w:rPr>
              <w:t>ect</w:t>
            </w:r>
            <w:proofErr w:type="spellEnd"/>
            <w:r w:rsidRPr="003A6407">
              <w:rPr>
                <w:rFonts w:eastAsia="Calibri"/>
                <w:bCs/>
                <w:color w:val="000000"/>
              </w:rPr>
              <w:t>, oraz poziomem inflacji (istotność: poważna);</w:t>
            </w:r>
          </w:p>
          <w:p w14:paraId="16708D42" w14:textId="77777777" w:rsidR="004D1FB7" w:rsidRPr="003A6407" w:rsidRDefault="004D1FB7">
            <w:pPr>
              <w:numPr>
                <w:ilvl w:val="0"/>
                <w:numId w:val="89"/>
              </w:numPr>
              <w:shd w:val="clear" w:color="auto" w:fill="FFFFFF"/>
              <w:spacing w:before="60" w:after="60" w:line="240" w:lineRule="auto"/>
              <w:jc w:val="both"/>
              <w:rPr>
                <w:rFonts w:eastAsia="Calibri"/>
                <w:color w:val="000000"/>
              </w:rPr>
            </w:pPr>
            <w:r w:rsidRPr="003A6407">
              <w:rPr>
                <w:rFonts w:eastAsia="Calibri"/>
                <w:b/>
                <w:bCs/>
                <w:color w:val="000000"/>
              </w:rPr>
              <w:t>Rozwiązane umowy o dofinansowanie</w:t>
            </w:r>
            <w:r w:rsidRPr="003A6407">
              <w:rPr>
                <w:rFonts w:eastAsia="Calibri"/>
                <w:color w:val="000000"/>
              </w:rPr>
              <w:t xml:space="preserve"> realizacji projektu – (istotność: umiarkowana);</w:t>
            </w:r>
          </w:p>
          <w:p w14:paraId="76E7D9BE" w14:textId="77777777" w:rsidR="004D1FB7" w:rsidRPr="003A6407" w:rsidRDefault="004D1FB7">
            <w:pPr>
              <w:numPr>
                <w:ilvl w:val="0"/>
                <w:numId w:val="89"/>
              </w:numPr>
              <w:shd w:val="clear" w:color="auto" w:fill="FFFFFF"/>
              <w:spacing w:before="60" w:after="60" w:line="240" w:lineRule="auto"/>
              <w:jc w:val="both"/>
              <w:rPr>
                <w:rFonts w:eastAsia="Calibri"/>
                <w:color w:val="000000"/>
              </w:rPr>
            </w:pPr>
            <w:r w:rsidRPr="003A6407">
              <w:rPr>
                <w:rFonts w:eastAsia="Calibri"/>
                <w:b/>
                <w:bCs/>
                <w:color w:val="000000"/>
              </w:rPr>
              <w:t>Problemy z zabezpieczeniem wkładu</w:t>
            </w:r>
            <w:r w:rsidRPr="003A6407">
              <w:rPr>
                <w:rFonts w:eastAsia="Calibri"/>
                <w:color w:val="000000"/>
              </w:rPr>
              <w:t xml:space="preserve"> własnego wnioskodawcy (istotność: poważna);</w:t>
            </w:r>
          </w:p>
          <w:p w14:paraId="379933C7" w14:textId="77777777" w:rsidR="004D1FB7" w:rsidRPr="003A6407" w:rsidRDefault="004D1FB7">
            <w:pPr>
              <w:numPr>
                <w:ilvl w:val="0"/>
                <w:numId w:val="89"/>
              </w:numPr>
              <w:shd w:val="clear" w:color="auto" w:fill="FFFFFF"/>
              <w:spacing w:before="60" w:after="60" w:line="240" w:lineRule="auto"/>
              <w:jc w:val="both"/>
              <w:rPr>
                <w:rFonts w:eastAsia="Calibri"/>
                <w:color w:val="000000"/>
              </w:rPr>
            </w:pPr>
            <w:r w:rsidRPr="003A6407">
              <w:rPr>
                <w:rFonts w:eastAsia="Calibri"/>
                <w:b/>
                <w:bCs/>
                <w:color w:val="000000"/>
              </w:rPr>
              <w:t>Duplikujące się przedsiębiorstwa</w:t>
            </w:r>
            <w:r w:rsidRPr="003A6407">
              <w:rPr>
                <w:rFonts w:eastAsia="Calibri"/>
                <w:color w:val="000000"/>
              </w:rPr>
              <w:t xml:space="preserve"> - waga ryzyka (istotność: umiarkowana); </w:t>
            </w:r>
          </w:p>
          <w:p w14:paraId="6A062932" w14:textId="3A73FA0F" w:rsidR="004D1FB7" w:rsidRPr="003A6407" w:rsidRDefault="004D1FB7" w:rsidP="009E311F">
            <w:pPr>
              <w:shd w:val="clear" w:color="auto" w:fill="FFFFFF"/>
              <w:spacing w:before="60" w:after="60" w:line="240" w:lineRule="auto"/>
              <w:jc w:val="both"/>
              <w:rPr>
                <w:rFonts w:eastAsia="Calibri"/>
                <w:color w:val="000000"/>
              </w:rPr>
            </w:pPr>
          </w:p>
        </w:tc>
      </w:tr>
    </w:tbl>
    <w:p w14:paraId="0D6AE6D1" w14:textId="77777777" w:rsidR="004D1FB7" w:rsidRDefault="004D1FB7"/>
    <w:p w14:paraId="6407925B" w14:textId="063A57F3" w:rsidR="00B86E36" w:rsidRPr="003A6407" w:rsidRDefault="00A91801" w:rsidP="00BD550D">
      <w:pPr>
        <w:pStyle w:val="Nagwek1"/>
        <w:rPr>
          <w:rFonts w:eastAsia="Calibri"/>
          <w:lang w:val="pl-PL"/>
        </w:rPr>
      </w:pPr>
      <w:bookmarkStart w:id="108" w:name="_Toc120464380"/>
      <w:r w:rsidRPr="003A6407">
        <w:rPr>
          <w:rFonts w:eastAsia="Calibri"/>
          <w:lang w:val="pl-PL"/>
        </w:rPr>
        <w:t>PRIORYTET 2: FUNDUSZE EUROPEJSKIE NA RZECZ Ś</w:t>
      </w:r>
      <w:r w:rsidR="00B86E36" w:rsidRPr="003A6407">
        <w:rPr>
          <w:rFonts w:eastAsia="Calibri"/>
        </w:rPr>
        <w:t>RODOWISK</w:t>
      </w:r>
      <w:r w:rsidRPr="003A6407">
        <w:rPr>
          <w:rFonts w:eastAsia="Calibri"/>
          <w:lang w:val="pl-PL"/>
        </w:rPr>
        <w:t>A NA DOLNYM ŚLĄSKU</w:t>
      </w:r>
      <w:r w:rsidR="00B86E36" w:rsidRPr="003A6407">
        <w:rPr>
          <w:rFonts w:eastAsia="Calibri"/>
          <w:lang w:val="pl-PL"/>
        </w:rPr>
        <w:t xml:space="preserve"> (CP2</w:t>
      </w:r>
      <w:r w:rsidRPr="003A6407">
        <w:rPr>
          <w:rFonts w:eastAsia="Calibri"/>
          <w:lang w:val="pl-PL"/>
        </w:rPr>
        <w:t xml:space="preserve"> EFRR</w:t>
      </w:r>
      <w:r w:rsidR="00B86E36" w:rsidRPr="003A6407">
        <w:rPr>
          <w:rFonts w:eastAsia="Calibri"/>
          <w:lang w:val="pl-PL"/>
        </w:rPr>
        <w:t>)</w:t>
      </w:r>
      <w:bookmarkEnd w:id="108"/>
    </w:p>
    <w:p w14:paraId="1186A59F" w14:textId="3BC0A850" w:rsidR="00B86E36" w:rsidRPr="003A6407" w:rsidRDefault="00B86E36" w:rsidP="00B256CA">
      <w:pPr>
        <w:pStyle w:val="Nagwek2"/>
        <w:spacing w:after="200"/>
      </w:pPr>
      <w:bookmarkStart w:id="109" w:name="_Toc120464381"/>
      <w:r w:rsidRPr="003A6407">
        <w:t xml:space="preserve">CEL SZCZEGÓŁOWY: </w:t>
      </w:r>
      <w:bookmarkStart w:id="110" w:name="_Toc56433034"/>
      <w:bookmarkStart w:id="111" w:name="_Toc97792247"/>
      <w:r w:rsidR="00980C2E" w:rsidRPr="00980C2E">
        <w:t>RSO2.1. Wspieranie efektywności energetycznej i redukcji emisji gazów cieplarnianych (EFRR)</w:t>
      </w:r>
      <w:bookmarkEnd w:id="109"/>
      <w:r w:rsidRPr="003A6407">
        <w:t xml:space="preserve"> </w:t>
      </w:r>
      <w:bookmarkEnd w:id="110"/>
      <w:bookmarkEnd w:id="111"/>
    </w:p>
    <w:p w14:paraId="758C8233" w14:textId="77777777" w:rsidR="00B86E36" w:rsidRPr="003A6407" w:rsidRDefault="00B86E36" w:rsidP="00B256CA">
      <w:pPr>
        <w:pStyle w:val="Nagwek2"/>
        <w:spacing w:after="200"/>
      </w:pPr>
      <w:bookmarkStart w:id="112" w:name="_Toc120464382"/>
      <w:r w:rsidRPr="003A6407">
        <w:t>Wskaźniki produktu</w:t>
      </w:r>
      <w:bookmarkEnd w:id="112"/>
    </w:p>
    <w:p w14:paraId="7EE99B81" w14:textId="77777777" w:rsidR="00EE0C5C" w:rsidRPr="00EE0C5C" w:rsidRDefault="00EE0C5C" w:rsidP="00EE0C5C">
      <w:bookmarkStart w:id="113" w:name="_Toc56433035"/>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5865D355"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FF8E7C" w14:textId="45B8798F"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2</w:t>
            </w:r>
          </w:p>
          <w:p w14:paraId="010A172C"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B27AA94"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3BC7E76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06291E"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A64730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9D118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6B6674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EA4AC3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E7088C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4E3B6A3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5316B6B3"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569558B" w14:textId="76A76FEA"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w:t>
            </w:r>
          </w:p>
          <w:p w14:paraId="4503A464" w14:textId="6EFEB181"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w:t>
            </w:r>
            <w:r w:rsidRPr="00B44649">
              <w:rPr>
                <w:rFonts w:eastAsia="Calibri" w:cs="Times New Roman"/>
                <w:b/>
                <w:noProof/>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7C66393"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EFRR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0E6D0AC"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E04142" w14:textId="341AE22D" w:rsidR="00EE0C5C" w:rsidRPr="00B44649"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B44649">
              <w:rPr>
                <w:rFonts w:eastAsia="Calibri" w:cs="Times New Roman"/>
                <w:b/>
                <w:noProof/>
                <w:sz w:val="16"/>
                <w:szCs w:val="16"/>
              </w:rPr>
              <w:t>RCO7</w:t>
            </w:r>
            <w:r>
              <w:rPr>
                <w:rFonts w:eastAsia="Calibri" w:cs="Times New Roman"/>
                <w:b/>
                <w:noProof/>
                <w:sz w:val="16"/>
                <w:szCs w:val="16"/>
              </w:rPr>
              <w:t>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3345498"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99E4056"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716D30B" w14:textId="219C2E05" w:rsidR="00EE0C5C" w:rsidRPr="00B44649" w:rsidRDefault="007655CA"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EE0C5C">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1AB48DA" w14:textId="62BCFD64"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EE0C5C">
              <w:rPr>
                <w:rFonts w:eastAsia="Calibri" w:cs="Times New Roman"/>
                <w:b/>
                <w:noProof/>
                <w:sz w:val="16"/>
                <w:szCs w:val="16"/>
              </w:rPr>
              <w:t>288</w:t>
            </w:r>
            <w:r w:rsidR="00CB4992">
              <w:rPr>
                <w:rFonts w:eastAsia="Calibri" w:cs="Times New Roman"/>
                <w:b/>
                <w:noProof/>
                <w:sz w:val="16"/>
                <w:szCs w:val="16"/>
              </w:rPr>
              <w:t xml:space="preserve"> </w:t>
            </w:r>
            <w:r w:rsidRPr="00EE0C5C">
              <w:rPr>
                <w:rFonts w:eastAsia="Calibri" w:cs="Times New Roman"/>
                <w:b/>
                <w:noProof/>
                <w:sz w:val="16"/>
                <w:szCs w:val="16"/>
              </w:rPr>
              <w:t>043</w:t>
            </w:r>
          </w:p>
        </w:tc>
      </w:tr>
      <w:tr w:rsidR="00EE0C5C" w:rsidRPr="003A6407" w14:paraId="72984939" w14:textId="77777777" w:rsidTr="002A48C3">
        <w:trPr>
          <w:trHeight w:val="340"/>
        </w:trPr>
        <w:tc>
          <w:tcPr>
            <w:tcW w:w="5000" w:type="pct"/>
            <w:gridSpan w:val="8"/>
            <w:shd w:val="clear" w:color="auto" w:fill="auto"/>
          </w:tcPr>
          <w:p w14:paraId="296BD343"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289469D6" w14:textId="6837A4B1"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t>
            </w:r>
            <w:r w:rsidRPr="003A6407">
              <w:rPr>
                <w:rFonts w:eastAsia="Calibri"/>
              </w:rPr>
              <w:lastRenderedPageBreak/>
              <w:t xml:space="preserve">wsparcie i objęcie instrumentami rozwoju terytorialnego całego województwa – tak, aby nie było obszarów, które nie mogłyby być objęte wsparciem. </w:t>
            </w:r>
          </w:p>
          <w:p w14:paraId="60AD0EEE"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6A22B8A5" w14:textId="77777777" w:rsidR="00EE0C5C" w:rsidRPr="003A6407" w:rsidRDefault="00EE0C5C" w:rsidP="002A48C3">
            <w:pPr>
              <w:rPr>
                <w:rFonts w:eastAsia="Calibri"/>
              </w:rPr>
            </w:pPr>
            <w:r w:rsidRPr="003A6407">
              <w:rPr>
                <w:rFonts w:eastAsia="Calibri"/>
              </w:rPr>
              <w:t>- 6 Zintegrowanych Inwestycji Terytorialnych;</w:t>
            </w:r>
          </w:p>
          <w:p w14:paraId="51127944" w14:textId="77777777" w:rsidR="00EE0C5C" w:rsidRPr="003A6407" w:rsidRDefault="00EE0C5C" w:rsidP="002A48C3">
            <w:pPr>
              <w:rPr>
                <w:rFonts w:eastAsia="Calibri"/>
              </w:rPr>
            </w:pPr>
            <w:r w:rsidRPr="003A6407">
              <w:rPr>
                <w:rFonts w:eastAsia="Calibri"/>
              </w:rPr>
              <w:t>- 1 Inny Instrument Terytorialny;</w:t>
            </w:r>
          </w:p>
          <w:p w14:paraId="73A7476F" w14:textId="77777777" w:rsidR="00EE0C5C" w:rsidRDefault="00CB4992" w:rsidP="002A48C3">
            <w:pPr>
              <w:rPr>
                <w:rFonts w:eastAsia="Calibri"/>
              </w:rPr>
            </w:pPr>
            <w:r w:rsidRPr="00CB4992">
              <w:rPr>
                <w:rFonts w:eastAsia="Calibri"/>
              </w:rPr>
              <w:t>Wobec powyższego a także biorąc uwagę definicję składnika, która odnosi się do projektów zintegrowanych, zakłada się w ramach metodologii, że wartość docelowa wskaźnika będzie równa 10% liczbie osób zamieszkujących objęte wsparcie</w:t>
            </w:r>
            <w:r w:rsidR="00D30AFB">
              <w:rPr>
                <w:rFonts w:eastAsia="Calibri"/>
              </w:rPr>
              <w:t>m</w:t>
            </w:r>
            <w:r w:rsidRPr="00CB4992">
              <w:rPr>
                <w:rFonts w:eastAsia="Calibri"/>
              </w:rPr>
              <w:t xml:space="preserve"> instrumenty rozwoju terytorialnego (7).</w:t>
            </w:r>
          </w:p>
          <w:p w14:paraId="4DC9F0F1" w14:textId="77777777" w:rsidR="00D30AFB" w:rsidRDefault="00D30AFB" w:rsidP="002A48C3">
            <w:pPr>
              <w:rPr>
                <w:rFonts w:eastAsia="Calibri" w:cs="Times New Roman"/>
                <w:color w:val="000000"/>
              </w:rPr>
            </w:pPr>
            <w:r>
              <w:rPr>
                <w:rFonts w:eastAsia="Calibri" w:cs="Times New Roman"/>
                <w:color w:val="000000"/>
              </w:rPr>
              <w:t>Ponadto wartość wskaźnika zostanie zrewidowana po zatwierdzeniu poszczególnych strategii ZIT/IIT.</w:t>
            </w:r>
          </w:p>
          <w:p w14:paraId="4CC3120D" w14:textId="35DCC196" w:rsidR="00FD3DE2" w:rsidRPr="003A6407" w:rsidRDefault="00FD3DE2" w:rsidP="002A48C3">
            <w:pPr>
              <w:rPr>
                <w:rFonts w:eastAsia="Calibri" w:cs="Times New Roman"/>
                <w:color w:val="000000"/>
              </w:rPr>
            </w:pPr>
            <w:r w:rsidRPr="00FD3DE2">
              <w:rPr>
                <w:rFonts w:eastAsia="Calibri" w:cs="Times New Roman"/>
                <w:color w:val="000000"/>
              </w:rPr>
              <w:t>W przypadku realizacji różnych projektów na tym samym obszarze liczba ludności będzie się multiplikować, stąd konieczność monitorowania tego wskaźnika na poziomie Strategii ZIT</w:t>
            </w:r>
            <w:r>
              <w:rPr>
                <w:rFonts w:eastAsia="Calibri" w:cs="Times New Roman"/>
                <w:color w:val="000000"/>
              </w:rPr>
              <w:t>.</w:t>
            </w:r>
          </w:p>
        </w:tc>
      </w:tr>
    </w:tbl>
    <w:p w14:paraId="573DFB01" w14:textId="77777777" w:rsidR="00EE0C5C" w:rsidRDefault="00EE0C5C" w:rsidP="00EE0C5C"/>
    <w:p w14:paraId="7FD33365" w14:textId="77777777" w:rsid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420DA50B" w14:textId="77777777" w:rsidTr="002A48C3">
        <w:trPr>
          <w:cantSplit/>
          <w:trHeight w:val="1647"/>
        </w:trPr>
        <w:tc>
          <w:tcPr>
            <w:tcW w:w="451" w:type="pct"/>
            <w:shd w:val="clear" w:color="auto" w:fill="auto"/>
            <w:vAlign w:val="center"/>
          </w:tcPr>
          <w:p w14:paraId="6467A851" w14:textId="13048C9F"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2</w:t>
            </w:r>
          </w:p>
          <w:p w14:paraId="77B12ABA"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62C112B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23F7B4B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70DDDB0D"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0A296F7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72A712A8"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0E83A7BA"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6BC6453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305B179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31A5D5F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2ADA8F2D" w14:textId="77777777" w:rsidTr="002A48C3">
        <w:trPr>
          <w:trHeight w:val="340"/>
        </w:trPr>
        <w:tc>
          <w:tcPr>
            <w:tcW w:w="451" w:type="pct"/>
            <w:shd w:val="clear" w:color="auto" w:fill="auto"/>
            <w:vAlign w:val="center"/>
          </w:tcPr>
          <w:p w14:paraId="208161B4" w14:textId="175FACDA" w:rsidR="00EE0C5C"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w:t>
            </w:r>
          </w:p>
          <w:p w14:paraId="1E8DED8A" w14:textId="158C2630"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2.1</w:t>
            </w:r>
          </w:p>
        </w:tc>
        <w:tc>
          <w:tcPr>
            <w:tcW w:w="494" w:type="pct"/>
            <w:shd w:val="clear" w:color="auto" w:fill="auto"/>
            <w:vAlign w:val="center"/>
          </w:tcPr>
          <w:p w14:paraId="45DE94FC"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070656D3"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193D96E0" w14:textId="06639C3D"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RCO75</w:t>
            </w:r>
          </w:p>
        </w:tc>
        <w:tc>
          <w:tcPr>
            <w:tcW w:w="1348" w:type="pct"/>
            <w:shd w:val="clear" w:color="auto" w:fill="auto"/>
            <w:vAlign w:val="center"/>
          </w:tcPr>
          <w:p w14:paraId="6AD1C805" w14:textId="77777777" w:rsidR="00EE0C5C" w:rsidRPr="003A6407" w:rsidRDefault="00EE0C5C" w:rsidP="002A48C3">
            <w:pPr>
              <w:keepNext/>
              <w:keepLines/>
              <w:spacing w:before="200" w:after="0"/>
              <w:jc w:val="center"/>
              <w:outlineLvl w:val="2"/>
              <w:rPr>
                <w:rFonts w:eastAsia="Calibri" w:cs="Times New Roman"/>
                <w:noProof/>
                <w:sz w:val="16"/>
                <w:szCs w:val="16"/>
              </w:rPr>
            </w:pPr>
            <w:bookmarkStart w:id="114" w:name="_Toc120464383"/>
            <w:r w:rsidRPr="003A6407">
              <w:rPr>
                <w:rFonts w:eastAsia="Times New Roman" w:cs="Calibri"/>
                <w:bCs/>
                <w:noProof/>
                <w:sz w:val="16"/>
                <w:szCs w:val="16"/>
              </w:rPr>
              <w:t>Wspierane strategie zintegrowanego rozwoju terytorialnego</w:t>
            </w:r>
            <w:bookmarkEnd w:id="114"/>
          </w:p>
        </w:tc>
        <w:tc>
          <w:tcPr>
            <w:tcW w:w="549" w:type="pct"/>
            <w:shd w:val="clear" w:color="auto" w:fill="auto"/>
            <w:vAlign w:val="center"/>
          </w:tcPr>
          <w:p w14:paraId="0CF34DF2" w14:textId="366D7301" w:rsidR="00EE0C5C" w:rsidRPr="003A6407" w:rsidRDefault="00A30461"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wkłady na rzecz strategii</w:t>
            </w:r>
          </w:p>
        </w:tc>
        <w:tc>
          <w:tcPr>
            <w:tcW w:w="627" w:type="pct"/>
            <w:shd w:val="clear" w:color="auto" w:fill="auto"/>
            <w:vAlign w:val="center"/>
          </w:tcPr>
          <w:p w14:paraId="6D020691" w14:textId="0778D49F" w:rsidR="00EE0C5C" w:rsidRPr="003A6407" w:rsidRDefault="00D30AFB"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EE0C5C" w:rsidRPr="003A6407">
              <w:rPr>
                <w:rFonts w:eastAsia="Calibri" w:cs="Times New Roman"/>
                <w:noProof/>
                <w:sz w:val="16"/>
                <w:szCs w:val="16"/>
              </w:rPr>
              <w:t>,00</w:t>
            </w:r>
          </w:p>
        </w:tc>
        <w:tc>
          <w:tcPr>
            <w:tcW w:w="550" w:type="pct"/>
            <w:shd w:val="clear" w:color="auto" w:fill="auto"/>
            <w:vAlign w:val="center"/>
          </w:tcPr>
          <w:p w14:paraId="01C2D7B9"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7,00</w:t>
            </w:r>
          </w:p>
        </w:tc>
      </w:tr>
      <w:tr w:rsidR="00EE0C5C" w:rsidRPr="003A6407" w14:paraId="50FE1859" w14:textId="77777777" w:rsidTr="002A48C3">
        <w:trPr>
          <w:trHeight w:val="340"/>
        </w:trPr>
        <w:tc>
          <w:tcPr>
            <w:tcW w:w="5000" w:type="pct"/>
            <w:gridSpan w:val="8"/>
            <w:shd w:val="clear" w:color="auto" w:fill="auto"/>
          </w:tcPr>
          <w:p w14:paraId="1DB38951"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0BA7BC59" w14:textId="1993DF01"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3CF16698"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13F99AE8" w14:textId="77777777" w:rsidR="00EE0C5C" w:rsidRPr="003A6407" w:rsidRDefault="00EE0C5C" w:rsidP="002A48C3">
            <w:pPr>
              <w:rPr>
                <w:rFonts w:eastAsia="Calibri"/>
              </w:rPr>
            </w:pPr>
            <w:r w:rsidRPr="003A6407">
              <w:rPr>
                <w:rFonts w:eastAsia="Calibri"/>
              </w:rPr>
              <w:t>- 6 Zintegrowanych Inwestycji Terytorialnych;</w:t>
            </w:r>
          </w:p>
          <w:p w14:paraId="69B866E8" w14:textId="77777777" w:rsidR="00EE0C5C" w:rsidRPr="003A6407" w:rsidRDefault="00EE0C5C" w:rsidP="002A48C3">
            <w:pPr>
              <w:rPr>
                <w:rFonts w:eastAsia="Calibri"/>
              </w:rPr>
            </w:pPr>
            <w:r w:rsidRPr="003A6407">
              <w:rPr>
                <w:rFonts w:eastAsia="Calibri"/>
              </w:rPr>
              <w:t>- 1 Inny Instrument Terytorialny;</w:t>
            </w:r>
          </w:p>
          <w:p w14:paraId="6EF877B0" w14:textId="77777777" w:rsidR="00EE0C5C" w:rsidRDefault="00EE0C5C" w:rsidP="002A48C3">
            <w:pPr>
              <w:rPr>
                <w:rFonts w:eastAsia="Calibri"/>
              </w:rPr>
            </w:pPr>
            <w:r w:rsidRPr="003A6407">
              <w:rPr>
                <w:rFonts w:eastAsia="Calibri"/>
              </w:rPr>
              <w:lastRenderedPageBreak/>
              <w:t>Wobec powyższego zakłada się w ramach metodologii, że wartość docelowa wskaźnika będzie równa liczbie utworzonych instrumentów rozwoju terytorialnego (7).</w:t>
            </w:r>
          </w:p>
          <w:p w14:paraId="6250CE10" w14:textId="18C0E19A" w:rsidR="00D30AFB" w:rsidRPr="003A6407"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tc>
      </w:tr>
    </w:tbl>
    <w:p w14:paraId="333DC023" w14:textId="77777777" w:rsidR="00B86E36" w:rsidRPr="003A6407" w:rsidRDefault="00B86E36" w:rsidP="00B256CA">
      <w:pPr>
        <w:keepNext/>
        <w:keepLines/>
        <w:spacing w:before="120" w:after="120"/>
        <w:jc w:val="both"/>
        <w:outlineLvl w:val="2"/>
        <w:rPr>
          <w:rFonts w:eastAsiaTheme="majorEastAsia" w:cstheme="majorBidi"/>
          <w:b/>
          <w:bCs/>
          <w:color w:val="4F81BD" w:themeColor="accent1"/>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C81764F" w14:textId="77777777" w:rsidTr="00AD1DFA">
        <w:trPr>
          <w:cantSplit/>
          <w:trHeight w:val="1647"/>
        </w:trPr>
        <w:tc>
          <w:tcPr>
            <w:tcW w:w="451" w:type="pct"/>
            <w:vAlign w:val="center"/>
          </w:tcPr>
          <w:p w14:paraId="6300D687"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CP 2</w:t>
            </w:r>
          </w:p>
          <w:p w14:paraId="3232F4C0" w14:textId="7C622ABE"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67E43F51"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3A5DF0E6"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40EF85AA"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3FE7A9FE" w14:textId="5D0EB920"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357149F2"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562E8621"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pośredni (2024)</w:t>
            </w:r>
          </w:p>
          <w:p w14:paraId="51DC8930" w14:textId="77777777" w:rsidR="00B86E36" w:rsidRPr="003A6407" w:rsidRDefault="00B86E36" w:rsidP="00AD1DFA">
            <w:pPr>
              <w:spacing w:before="120" w:after="120" w:line="240" w:lineRule="auto"/>
              <w:jc w:val="center"/>
              <w:rPr>
                <w:b/>
                <w:noProof/>
                <w:sz w:val="16"/>
                <w:szCs w:val="16"/>
              </w:rPr>
            </w:pPr>
          </w:p>
        </w:tc>
        <w:tc>
          <w:tcPr>
            <w:tcW w:w="550" w:type="pct"/>
            <w:shd w:val="clear" w:color="auto" w:fill="auto"/>
            <w:vAlign w:val="center"/>
          </w:tcPr>
          <w:p w14:paraId="1487D12E"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(2029)</w:t>
            </w:r>
          </w:p>
          <w:p w14:paraId="397083EA" w14:textId="77777777" w:rsidR="00B86E36" w:rsidRPr="003A6407" w:rsidRDefault="00B86E36" w:rsidP="00AD1DFA">
            <w:pPr>
              <w:spacing w:before="120" w:after="120" w:line="240" w:lineRule="auto"/>
              <w:jc w:val="center"/>
              <w:rPr>
                <w:b/>
                <w:noProof/>
                <w:sz w:val="16"/>
                <w:szCs w:val="16"/>
              </w:rPr>
            </w:pPr>
          </w:p>
        </w:tc>
      </w:tr>
      <w:tr w:rsidR="00191FE2" w:rsidRPr="003A6407" w14:paraId="7A06A9D1" w14:textId="77777777" w:rsidTr="00AD1DFA">
        <w:trPr>
          <w:trHeight w:val="340"/>
        </w:trPr>
        <w:tc>
          <w:tcPr>
            <w:tcW w:w="451" w:type="pct"/>
            <w:vAlign w:val="center"/>
          </w:tcPr>
          <w:p w14:paraId="387CE3A4" w14:textId="77777777" w:rsidR="00B86E36" w:rsidRDefault="00B86E36" w:rsidP="00AD1DFA">
            <w:pPr>
              <w:spacing w:before="120" w:after="120" w:line="240" w:lineRule="auto"/>
              <w:jc w:val="center"/>
              <w:rPr>
                <w:noProof/>
                <w:sz w:val="16"/>
                <w:szCs w:val="16"/>
              </w:rPr>
            </w:pPr>
            <w:r w:rsidRPr="003A6407">
              <w:rPr>
                <w:noProof/>
                <w:sz w:val="16"/>
                <w:szCs w:val="16"/>
              </w:rPr>
              <w:t>2 (i)</w:t>
            </w:r>
          </w:p>
          <w:p w14:paraId="7DA4876B" w14:textId="7CFE5B4D" w:rsidR="00980C2E" w:rsidRPr="003A6407" w:rsidRDefault="00980C2E" w:rsidP="00AD1DFA">
            <w:pPr>
              <w:spacing w:before="120" w:after="120" w:line="240" w:lineRule="auto"/>
              <w:jc w:val="center"/>
              <w:rPr>
                <w:noProof/>
                <w:sz w:val="16"/>
                <w:szCs w:val="16"/>
              </w:rPr>
            </w:pPr>
            <w:r>
              <w:rPr>
                <w:noProof/>
                <w:sz w:val="16"/>
                <w:szCs w:val="16"/>
              </w:rPr>
              <w:t>2.1</w:t>
            </w:r>
          </w:p>
        </w:tc>
        <w:tc>
          <w:tcPr>
            <w:tcW w:w="494" w:type="pct"/>
            <w:vAlign w:val="center"/>
          </w:tcPr>
          <w:p w14:paraId="2BEC0218"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558" w:type="pct"/>
            <w:vAlign w:val="center"/>
          </w:tcPr>
          <w:p w14:paraId="18190DB1"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360" w:type="pct"/>
            <w:vAlign w:val="center"/>
          </w:tcPr>
          <w:p w14:paraId="142EF0E8" w14:textId="1FE1B299" w:rsidR="00B86E36" w:rsidRPr="003A6407" w:rsidRDefault="00B86E36" w:rsidP="00AD1DFA">
            <w:pPr>
              <w:spacing w:before="120" w:after="120" w:line="240" w:lineRule="auto"/>
              <w:jc w:val="center"/>
              <w:rPr>
                <w:noProof/>
                <w:sz w:val="16"/>
                <w:szCs w:val="16"/>
              </w:rPr>
            </w:pPr>
            <w:r w:rsidRPr="003A6407">
              <w:rPr>
                <w:noProof/>
                <w:sz w:val="16"/>
                <w:szCs w:val="16"/>
              </w:rPr>
              <w:t>RCO19</w:t>
            </w:r>
          </w:p>
          <w:p w14:paraId="67DCB132" w14:textId="77777777" w:rsidR="00B86E36" w:rsidRPr="003A6407" w:rsidRDefault="00B86E36" w:rsidP="00AD1DFA">
            <w:pPr>
              <w:spacing w:before="120" w:after="120" w:line="240" w:lineRule="auto"/>
              <w:jc w:val="center"/>
              <w:rPr>
                <w:noProof/>
                <w:sz w:val="16"/>
                <w:szCs w:val="16"/>
              </w:rPr>
            </w:pPr>
          </w:p>
        </w:tc>
        <w:tc>
          <w:tcPr>
            <w:tcW w:w="1411" w:type="pct"/>
            <w:shd w:val="clear" w:color="auto" w:fill="auto"/>
            <w:vAlign w:val="center"/>
          </w:tcPr>
          <w:p w14:paraId="1886BEDB" w14:textId="308D6B21" w:rsidR="00B86E36" w:rsidRPr="003A6407" w:rsidRDefault="00B86E36" w:rsidP="00AD1DFA">
            <w:pPr>
              <w:keepNext/>
              <w:keepLines/>
              <w:spacing w:before="200" w:after="0"/>
              <w:jc w:val="center"/>
              <w:outlineLvl w:val="2"/>
              <w:rPr>
                <w:rFonts w:asciiTheme="minorHAnsi" w:eastAsia="Times New Roman" w:hAnsiTheme="minorHAnsi" w:cstheme="minorHAnsi"/>
                <w:bCs/>
                <w:noProof/>
                <w:sz w:val="16"/>
                <w:szCs w:val="16"/>
              </w:rPr>
            </w:pPr>
            <w:bookmarkStart w:id="115" w:name="_Toc97792249"/>
            <w:bookmarkStart w:id="116" w:name="_Toc120464384"/>
            <w:r w:rsidRPr="003A6407">
              <w:rPr>
                <w:rFonts w:asciiTheme="minorHAnsi" w:eastAsia="Times New Roman" w:hAnsiTheme="minorHAnsi" w:cstheme="minorHAnsi"/>
                <w:bCs/>
                <w:noProof/>
                <w:sz w:val="16"/>
                <w:szCs w:val="16"/>
              </w:rPr>
              <w:t xml:space="preserve">Budynki publiczne o </w:t>
            </w:r>
            <w:r w:rsidR="00A30461">
              <w:rPr>
                <w:rFonts w:asciiTheme="minorHAnsi" w:eastAsia="Times New Roman" w:hAnsiTheme="minorHAnsi" w:cstheme="minorHAnsi"/>
                <w:bCs/>
                <w:noProof/>
                <w:sz w:val="16"/>
                <w:szCs w:val="16"/>
              </w:rPr>
              <w:t>lepszej</w:t>
            </w:r>
            <w:r w:rsidRPr="003A6407">
              <w:rPr>
                <w:rFonts w:asciiTheme="minorHAnsi" w:eastAsia="Times New Roman" w:hAnsiTheme="minorHAnsi" w:cstheme="minorHAnsi"/>
                <w:bCs/>
                <w:noProof/>
                <w:sz w:val="16"/>
                <w:szCs w:val="16"/>
              </w:rPr>
              <w:t>charakterystyce energetycznej</w:t>
            </w:r>
            <w:bookmarkEnd w:id="115"/>
            <w:bookmarkEnd w:id="116"/>
          </w:p>
        </w:tc>
        <w:tc>
          <w:tcPr>
            <w:tcW w:w="549" w:type="pct"/>
            <w:vAlign w:val="center"/>
          </w:tcPr>
          <w:p w14:paraId="04549C6C" w14:textId="77777777" w:rsidR="00B86E36" w:rsidRPr="003A6407" w:rsidRDefault="00B86E36" w:rsidP="00AD1DFA">
            <w:pPr>
              <w:spacing w:before="120" w:after="120" w:line="240" w:lineRule="auto"/>
              <w:jc w:val="center"/>
              <w:rPr>
                <w:noProof/>
                <w:sz w:val="16"/>
                <w:szCs w:val="16"/>
              </w:rPr>
            </w:pPr>
            <w:r w:rsidRPr="003A6407">
              <w:rPr>
                <w:noProof/>
                <w:sz w:val="16"/>
                <w:szCs w:val="16"/>
              </w:rPr>
              <w:t>m2</w:t>
            </w:r>
          </w:p>
        </w:tc>
        <w:tc>
          <w:tcPr>
            <w:tcW w:w="627" w:type="pct"/>
            <w:shd w:val="clear" w:color="auto" w:fill="auto"/>
            <w:vAlign w:val="center"/>
          </w:tcPr>
          <w:p w14:paraId="3D018BF0" w14:textId="1880EA77" w:rsidR="00B86E36" w:rsidRPr="003A6407" w:rsidRDefault="00890103" w:rsidP="00AD1DFA">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7F625292" w14:textId="3C5398C5" w:rsidR="00B86E36" w:rsidRPr="003A6407" w:rsidRDefault="00B86E36" w:rsidP="00AD1DFA">
            <w:pPr>
              <w:spacing w:before="120" w:after="120" w:line="240" w:lineRule="auto"/>
              <w:jc w:val="center"/>
              <w:rPr>
                <w:noProof/>
                <w:sz w:val="16"/>
                <w:szCs w:val="16"/>
              </w:rPr>
            </w:pPr>
            <w:r w:rsidRPr="003A6407">
              <w:rPr>
                <w:noProof/>
                <w:sz w:val="16"/>
                <w:szCs w:val="16"/>
              </w:rPr>
              <w:t>344</w:t>
            </w:r>
            <w:r w:rsidR="00AD1DFA" w:rsidRPr="003A6407">
              <w:rPr>
                <w:noProof/>
                <w:sz w:val="16"/>
                <w:szCs w:val="16"/>
              </w:rPr>
              <w:t> </w:t>
            </w:r>
            <w:r w:rsidRPr="003A6407">
              <w:rPr>
                <w:noProof/>
                <w:sz w:val="16"/>
                <w:szCs w:val="16"/>
              </w:rPr>
              <w:t>75</w:t>
            </w:r>
            <w:r w:rsidR="009D2A15">
              <w:rPr>
                <w:noProof/>
                <w:sz w:val="16"/>
                <w:szCs w:val="16"/>
              </w:rPr>
              <w:t>0</w:t>
            </w:r>
            <w:r w:rsidR="00AD1DFA" w:rsidRPr="003A6407">
              <w:rPr>
                <w:noProof/>
                <w:sz w:val="16"/>
                <w:szCs w:val="16"/>
              </w:rPr>
              <w:t>,00</w:t>
            </w:r>
          </w:p>
        </w:tc>
      </w:tr>
      <w:tr w:rsidR="00B86E36" w:rsidRPr="003A6407" w14:paraId="1A1A6331" w14:textId="77777777" w:rsidTr="00175EA5">
        <w:trPr>
          <w:trHeight w:val="340"/>
        </w:trPr>
        <w:tc>
          <w:tcPr>
            <w:tcW w:w="5000" w:type="pct"/>
            <w:gridSpan w:val="8"/>
          </w:tcPr>
          <w:p w14:paraId="6CAD9DA6" w14:textId="77777777" w:rsidR="00B86E36" w:rsidRPr="003A6407" w:rsidRDefault="00B86E36" w:rsidP="00B256CA">
            <w:pPr>
              <w:spacing w:before="60" w:after="60" w:line="240" w:lineRule="auto"/>
              <w:jc w:val="both"/>
              <w:rPr>
                <w:color w:val="FF0000"/>
              </w:rPr>
            </w:pPr>
          </w:p>
          <w:p w14:paraId="5B85EAB4" w14:textId="77777777" w:rsidR="00B86E36" w:rsidRPr="003A6407" w:rsidRDefault="00B86E36" w:rsidP="00B256CA">
            <w:pPr>
              <w:spacing w:before="60" w:after="60" w:line="240" w:lineRule="auto"/>
              <w:jc w:val="both"/>
            </w:pPr>
            <w:r w:rsidRPr="003A6407">
              <w:t>Metodologia:</w:t>
            </w:r>
          </w:p>
          <w:p w14:paraId="3B89EFE8" w14:textId="77777777" w:rsidR="00B86E36" w:rsidRPr="003A6407" w:rsidRDefault="00B86E36" w:rsidP="00B256CA">
            <w:pPr>
              <w:spacing w:before="60" w:after="60" w:line="240" w:lineRule="auto"/>
              <w:jc w:val="both"/>
            </w:pPr>
            <w:r w:rsidRPr="003A6407">
              <w:t>Wskaźnik realizuje kody interwencji:</w:t>
            </w:r>
            <w:r w:rsidRPr="003A6407">
              <w:rPr>
                <w:rFonts w:eastAsia="Times New Roman" w:cstheme="minorHAnsi"/>
                <w:bCs/>
                <w:noProof/>
              </w:rPr>
              <w:t xml:space="preserve"> 044 Renowacja zwiększająca efektywność energetyczną lub działania w zakresie efektywności energetycznej w odniesieniu do infrastruktury publicznej, projekty demonstracyjne i działania wspierające w kwocie 15 485 765 EUR oraz 045 Renowacja zwiększająca efektywność energetyczną lub działania w zakresie efektywności energetycznej w odniesieniu do infrastruktury publicznej, projekty demonstracyjne i działania wspierające zgodne z kryteriami efektywności energetycznej w kwocie 61 798 947 EUR, </w:t>
            </w:r>
            <w:r w:rsidRPr="003A6407">
              <w:t>o łącznej wartości 77 284 712 EUR. Uwzględniając (odejmując) koszty uproszczone na poziomie 7%, wartość alokacji realizującej dany wskaźnik wynosi 71 874 782,2 EUR.</w:t>
            </w:r>
          </w:p>
          <w:p w14:paraId="35C55C11" w14:textId="34148C3A" w:rsidR="00B86E36" w:rsidRPr="003A6407" w:rsidRDefault="00B86E36" w:rsidP="00B256CA">
            <w:pPr>
              <w:spacing w:before="60" w:after="60" w:line="240" w:lineRule="auto"/>
              <w:jc w:val="both"/>
            </w:pPr>
            <w:r w:rsidRPr="003A6407">
              <w:t xml:space="preserve">Historyczny koszt jednostkowy na bazie doświadczeń z perspektywy 2014-2020 wynosi 699,55 PLN. Koszt jednostkowy został skorygowany w oparciu o wartość inflacji na poziomie 15% i wynosi 804,48 PLN, </w:t>
            </w:r>
            <w:r w:rsidRPr="003A6407">
              <w:br/>
              <w:t xml:space="preserve">a wartość dofinansowania na poziomie 70% wynosi 563,14 PLN; biorąc pod uwagę kurs EUR na poziomie 4,45 koszt jednostkowy wynosi 126,55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 </w:t>
            </w:r>
          </w:p>
          <w:p w14:paraId="6F69C846" w14:textId="77777777" w:rsidR="00B86E36" w:rsidRPr="003A6407" w:rsidRDefault="00B86E36" w:rsidP="00B256CA">
            <w:pPr>
              <w:spacing w:before="60" w:after="60" w:line="240" w:lineRule="auto"/>
              <w:jc w:val="both"/>
            </w:pPr>
            <w:r w:rsidRPr="003A6407">
              <w:t>R: [(6*25)+(3*68)]/9 = 39,3%</w:t>
            </w:r>
          </w:p>
          <w:p w14:paraId="483505F0" w14:textId="77777777" w:rsidR="00B86E36" w:rsidRPr="003A6407" w:rsidRDefault="00B86E36" w:rsidP="00B256CA">
            <w:pPr>
              <w:spacing w:before="60" w:after="60" w:line="240" w:lineRule="auto"/>
              <w:jc w:val="both"/>
            </w:pPr>
          </w:p>
          <w:p w14:paraId="3531A03B" w14:textId="77777777" w:rsidR="00B86E36" w:rsidRPr="003A6407" w:rsidRDefault="00B86E36" w:rsidP="00B256CA">
            <w:pPr>
              <w:spacing w:before="60" w:after="60" w:line="240" w:lineRule="auto"/>
              <w:jc w:val="both"/>
            </w:pPr>
            <w:r w:rsidRPr="003A6407">
              <w:t>Wyliczenie:</w:t>
            </w:r>
          </w:p>
          <w:p w14:paraId="4BDCBB51" w14:textId="6E1897DA" w:rsidR="00B86E36" w:rsidRPr="003A6407" w:rsidRDefault="00B86E36" w:rsidP="00B256CA">
            <w:pPr>
              <w:spacing w:before="60" w:after="60" w:line="240" w:lineRule="auto"/>
              <w:jc w:val="both"/>
            </w:pPr>
            <w:r w:rsidRPr="003A6407">
              <w:t>71 874 782,20 / 126,55 * (1-0,393) = 344 75</w:t>
            </w:r>
            <w:r w:rsidR="009D2A15">
              <w:t>0</w:t>
            </w:r>
            <w:r w:rsidRPr="003A6407">
              <w:t xml:space="preserve"> m2</w:t>
            </w:r>
          </w:p>
          <w:p w14:paraId="6E0B01FE" w14:textId="77777777" w:rsidR="00B86E36" w:rsidRPr="003A6407" w:rsidRDefault="00B86E36" w:rsidP="00B256CA">
            <w:pPr>
              <w:spacing w:before="60" w:after="60" w:line="240" w:lineRule="auto"/>
              <w:jc w:val="both"/>
            </w:pPr>
          </w:p>
          <w:p w14:paraId="375858DF"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5356368E" w14:textId="3D5C0248" w:rsidR="00B86E36" w:rsidRPr="003A6407" w:rsidRDefault="00B86E36" w:rsidP="00B256CA">
            <w:pPr>
              <w:spacing w:before="60" w:after="60" w:line="240" w:lineRule="auto"/>
              <w:jc w:val="both"/>
            </w:pPr>
            <w:r w:rsidRPr="003A6407">
              <w:t>•</w:t>
            </w:r>
            <w:r w:rsidRPr="003A6407">
              <w:rPr>
                <w:b/>
              </w:rPr>
              <w:t xml:space="preserve">ryzyko wzrostu cen </w:t>
            </w:r>
            <w:r w:rsidR="00EE0C5C">
              <w:t>–</w:t>
            </w:r>
            <w:r w:rsidRPr="003A6407">
              <w:t xml:space="preserve"> ryzyko związane ze wzrostem cen materiałów, sprzętu i usług; ryzyko związane z poziomem inflacji; (istotność: poważna)</w:t>
            </w:r>
          </w:p>
          <w:p w14:paraId="2D77D3BB" w14:textId="0F733D23" w:rsidR="00B86E36" w:rsidRPr="003A6407" w:rsidRDefault="00B86E36" w:rsidP="00B256CA">
            <w:pPr>
              <w:spacing w:before="60" w:after="60" w:line="240" w:lineRule="auto"/>
              <w:jc w:val="both"/>
            </w:pPr>
            <w:r w:rsidRPr="003A6407">
              <w:t>•</w:t>
            </w:r>
            <w:r w:rsidRPr="003A6407">
              <w:rPr>
                <w:b/>
              </w:rPr>
              <w:t>ryzyko walutowe</w:t>
            </w:r>
            <w:r w:rsidRPr="003A6407">
              <w:t xml:space="preserve"> </w:t>
            </w:r>
            <w:r w:rsidR="00EE0C5C">
              <w:t>–</w:t>
            </w:r>
            <w:r w:rsidRPr="003A6407">
              <w:t xml:space="preserve">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umiarkowane)</w:t>
            </w:r>
          </w:p>
          <w:p w14:paraId="69028738"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210A6AD4" w14:textId="6CED037B" w:rsidR="00B86E36" w:rsidRPr="003A6407" w:rsidRDefault="00B86E36" w:rsidP="00B256CA">
            <w:pPr>
              <w:spacing w:before="60" w:after="60" w:line="240" w:lineRule="auto"/>
              <w:jc w:val="both"/>
            </w:pPr>
            <w:r w:rsidRPr="003A6407">
              <w:t>•</w:t>
            </w:r>
            <w:r w:rsidRPr="003A6407">
              <w:rPr>
                <w:b/>
                <w:bCs/>
              </w:rPr>
              <w:t>czynniki które mogą wpłynąć na harmonogram realizacji planów działania dot. spełnienia warunków podstawowych</w:t>
            </w:r>
            <w:r w:rsidRPr="003A6407">
              <w:t xml:space="preserve"> a które są poza kompetencjami </w:t>
            </w:r>
            <w:r w:rsidR="00EE0C5C">
              <w:t>NP.</w:t>
            </w:r>
            <w:r w:rsidRPr="003A6407">
              <w:t xml:space="preserve"> oraz instytucji odpowiedzialnych za spełnienie tych warunków; (istotność: poważna)</w:t>
            </w:r>
          </w:p>
          <w:p w14:paraId="27B107AE"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umiarkowana)</w:t>
            </w:r>
          </w:p>
          <w:p w14:paraId="4D806EAF" w14:textId="3137C5E9" w:rsidR="00B86E36" w:rsidRPr="003A6407" w:rsidRDefault="00B86E36" w:rsidP="00B256CA">
            <w:pPr>
              <w:spacing w:before="60" w:after="60" w:line="240" w:lineRule="auto"/>
              <w:jc w:val="both"/>
              <w:rPr>
                <w:b/>
              </w:rPr>
            </w:pPr>
            <w:r w:rsidRPr="003A6407">
              <w:rPr>
                <w:b/>
              </w:rPr>
              <w:lastRenderedPageBreak/>
              <w:t xml:space="preserve">•opóźnienia, </w:t>
            </w:r>
            <w:r w:rsidRPr="003A6407">
              <w:rPr>
                <w:bCs/>
              </w:rPr>
              <w:t xml:space="preserve">bądź niewykonanie projektu związane z procedurami wynikającymi z zamówień publicznych, braku wykonawców, sezonowością prac </w:t>
            </w:r>
            <w:r w:rsidR="00EE0C5C">
              <w:rPr>
                <w:bCs/>
              </w:rPr>
              <w:t>np</w:t>
            </w:r>
            <w:r w:rsidRPr="003A6407">
              <w:rPr>
                <w:bCs/>
              </w:rPr>
              <w:t>.; (istotność: poważna)</w:t>
            </w:r>
          </w:p>
          <w:p w14:paraId="53230C8F"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02A5B3C1" w14:textId="77777777" w:rsidR="00B86E36" w:rsidRPr="003A6407" w:rsidRDefault="00B86E36" w:rsidP="00B256CA">
            <w:pPr>
              <w:spacing w:before="60" w:after="60" w:line="240" w:lineRule="auto"/>
              <w:rPr>
                <w:bCs/>
              </w:rPr>
            </w:pPr>
            <w:r w:rsidRPr="003A6407">
              <w:rPr>
                <w:b/>
              </w:rPr>
              <w:t xml:space="preserve">•wpływ pandemii koronawirusa SARS-CoV-2 </w:t>
            </w:r>
            <w:r w:rsidRPr="003A6407">
              <w:rPr>
                <w:bCs/>
              </w:rPr>
              <w:t>na możliwość terminowego pozyskiwania zgód i pozwoleń administracyjnych</w:t>
            </w:r>
            <w:r w:rsidRPr="003A6407" w:rsidDel="002E4947">
              <w:rPr>
                <w:bCs/>
              </w:rPr>
              <w:t xml:space="preserve"> </w:t>
            </w:r>
            <w:r w:rsidRPr="003A6407">
              <w:rPr>
                <w:bCs/>
              </w:rPr>
              <w:t xml:space="preserve">(istotność: umiarkowana </w:t>
            </w:r>
          </w:p>
          <w:p w14:paraId="4E745D25" w14:textId="137250E3" w:rsidR="00B86E36" w:rsidRPr="003A6407" w:rsidRDefault="00B86E36" w:rsidP="00B256CA">
            <w:pPr>
              <w:spacing w:before="60" w:after="60" w:line="240" w:lineRule="auto"/>
            </w:pPr>
            <w:r w:rsidRPr="003A6407">
              <w:rPr>
                <w:b/>
              </w:rPr>
              <w:t>•</w:t>
            </w:r>
            <w:r w:rsidRPr="003A6407">
              <w:rPr>
                <w:b/>
                <w:bCs/>
              </w:rPr>
              <w:t xml:space="preserve">nakładanie się wsparcia z innych instrumentów </w:t>
            </w:r>
            <w:r w:rsidR="00EE0C5C">
              <w:t>np</w:t>
            </w:r>
            <w:r w:rsidRPr="003A6407">
              <w:t>. programów krajowych lub finansowanych ze środków krajowych (istotność: umiarkowana)</w:t>
            </w:r>
            <w:r w:rsidR="00303ED0" w:rsidRPr="003A6407">
              <w:t>.</w:t>
            </w:r>
          </w:p>
          <w:p w14:paraId="7EDCF1E0" w14:textId="4CCF417F" w:rsidR="00442FFF" w:rsidRPr="003A6407" w:rsidRDefault="00442FFF" w:rsidP="00B256CA">
            <w:pPr>
              <w:spacing w:before="60" w:after="60" w:line="240" w:lineRule="auto"/>
            </w:pPr>
          </w:p>
          <w:p w14:paraId="46109455" w14:textId="43A152EC" w:rsidR="00442FFF" w:rsidRPr="003A6407" w:rsidRDefault="00442FFF" w:rsidP="00412D9C">
            <w:pPr>
              <w:spacing w:before="60" w:after="60" w:line="240" w:lineRule="auto"/>
              <w:jc w:val="both"/>
              <w:rPr>
                <w:b/>
                <w:bCs/>
              </w:rPr>
            </w:pPr>
            <w:r w:rsidRPr="003A6407">
              <w:rPr>
                <w:b/>
                <w:bCs/>
              </w:rPr>
              <w:t>Uzasadnienie dla celu pośredniego:</w:t>
            </w:r>
          </w:p>
          <w:p w14:paraId="45202C33" w14:textId="0329B0E1" w:rsidR="00442FFF" w:rsidRPr="003A6407" w:rsidRDefault="00442FFF" w:rsidP="00412D9C">
            <w:pPr>
              <w:spacing w:before="60" w:after="60" w:line="240" w:lineRule="auto"/>
              <w:jc w:val="both"/>
              <w:rPr>
                <w:b/>
                <w:bCs/>
              </w:rPr>
            </w:pPr>
            <w:r w:rsidRPr="003A6407">
              <w:rPr>
                <w:b/>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4c</w:t>
            </w:r>
            <w:r w:rsidR="00243B24">
              <w:rPr>
                <w:b/>
                <w:bCs/>
              </w:rPr>
              <w:t>)</w:t>
            </w:r>
            <w:r w:rsidRPr="003A6407">
              <w:rPr>
                <w:b/>
                <w:bCs/>
              </w:rPr>
              <w:t xml:space="preserve">, na podstawie Sprawozdania rocznego z 2021 r. </w:t>
            </w:r>
            <w:r w:rsidR="00EE0C5C">
              <w:rPr>
                <w:b/>
                <w:bCs/>
              </w:rPr>
              <w:t>–</w:t>
            </w:r>
            <w:r w:rsidRPr="003A6407">
              <w:rPr>
                <w:b/>
                <w:bCs/>
              </w:rPr>
              <w:t xml:space="preserve"> wskaźnik </w:t>
            </w:r>
          </w:p>
          <w:p w14:paraId="442371F2" w14:textId="5EA8462D" w:rsidR="00442FFF" w:rsidRPr="003A6407" w:rsidRDefault="00243B24" w:rsidP="00412D9C">
            <w:pPr>
              <w:spacing w:before="60" w:after="60" w:line="240" w:lineRule="auto"/>
              <w:jc w:val="both"/>
              <w:rPr>
                <w:b/>
                <w:bCs/>
              </w:rPr>
            </w:pPr>
            <w:r>
              <w:rPr>
                <w:b/>
                <w:bCs/>
              </w:rPr>
              <w:t>pn.</w:t>
            </w:r>
            <w:r w:rsidR="00442FFF" w:rsidRPr="003A6407">
              <w:rPr>
                <w:b/>
                <w:bCs/>
              </w:rPr>
              <w:t xml:space="preserve"> </w:t>
            </w:r>
            <w:r w:rsidR="000D2A3D" w:rsidRPr="000D2A3D">
              <w:rPr>
                <w:b/>
                <w:bCs/>
              </w:rPr>
              <w:t>Powierzchnia użytkowa budynków poddanych termomodernizacji</w:t>
            </w:r>
            <w:r w:rsidR="00442FFF" w:rsidRPr="003A6407">
              <w:rPr>
                <w:b/>
                <w:bCs/>
              </w:rPr>
              <w:t xml:space="preserve"> w 2017 r. osiągnął wartość </w:t>
            </w:r>
            <w:r w:rsidR="000D2A3D">
              <w:rPr>
                <w:b/>
                <w:bCs/>
              </w:rPr>
              <w:t>14</w:t>
            </w:r>
            <w:r>
              <w:rPr>
                <w:b/>
                <w:bCs/>
              </w:rPr>
              <w:t> </w:t>
            </w:r>
            <w:r w:rsidR="000D2A3D">
              <w:rPr>
                <w:b/>
                <w:bCs/>
              </w:rPr>
              <w:t>157</w:t>
            </w:r>
            <w:r>
              <w:rPr>
                <w:b/>
                <w:bCs/>
              </w:rPr>
              <w:t xml:space="preserve"> m2</w:t>
            </w:r>
            <w:r w:rsidR="00442FFF" w:rsidRPr="003A6407">
              <w:rPr>
                <w:b/>
                <w:bCs/>
              </w:rPr>
              <w:t>, co wobec wartości z wykonania na 2021 r. (</w:t>
            </w:r>
            <w:r w:rsidR="000D2A3D" w:rsidRPr="000D2A3D">
              <w:rPr>
                <w:b/>
                <w:bCs/>
              </w:rPr>
              <w:t>1</w:t>
            </w:r>
            <w:r w:rsidR="000D2A3D">
              <w:rPr>
                <w:b/>
                <w:bCs/>
              </w:rPr>
              <w:t xml:space="preserve"> </w:t>
            </w:r>
            <w:r w:rsidR="000D2A3D" w:rsidRPr="000D2A3D">
              <w:rPr>
                <w:b/>
                <w:bCs/>
              </w:rPr>
              <w:t>125</w:t>
            </w:r>
            <w:r>
              <w:rPr>
                <w:b/>
                <w:bCs/>
              </w:rPr>
              <w:t> </w:t>
            </w:r>
            <w:r w:rsidR="000D2A3D" w:rsidRPr="000D2A3D">
              <w:rPr>
                <w:b/>
                <w:bCs/>
              </w:rPr>
              <w:t>737</w:t>
            </w:r>
            <w:r>
              <w:rPr>
                <w:b/>
                <w:bCs/>
              </w:rPr>
              <w:t xml:space="preserve"> m2</w:t>
            </w:r>
            <w:r w:rsidR="00442FFF" w:rsidRPr="003A6407">
              <w:rPr>
                <w:b/>
                <w:bCs/>
              </w:rPr>
              <w:t xml:space="preserve">) stanowi zaledwie </w:t>
            </w:r>
            <w:r>
              <w:rPr>
                <w:b/>
                <w:bCs/>
              </w:rPr>
              <w:t>1,26</w:t>
            </w:r>
            <w:r w:rsidR="00442FFF" w:rsidRPr="003A6407">
              <w:rPr>
                <w:b/>
                <w:bCs/>
              </w:rPr>
              <w:t>%.</w:t>
            </w:r>
          </w:p>
          <w:p w14:paraId="1EF70805" w14:textId="0C449256" w:rsidR="00442FFF" w:rsidRPr="003A6407" w:rsidRDefault="00442FFF" w:rsidP="00412D9C">
            <w:pPr>
              <w:spacing w:before="60" w:after="60" w:line="240" w:lineRule="auto"/>
              <w:jc w:val="both"/>
              <w:rPr>
                <w:b/>
                <w:bCs/>
              </w:rPr>
            </w:pPr>
            <w:r w:rsidRPr="003A6407">
              <w:rPr>
                <w:b/>
                <w:bCs/>
              </w:rPr>
              <w:t>Mając na uwadze, że 2017 r. był już czwartym rokiem wdrażania programu RPO WD 2014-2020, a rok 2024 będzie de facto dopiero drugim rokiem wdrażania FEDS, wartość pośrednią dla tego wskaźnika ustalono jako 0.</w:t>
            </w:r>
          </w:p>
          <w:p w14:paraId="29ED9283" w14:textId="7CD9E6B3" w:rsidR="00303ED0" w:rsidRPr="003A6407" w:rsidRDefault="00303ED0" w:rsidP="00B256CA">
            <w:pPr>
              <w:spacing w:before="60" w:after="60" w:line="240" w:lineRule="auto"/>
              <w:rPr>
                <w:b/>
              </w:rPr>
            </w:pPr>
          </w:p>
        </w:tc>
      </w:tr>
      <w:bookmarkEnd w:id="113"/>
    </w:tbl>
    <w:p w14:paraId="015C10BE" w14:textId="77777777" w:rsidR="00B86E36" w:rsidRPr="003A6407" w:rsidRDefault="00B86E36" w:rsidP="00B256CA">
      <w:pPr>
        <w:keepNext/>
        <w:keepLines/>
        <w:spacing w:before="120" w:after="120"/>
        <w:jc w:val="both"/>
        <w:outlineLvl w:val="2"/>
        <w:rPr>
          <w:rFonts w:eastAsiaTheme="majorEastAsia" w:cstheme="majorBidi"/>
          <w:b/>
          <w:bCs/>
          <w:color w:val="4F81BD" w:themeColor="accent1"/>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772CB405" w14:textId="77777777" w:rsidTr="00AD1DFA">
        <w:trPr>
          <w:cantSplit/>
          <w:trHeight w:val="1647"/>
        </w:trPr>
        <w:tc>
          <w:tcPr>
            <w:tcW w:w="451" w:type="pct"/>
            <w:vAlign w:val="center"/>
          </w:tcPr>
          <w:p w14:paraId="43FAF681"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CP 2</w:t>
            </w:r>
          </w:p>
          <w:p w14:paraId="0DCF9686" w14:textId="04ACD457"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6FCE4195"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6B6E617"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41A5EF06"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15CF9DE3" w14:textId="755AB397"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58E8C5BC"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74F6A6F1"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pośredni (2024)</w:t>
            </w:r>
          </w:p>
          <w:p w14:paraId="356F701A" w14:textId="77777777" w:rsidR="00B86E36" w:rsidRPr="003A6407" w:rsidRDefault="00B86E36" w:rsidP="00AD1DFA">
            <w:pPr>
              <w:spacing w:before="120" w:after="120" w:line="240" w:lineRule="auto"/>
              <w:jc w:val="center"/>
              <w:rPr>
                <w:b/>
                <w:noProof/>
                <w:sz w:val="16"/>
                <w:szCs w:val="16"/>
              </w:rPr>
            </w:pPr>
          </w:p>
        </w:tc>
        <w:tc>
          <w:tcPr>
            <w:tcW w:w="550" w:type="pct"/>
            <w:shd w:val="clear" w:color="auto" w:fill="auto"/>
            <w:vAlign w:val="center"/>
          </w:tcPr>
          <w:p w14:paraId="0F2C555D"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(2029)</w:t>
            </w:r>
          </w:p>
          <w:p w14:paraId="32D381F0" w14:textId="77777777" w:rsidR="00B86E36" w:rsidRPr="003A6407" w:rsidRDefault="00B86E36" w:rsidP="00AD1DFA">
            <w:pPr>
              <w:spacing w:before="120" w:after="120" w:line="240" w:lineRule="auto"/>
              <w:jc w:val="center"/>
              <w:rPr>
                <w:b/>
                <w:noProof/>
                <w:sz w:val="16"/>
                <w:szCs w:val="16"/>
              </w:rPr>
            </w:pPr>
          </w:p>
        </w:tc>
      </w:tr>
      <w:tr w:rsidR="00191FE2" w:rsidRPr="003A6407" w14:paraId="3F9FB5F9" w14:textId="77777777" w:rsidTr="00AD1DFA">
        <w:trPr>
          <w:trHeight w:val="340"/>
        </w:trPr>
        <w:tc>
          <w:tcPr>
            <w:tcW w:w="451" w:type="pct"/>
            <w:vAlign w:val="center"/>
          </w:tcPr>
          <w:p w14:paraId="030C4B5A" w14:textId="77777777" w:rsidR="00B86E36" w:rsidRDefault="00B86E36" w:rsidP="00AD1DFA">
            <w:pPr>
              <w:spacing w:before="120" w:after="120" w:line="240" w:lineRule="auto"/>
              <w:jc w:val="center"/>
              <w:rPr>
                <w:noProof/>
                <w:sz w:val="16"/>
                <w:szCs w:val="16"/>
              </w:rPr>
            </w:pPr>
            <w:r w:rsidRPr="003A6407">
              <w:rPr>
                <w:noProof/>
                <w:sz w:val="16"/>
                <w:szCs w:val="16"/>
              </w:rPr>
              <w:t>2 (i)</w:t>
            </w:r>
          </w:p>
          <w:p w14:paraId="090309DF" w14:textId="3CABF1D9" w:rsidR="00980C2E" w:rsidRPr="003A6407" w:rsidRDefault="00980C2E" w:rsidP="00AD1DFA">
            <w:pPr>
              <w:spacing w:before="120" w:after="120" w:line="240" w:lineRule="auto"/>
              <w:jc w:val="center"/>
              <w:rPr>
                <w:noProof/>
                <w:sz w:val="16"/>
                <w:szCs w:val="16"/>
              </w:rPr>
            </w:pPr>
            <w:r>
              <w:rPr>
                <w:noProof/>
                <w:sz w:val="16"/>
                <w:szCs w:val="16"/>
              </w:rPr>
              <w:t>2.1</w:t>
            </w:r>
          </w:p>
        </w:tc>
        <w:tc>
          <w:tcPr>
            <w:tcW w:w="494" w:type="pct"/>
            <w:vAlign w:val="center"/>
          </w:tcPr>
          <w:p w14:paraId="549E72C6"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558" w:type="pct"/>
            <w:vAlign w:val="center"/>
          </w:tcPr>
          <w:p w14:paraId="5DA5E9B3"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360" w:type="pct"/>
            <w:vAlign w:val="center"/>
          </w:tcPr>
          <w:p w14:paraId="410354B7" w14:textId="563CAE43" w:rsidR="00B86E36" w:rsidRPr="003A6407" w:rsidRDefault="00B86E36" w:rsidP="00AD1DFA">
            <w:pPr>
              <w:spacing w:before="120" w:after="120" w:line="240" w:lineRule="auto"/>
              <w:jc w:val="center"/>
              <w:rPr>
                <w:noProof/>
                <w:sz w:val="16"/>
                <w:szCs w:val="16"/>
              </w:rPr>
            </w:pPr>
            <w:r w:rsidRPr="003A6407">
              <w:rPr>
                <w:noProof/>
                <w:sz w:val="16"/>
                <w:szCs w:val="16"/>
              </w:rPr>
              <w:t>RCO18</w:t>
            </w:r>
          </w:p>
        </w:tc>
        <w:tc>
          <w:tcPr>
            <w:tcW w:w="1411" w:type="pct"/>
            <w:shd w:val="clear" w:color="auto" w:fill="auto"/>
            <w:vAlign w:val="center"/>
          </w:tcPr>
          <w:p w14:paraId="37D5BE68" w14:textId="20197984" w:rsidR="00B86E36" w:rsidRPr="003A6407" w:rsidRDefault="00B86E36" w:rsidP="00AD1DFA">
            <w:pPr>
              <w:keepNext/>
              <w:keepLines/>
              <w:spacing w:before="200" w:after="0"/>
              <w:jc w:val="center"/>
              <w:outlineLvl w:val="2"/>
              <w:rPr>
                <w:rFonts w:eastAsiaTheme="majorEastAsia" w:cstheme="majorBidi"/>
                <w:b/>
                <w:bCs/>
                <w:noProof/>
                <w:sz w:val="16"/>
                <w:szCs w:val="16"/>
              </w:rPr>
            </w:pPr>
            <w:bookmarkStart w:id="117" w:name="_Toc97792250"/>
            <w:bookmarkStart w:id="118" w:name="_Toc120464385"/>
            <w:r w:rsidRPr="003A6407">
              <w:rPr>
                <w:rFonts w:asciiTheme="minorHAnsi" w:eastAsia="Times New Roman" w:hAnsiTheme="minorHAnsi" w:cstheme="minorHAnsi"/>
                <w:bCs/>
                <w:noProof/>
                <w:sz w:val="16"/>
                <w:szCs w:val="16"/>
              </w:rPr>
              <w:t xml:space="preserve">Lokale mieszkalne o </w:t>
            </w:r>
            <w:r w:rsidR="00D544BC">
              <w:rPr>
                <w:rFonts w:asciiTheme="minorHAnsi" w:eastAsia="Times New Roman" w:hAnsiTheme="minorHAnsi" w:cstheme="minorHAnsi"/>
                <w:bCs/>
                <w:noProof/>
                <w:sz w:val="16"/>
                <w:szCs w:val="16"/>
              </w:rPr>
              <w:t xml:space="preserve">lepszej </w:t>
            </w:r>
            <w:r w:rsidRPr="003A6407">
              <w:rPr>
                <w:rFonts w:asciiTheme="minorHAnsi" w:eastAsia="Times New Roman" w:hAnsiTheme="minorHAnsi" w:cstheme="minorHAnsi"/>
                <w:bCs/>
                <w:noProof/>
                <w:sz w:val="16"/>
                <w:szCs w:val="16"/>
              </w:rPr>
              <w:t>udoskonalonej charakterystyce energetycznej</w:t>
            </w:r>
            <w:bookmarkEnd w:id="117"/>
            <w:bookmarkEnd w:id="118"/>
          </w:p>
        </w:tc>
        <w:tc>
          <w:tcPr>
            <w:tcW w:w="549" w:type="pct"/>
            <w:vAlign w:val="center"/>
          </w:tcPr>
          <w:p w14:paraId="1DF67207" w14:textId="70F611C9" w:rsidR="00B86E36" w:rsidRPr="003A6407" w:rsidRDefault="00CB687D" w:rsidP="00AD1DFA">
            <w:pPr>
              <w:spacing w:before="120" w:after="120" w:line="240" w:lineRule="auto"/>
              <w:jc w:val="center"/>
              <w:rPr>
                <w:noProof/>
                <w:sz w:val="16"/>
                <w:szCs w:val="16"/>
              </w:rPr>
            </w:pPr>
            <w:r>
              <w:rPr>
                <w:noProof/>
                <w:sz w:val="16"/>
                <w:szCs w:val="16"/>
              </w:rPr>
              <w:t>lokale mieszkalne</w:t>
            </w:r>
          </w:p>
        </w:tc>
        <w:tc>
          <w:tcPr>
            <w:tcW w:w="627" w:type="pct"/>
            <w:shd w:val="clear" w:color="auto" w:fill="auto"/>
            <w:vAlign w:val="center"/>
          </w:tcPr>
          <w:p w14:paraId="12812CA5" w14:textId="14BBA8CC" w:rsidR="00B86E36" w:rsidRPr="003A6407" w:rsidRDefault="00890103" w:rsidP="00AD1DFA">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009A6EF7" w14:textId="103F9419" w:rsidR="00B86E36" w:rsidRPr="003A6407" w:rsidRDefault="00843AB4" w:rsidP="00AD1DFA">
            <w:pPr>
              <w:spacing w:before="120" w:after="120" w:line="240" w:lineRule="auto"/>
              <w:jc w:val="center"/>
              <w:rPr>
                <w:noProof/>
                <w:sz w:val="16"/>
                <w:szCs w:val="16"/>
              </w:rPr>
            </w:pPr>
            <w:r>
              <w:rPr>
                <w:noProof/>
                <w:sz w:val="16"/>
                <w:szCs w:val="16"/>
              </w:rPr>
              <w:t>8 287</w:t>
            </w:r>
            <w:r w:rsidR="002A18D6">
              <w:rPr>
                <w:noProof/>
                <w:sz w:val="16"/>
                <w:szCs w:val="16"/>
              </w:rPr>
              <w:t>,00</w:t>
            </w:r>
          </w:p>
        </w:tc>
      </w:tr>
      <w:tr w:rsidR="00B86E36" w:rsidRPr="003A6407" w14:paraId="23B90B28" w14:textId="77777777" w:rsidTr="00175EA5">
        <w:trPr>
          <w:trHeight w:val="2030"/>
        </w:trPr>
        <w:tc>
          <w:tcPr>
            <w:tcW w:w="5000" w:type="pct"/>
            <w:gridSpan w:val="8"/>
          </w:tcPr>
          <w:p w14:paraId="6D14ECCB" w14:textId="77777777" w:rsidR="00B86E36" w:rsidRPr="003A6407" w:rsidRDefault="00B86E36" w:rsidP="00B256CA">
            <w:pPr>
              <w:spacing w:before="60" w:after="60" w:line="240" w:lineRule="auto"/>
              <w:jc w:val="both"/>
            </w:pPr>
          </w:p>
          <w:p w14:paraId="56CD1D28" w14:textId="77777777" w:rsidR="00B86E36" w:rsidRPr="003A6407" w:rsidRDefault="00B86E36" w:rsidP="00B256CA">
            <w:pPr>
              <w:spacing w:before="60" w:after="60" w:line="240" w:lineRule="auto"/>
              <w:jc w:val="both"/>
            </w:pPr>
            <w:r w:rsidRPr="003A6407">
              <w:t>Metodologia:</w:t>
            </w:r>
          </w:p>
          <w:p w14:paraId="15E479A6" w14:textId="49D68641" w:rsidR="00B86E36" w:rsidRPr="003A6407" w:rsidRDefault="00B86E36" w:rsidP="00B256CA">
            <w:pPr>
              <w:spacing w:before="60" w:after="60" w:line="240" w:lineRule="auto"/>
              <w:jc w:val="both"/>
            </w:pPr>
            <w:r w:rsidRPr="003A6407">
              <w:t xml:space="preserve">Wskaźnik realizuje kody interwencji: 041 </w:t>
            </w:r>
            <w:r w:rsidRPr="003A6407">
              <w:rPr>
                <w:rFonts w:eastAsia="Times New Roman" w:cstheme="minorHAnsi"/>
                <w:bCs/>
                <w:noProof/>
              </w:rPr>
              <w:t xml:space="preserve">Renowacja istniejących budynków mieszkalnych pod kątem efektywności energetycznej, projekty demonstracyjne i działania wspierające w kwocie 13 103 340 EUR oraz 042 Renowacja istniejących budynków mieszkalnych pod kątem efektywności energetycznej, projekty demonstracyjne i działania wspierające zgodne z kryteriami efektywności energetycznej w kwocie </w:t>
            </w:r>
            <w:r w:rsidR="00395E76">
              <w:rPr>
                <w:rFonts w:eastAsia="Times New Roman" w:cstheme="minorHAnsi"/>
                <w:bCs/>
                <w:noProof/>
              </w:rPr>
              <w:t>35 330 992</w:t>
            </w:r>
            <w:r w:rsidRPr="003A6407">
              <w:rPr>
                <w:rFonts w:eastAsia="Times New Roman" w:cstheme="minorHAnsi"/>
                <w:bCs/>
                <w:noProof/>
              </w:rPr>
              <w:t xml:space="preserve"> EUR, </w:t>
            </w:r>
            <w:r w:rsidRPr="003A6407">
              <w:t xml:space="preserve">o łącznej wartości </w:t>
            </w:r>
            <w:r w:rsidR="00395E76">
              <w:t>48 434 332</w:t>
            </w:r>
            <w:r w:rsidRPr="003A6407">
              <w:t xml:space="preserve"> EUR. Uwzględniając (odejmując) koszty uproszczone na poziomie 7%, wartość alokacji realizującej dany wskaźnik wynosi </w:t>
            </w:r>
            <w:r w:rsidR="00395E76">
              <w:t>45 043 928,8</w:t>
            </w:r>
            <w:r w:rsidRPr="003A6407">
              <w:t xml:space="preserve"> EUR.</w:t>
            </w:r>
          </w:p>
          <w:p w14:paraId="791BA147" w14:textId="54FEADA9" w:rsidR="00B86E36" w:rsidRPr="003A6407" w:rsidRDefault="00B86E36" w:rsidP="00B256CA">
            <w:pPr>
              <w:spacing w:before="60" w:after="60" w:line="240" w:lineRule="auto"/>
              <w:jc w:val="both"/>
            </w:pPr>
            <w:r w:rsidRPr="003A6407">
              <w:t xml:space="preserve">Historyczny koszt jednostkowy na bazie doświadczeń z perspektywy 2014-2020 wynosi 16 795,44 PLN. Koszt jednostkowy został skorygowany w oparciu o wartość inflacji na poziomie 15% i wynosi 19 314,76 PLN, </w:t>
            </w:r>
            <w:r w:rsidRPr="003A6407">
              <w:br/>
              <w:t xml:space="preserve">a wartość dofinansowania na poziomie 70% wynosi 13 520,33 PLN; biorąc pod uwagę kurs EUR na poziomie 4,45 koszt jednostkowy wynosi 3 038,28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w:t>
            </w:r>
          </w:p>
          <w:p w14:paraId="3407280A" w14:textId="77777777" w:rsidR="00B86E36" w:rsidRPr="003A6407" w:rsidRDefault="00B86E36" w:rsidP="00B256CA">
            <w:pPr>
              <w:spacing w:before="60" w:after="60" w:line="240" w:lineRule="auto"/>
              <w:jc w:val="both"/>
            </w:pPr>
            <w:r w:rsidRPr="003A6407">
              <w:t>R: [(5*25)+(4*68)]/9 = 44,1%</w:t>
            </w:r>
          </w:p>
          <w:p w14:paraId="1197DC3B" w14:textId="77777777" w:rsidR="00B86E36" w:rsidRPr="003A6407" w:rsidRDefault="00B86E36" w:rsidP="00B256CA">
            <w:pPr>
              <w:spacing w:before="60" w:after="60" w:line="240" w:lineRule="auto"/>
              <w:jc w:val="both"/>
            </w:pPr>
          </w:p>
          <w:p w14:paraId="09E879AF" w14:textId="77777777" w:rsidR="00B86E36" w:rsidRPr="003A6407" w:rsidRDefault="00B86E36" w:rsidP="00B256CA">
            <w:pPr>
              <w:spacing w:before="60" w:after="60" w:line="240" w:lineRule="auto"/>
              <w:jc w:val="both"/>
            </w:pPr>
            <w:r w:rsidRPr="003A6407">
              <w:t>Wyliczenie:</w:t>
            </w:r>
          </w:p>
          <w:p w14:paraId="3690F588" w14:textId="78D4D720" w:rsidR="00B86E36" w:rsidRPr="003A6407" w:rsidRDefault="00395E76" w:rsidP="00B256CA">
            <w:pPr>
              <w:spacing w:before="60" w:after="60" w:line="240" w:lineRule="auto"/>
              <w:jc w:val="both"/>
            </w:pPr>
            <w:r w:rsidRPr="00395E76">
              <w:lastRenderedPageBreak/>
              <w:t xml:space="preserve">45 043 928,8 </w:t>
            </w:r>
            <w:r w:rsidR="00B86E36" w:rsidRPr="003A6407">
              <w:t xml:space="preserve">/ 3 038,28 * (1-0,441) = </w:t>
            </w:r>
            <w:r>
              <w:t>8 287</w:t>
            </w:r>
            <w:r w:rsidR="00B86E36" w:rsidRPr="003A6407">
              <w:t xml:space="preserve"> szt.</w:t>
            </w:r>
          </w:p>
          <w:p w14:paraId="72283CC4" w14:textId="77777777" w:rsidR="00B86E36" w:rsidRPr="003A6407" w:rsidRDefault="00B86E36" w:rsidP="00B256CA">
            <w:pPr>
              <w:spacing w:before="60" w:after="60" w:line="240" w:lineRule="auto"/>
              <w:jc w:val="both"/>
            </w:pPr>
          </w:p>
          <w:p w14:paraId="0CB02DA8"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5DD442A6" w14:textId="14DF82C7" w:rsidR="00B86E36" w:rsidRPr="003A6407" w:rsidRDefault="00B86E36" w:rsidP="00B256CA">
            <w:pPr>
              <w:spacing w:before="60" w:after="60" w:line="240" w:lineRule="auto"/>
              <w:jc w:val="both"/>
            </w:pPr>
            <w:r w:rsidRPr="003A6407">
              <w:t>•</w:t>
            </w:r>
            <w:r w:rsidRPr="003A6407">
              <w:rPr>
                <w:b/>
              </w:rPr>
              <w:t>ryzyko wzrostu cen</w:t>
            </w:r>
            <w:r w:rsidRPr="003A6407">
              <w:t xml:space="preserve"> </w:t>
            </w:r>
            <w:r w:rsidR="00EE0C5C">
              <w:t>–</w:t>
            </w:r>
            <w:r w:rsidRPr="003A6407">
              <w:t xml:space="preserve"> ryzyko związane ze wzrostem cen gazu, energii, materiałów, sprzętu i usług; ryzyko związane z poziomem inflacji; (istotność: poważna)</w:t>
            </w:r>
          </w:p>
          <w:p w14:paraId="330DB21F" w14:textId="2C536B71" w:rsidR="00B86E36" w:rsidRPr="003A6407" w:rsidRDefault="00B86E36" w:rsidP="00B256CA">
            <w:pPr>
              <w:spacing w:before="60" w:after="60" w:line="240" w:lineRule="auto"/>
              <w:jc w:val="both"/>
            </w:pPr>
            <w:r w:rsidRPr="003A6407">
              <w:t>•</w:t>
            </w:r>
            <w:r w:rsidRPr="003A6407">
              <w:rPr>
                <w:b/>
              </w:rPr>
              <w:t>ryzyko walutowe</w:t>
            </w:r>
            <w:r w:rsidRPr="003A6407">
              <w:t xml:space="preserve"> </w:t>
            </w:r>
            <w:r w:rsidR="00EE0C5C">
              <w:t>–</w:t>
            </w:r>
            <w:r w:rsidRPr="003A6407">
              <w:t xml:space="preserve">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F77249B"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08C423E1" w14:textId="3F2F67D4" w:rsidR="00B86E36" w:rsidRPr="003A6407" w:rsidRDefault="00B86E36" w:rsidP="00B256CA">
            <w:pPr>
              <w:spacing w:before="60" w:after="60" w:line="240" w:lineRule="auto"/>
              <w:jc w:val="both"/>
            </w:pPr>
            <w:r w:rsidRPr="003A6407">
              <w:t>•</w:t>
            </w:r>
            <w:r w:rsidRPr="003A6407">
              <w:rPr>
                <w:b/>
                <w:bCs/>
              </w:rPr>
              <w:t>czynniki które mogą wpłynąć na harmonogram realizacji planów działania dot. spełnienia warunków podstawowych,</w:t>
            </w:r>
            <w:r w:rsidRPr="003A6407">
              <w:t xml:space="preserve"> a które są poza kompetencjami </w:t>
            </w:r>
            <w:r w:rsidR="00EE0C5C">
              <w:t>NP.</w:t>
            </w:r>
            <w:r w:rsidRPr="003A6407">
              <w:t xml:space="preserve"> oraz instytucji odpowiedzialnych za spełnienie tych warunków; (istotność: poważna)</w:t>
            </w:r>
          </w:p>
          <w:p w14:paraId="67A132D9"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poważna)</w:t>
            </w:r>
          </w:p>
          <w:p w14:paraId="2E288CF2" w14:textId="15333436" w:rsidR="00B86E36" w:rsidRPr="003A6407" w:rsidRDefault="00B86E36" w:rsidP="00B256CA">
            <w:pPr>
              <w:spacing w:before="60" w:after="60" w:line="240" w:lineRule="auto"/>
              <w:jc w:val="both"/>
              <w:rPr>
                <w:b/>
              </w:rPr>
            </w:pPr>
            <w:r w:rsidRPr="003A6407">
              <w:rPr>
                <w:b/>
              </w:rPr>
              <w:t xml:space="preserve">•opóźnienia, </w:t>
            </w:r>
            <w:r w:rsidRPr="003A6407">
              <w:rPr>
                <w:bCs/>
              </w:rPr>
              <w:t xml:space="preserve">bądź niewykonanie projektu związane z brakiem wykonawców, sezonowością prac </w:t>
            </w:r>
            <w:r w:rsidR="00EE0C5C">
              <w:rPr>
                <w:bCs/>
              </w:rPr>
              <w:t>np</w:t>
            </w:r>
            <w:r w:rsidRPr="003A6407">
              <w:rPr>
                <w:bCs/>
              </w:rPr>
              <w:t>.; (istotność: poważna)</w:t>
            </w:r>
          </w:p>
          <w:p w14:paraId="64B3D8C8"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62906BB0"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możliwość terminowego pozyskiwania zgód i pozwoleń administracyjnych (istotność: umiarkowana)</w:t>
            </w:r>
          </w:p>
          <w:p w14:paraId="76281C8C" w14:textId="18FB5AA1" w:rsidR="00B86E36" w:rsidRPr="003A6407" w:rsidRDefault="00B86E36" w:rsidP="00B256CA">
            <w:pPr>
              <w:spacing w:before="60" w:after="60" w:line="240" w:lineRule="auto"/>
              <w:jc w:val="both"/>
            </w:pPr>
            <w:r w:rsidRPr="003A6407">
              <w:rPr>
                <w:b/>
              </w:rPr>
              <w:t>•</w:t>
            </w:r>
            <w:r w:rsidRPr="003A6407">
              <w:rPr>
                <w:b/>
                <w:bCs/>
              </w:rPr>
              <w:t xml:space="preserve">nakładanie się wsparcia z innych instrumentów </w:t>
            </w:r>
            <w:r w:rsidR="00EE0C5C">
              <w:t>np</w:t>
            </w:r>
            <w:r w:rsidRPr="003A6407">
              <w:t>. programów krajowych lub finansowanych ze środków krajowych (istotność: umiarkowana)</w:t>
            </w:r>
            <w:r w:rsidR="00446E18" w:rsidRPr="003A6407">
              <w:t>.</w:t>
            </w:r>
          </w:p>
          <w:p w14:paraId="00D0C5EA" w14:textId="77777777" w:rsidR="00442FFF" w:rsidRPr="003A6407" w:rsidRDefault="00442FFF" w:rsidP="00446E18">
            <w:pPr>
              <w:spacing w:before="60" w:after="60" w:line="240" w:lineRule="auto"/>
              <w:jc w:val="both"/>
              <w:rPr>
                <w:b/>
              </w:rPr>
            </w:pPr>
          </w:p>
          <w:p w14:paraId="78A9F106" w14:textId="2EE77719" w:rsidR="00446E18" w:rsidRPr="003A6407" w:rsidRDefault="00442FFF" w:rsidP="00446E18">
            <w:pPr>
              <w:spacing w:before="60" w:after="60" w:line="240" w:lineRule="auto"/>
              <w:jc w:val="both"/>
              <w:rPr>
                <w:b/>
              </w:rPr>
            </w:pPr>
            <w:r w:rsidRPr="003A6407">
              <w:rPr>
                <w:b/>
              </w:rPr>
              <w:t>Uzasadnienie dla celu pośredniego:</w:t>
            </w:r>
          </w:p>
          <w:p w14:paraId="518C21CA" w14:textId="2B1536DE" w:rsidR="00446E18" w:rsidRPr="003A6407" w:rsidRDefault="00446E18" w:rsidP="00446E18">
            <w:pPr>
              <w:spacing w:before="60" w:after="60" w:line="240" w:lineRule="auto"/>
              <w:jc w:val="both"/>
              <w:rPr>
                <w:b/>
              </w:rPr>
            </w:pPr>
            <w:r w:rsidRPr="003A6407">
              <w:rPr>
                <w:b/>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4c), na podstawie Sprawozdania rocznego z 2021 r. </w:t>
            </w:r>
            <w:r w:rsidR="000D2A3D">
              <w:rPr>
                <w:b/>
              </w:rPr>
              <w:t>:</w:t>
            </w:r>
          </w:p>
          <w:p w14:paraId="50FDBCA2" w14:textId="7F8B5479" w:rsidR="00446E18" w:rsidRPr="003A6407" w:rsidRDefault="00446E18" w:rsidP="00446E18">
            <w:pPr>
              <w:spacing w:before="60" w:after="60" w:line="240" w:lineRule="auto"/>
              <w:jc w:val="both"/>
              <w:rPr>
                <w:b/>
              </w:rPr>
            </w:pPr>
            <w:r w:rsidRPr="003A6407">
              <w:rPr>
                <w:b/>
              </w:rPr>
              <w:t>Liczba gospodarstw domowych z lepszą klasą zużycia energii (CI 31) dopiero w 2017 r. osiągnął wartość 31</w:t>
            </w:r>
            <w:r w:rsidR="002E4F60">
              <w:rPr>
                <w:b/>
              </w:rPr>
              <w:t xml:space="preserve"> szt.</w:t>
            </w:r>
            <w:r w:rsidRPr="003A6407">
              <w:rPr>
                <w:b/>
              </w:rPr>
              <w:t xml:space="preserve">, co wobec wartości z wykonania na 2021 r. (11 </w:t>
            </w:r>
            <w:r w:rsidR="002E4F60">
              <w:rPr>
                <w:b/>
              </w:rPr>
              <w:t>245</w:t>
            </w:r>
            <w:r w:rsidRPr="003A6407">
              <w:rPr>
                <w:b/>
              </w:rPr>
              <w:t>) stanowi zaledwie 0,3%.</w:t>
            </w:r>
          </w:p>
          <w:p w14:paraId="59802284" w14:textId="347787FD" w:rsidR="00446E18" w:rsidRPr="003A6407" w:rsidRDefault="00446E18" w:rsidP="00446E18">
            <w:pPr>
              <w:spacing w:before="60" w:after="60" w:line="240" w:lineRule="auto"/>
              <w:jc w:val="both"/>
              <w:rPr>
                <w:b/>
              </w:rPr>
            </w:pPr>
            <w:r w:rsidRPr="003A6407">
              <w:rPr>
                <w:b/>
              </w:rPr>
              <w:t>Mając na uwadze, że 2017 r. był już czwartym rokiem wdrażania programu RPO WD 2014-2020, a rok 2024 będzie de facto dopiero drugim rokiem wdrażania FEDS, wartość pośrednią dla tego wskaźnika ustalono jako 0.</w:t>
            </w:r>
          </w:p>
        </w:tc>
      </w:tr>
    </w:tbl>
    <w:p w14:paraId="0CEDB1E9" w14:textId="77777777" w:rsidR="00B86E36" w:rsidRPr="003A6407" w:rsidRDefault="00B86E36" w:rsidP="00A462B1">
      <w:pPr>
        <w:pStyle w:val="Nagwek2"/>
        <w:spacing w:after="200"/>
      </w:pPr>
    </w:p>
    <w:p w14:paraId="15CEE9D9" w14:textId="77777777" w:rsidR="00B86E36" w:rsidRPr="003A6407" w:rsidRDefault="00B86E36" w:rsidP="00A462B1">
      <w:pPr>
        <w:pStyle w:val="Nagwek2"/>
        <w:spacing w:after="200"/>
      </w:pPr>
      <w:bookmarkStart w:id="119" w:name="_Toc120464386"/>
      <w:r w:rsidRPr="003A6407">
        <w:t>Wskaźniki rezultatu</w:t>
      </w:r>
      <w:bookmarkEnd w:id="119"/>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844"/>
        <w:gridCol w:w="844"/>
        <w:gridCol w:w="739"/>
        <w:gridCol w:w="737"/>
        <w:gridCol w:w="736"/>
      </w:tblGrid>
      <w:tr w:rsidR="00191FE2" w:rsidRPr="003A6407" w14:paraId="4A4FBF8E" w14:textId="77777777" w:rsidTr="00AD1DFA">
        <w:trPr>
          <w:cantSplit/>
          <w:trHeight w:val="1647"/>
        </w:trPr>
        <w:tc>
          <w:tcPr>
            <w:tcW w:w="338" w:type="pct"/>
            <w:vAlign w:val="center"/>
          </w:tcPr>
          <w:p w14:paraId="3DEDF822"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CP 2</w:t>
            </w:r>
          </w:p>
          <w:p w14:paraId="6D550312" w14:textId="59ED3AE5"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367" w:type="pct"/>
            <w:vAlign w:val="center"/>
          </w:tcPr>
          <w:p w14:paraId="7163B7C2"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415" w:type="pct"/>
            <w:vAlign w:val="center"/>
          </w:tcPr>
          <w:p w14:paraId="198D6ED0"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268" w:type="pct"/>
            <w:textDirection w:val="btLr"/>
            <w:vAlign w:val="center"/>
          </w:tcPr>
          <w:p w14:paraId="61E0D33D"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050" w:type="pct"/>
            <w:shd w:val="clear" w:color="auto" w:fill="auto"/>
            <w:vAlign w:val="center"/>
          </w:tcPr>
          <w:p w14:paraId="0914B56A" w14:textId="7CF93D8D"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409" w:type="pct"/>
            <w:textDirection w:val="btLr"/>
            <w:vAlign w:val="center"/>
          </w:tcPr>
          <w:p w14:paraId="7A804659"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Jednostka miary</w:t>
            </w:r>
          </w:p>
        </w:tc>
        <w:tc>
          <w:tcPr>
            <w:tcW w:w="466" w:type="pct"/>
            <w:textDirection w:val="btLr"/>
            <w:vAlign w:val="center"/>
          </w:tcPr>
          <w:p w14:paraId="2617AFEE"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Wartość bazowa lub wartość odniesienia</w:t>
            </w:r>
          </w:p>
        </w:tc>
        <w:tc>
          <w:tcPr>
            <w:tcW w:w="466" w:type="pct"/>
            <w:textDirection w:val="btLr"/>
            <w:vAlign w:val="center"/>
          </w:tcPr>
          <w:p w14:paraId="75C51101"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Rok referencyjny</w:t>
            </w:r>
          </w:p>
        </w:tc>
        <w:tc>
          <w:tcPr>
            <w:tcW w:w="408" w:type="pct"/>
            <w:shd w:val="clear" w:color="auto" w:fill="auto"/>
            <w:vAlign w:val="center"/>
          </w:tcPr>
          <w:p w14:paraId="242A4183" w14:textId="77777777" w:rsidR="00B86E36" w:rsidRPr="003A6407" w:rsidRDefault="00B86E36"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041FF2AB" w14:textId="77777777" w:rsidR="00B86E36" w:rsidRPr="003A6407" w:rsidRDefault="00B86E36" w:rsidP="00AD1DFA">
            <w:pPr>
              <w:spacing w:before="120" w:after="120" w:line="240" w:lineRule="auto"/>
              <w:jc w:val="center"/>
              <w:rPr>
                <w:b/>
                <w:noProof/>
                <w:sz w:val="16"/>
                <w:szCs w:val="16"/>
              </w:rPr>
            </w:pPr>
          </w:p>
        </w:tc>
        <w:tc>
          <w:tcPr>
            <w:tcW w:w="407" w:type="pct"/>
            <w:shd w:val="clear" w:color="auto" w:fill="auto"/>
            <w:vAlign w:val="center"/>
          </w:tcPr>
          <w:p w14:paraId="58AD46D0" w14:textId="77777777" w:rsidR="00B86E36" w:rsidRPr="003A6407" w:rsidRDefault="00B86E36" w:rsidP="00AD1DFA">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406" w:type="pct"/>
            <w:vAlign w:val="center"/>
          </w:tcPr>
          <w:p w14:paraId="0A82785A" w14:textId="77777777" w:rsidR="00B86E36" w:rsidRPr="003A6407" w:rsidRDefault="00B86E36" w:rsidP="00AD1DFA">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191FE2" w:rsidRPr="003A6407" w14:paraId="0A5F5290" w14:textId="77777777" w:rsidTr="00AD1DFA">
        <w:trPr>
          <w:trHeight w:val="340"/>
        </w:trPr>
        <w:tc>
          <w:tcPr>
            <w:tcW w:w="338" w:type="pct"/>
            <w:vAlign w:val="center"/>
          </w:tcPr>
          <w:p w14:paraId="29E0CBA2" w14:textId="77777777" w:rsidR="00B86E36" w:rsidRDefault="00B86E36" w:rsidP="00AD1DFA">
            <w:pPr>
              <w:spacing w:before="120" w:after="120" w:line="240" w:lineRule="auto"/>
              <w:jc w:val="center"/>
              <w:rPr>
                <w:noProof/>
                <w:sz w:val="16"/>
                <w:szCs w:val="16"/>
              </w:rPr>
            </w:pPr>
            <w:r w:rsidRPr="003A6407">
              <w:rPr>
                <w:noProof/>
                <w:sz w:val="16"/>
                <w:szCs w:val="16"/>
              </w:rPr>
              <w:lastRenderedPageBreak/>
              <w:t>2 (i)</w:t>
            </w:r>
          </w:p>
          <w:p w14:paraId="70748087" w14:textId="786327FB" w:rsidR="00980C2E" w:rsidRPr="003A6407" w:rsidRDefault="00980C2E" w:rsidP="00AD1DFA">
            <w:pPr>
              <w:spacing w:before="120" w:after="120" w:line="240" w:lineRule="auto"/>
              <w:jc w:val="center"/>
              <w:rPr>
                <w:noProof/>
                <w:sz w:val="16"/>
                <w:szCs w:val="16"/>
              </w:rPr>
            </w:pPr>
            <w:r>
              <w:rPr>
                <w:noProof/>
                <w:sz w:val="16"/>
                <w:szCs w:val="16"/>
              </w:rPr>
              <w:t>2.1</w:t>
            </w:r>
          </w:p>
        </w:tc>
        <w:tc>
          <w:tcPr>
            <w:tcW w:w="367" w:type="pct"/>
            <w:vAlign w:val="center"/>
          </w:tcPr>
          <w:p w14:paraId="4073A1FF"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415" w:type="pct"/>
            <w:vAlign w:val="center"/>
          </w:tcPr>
          <w:p w14:paraId="2F1A7D4B"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268" w:type="pct"/>
            <w:vAlign w:val="center"/>
          </w:tcPr>
          <w:p w14:paraId="26456EEE" w14:textId="1F34942E" w:rsidR="00B86E36" w:rsidRPr="003A6407" w:rsidRDefault="00B86E36" w:rsidP="00AD1DFA">
            <w:pPr>
              <w:spacing w:before="120" w:after="120" w:line="240" w:lineRule="auto"/>
              <w:jc w:val="center"/>
              <w:rPr>
                <w:noProof/>
                <w:sz w:val="16"/>
                <w:szCs w:val="16"/>
              </w:rPr>
            </w:pPr>
            <w:r w:rsidRPr="003A6407">
              <w:rPr>
                <w:noProof/>
                <w:sz w:val="16"/>
                <w:szCs w:val="16"/>
              </w:rPr>
              <w:t>RCR26</w:t>
            </w:r>
          </w:p>
        </w:tc>
        <w:tc>
          <w:tcPr>
            <w:tcW w:w="1050" w:type="pct"/>
            <w:shd w:val="clear" w:color="auto" w:fill="auto"/>
            <w:vAlign w:val="center"/>
          </w:tcPr>
          <w:p w14:paraId="50BD5B47" w14:textId="77777777" w:rsidR="00B86E36" w:rsidRPr="003A6407" w:rsidRDefault="00B86E36" w:rsidP="00AD1DFA">
            <w:pPr>
              <w:keepNext/>
              <w:keepLines/>
              <w:spacing w:before="200" w:after="0"/>
              <w:jc w:val="center"/>
              <w:outlineLvl w:val="2"/>
              <w:rPr>
                <w:rFonts w:asciiTheme="minorHAnsi" w:eastAsia="Times New Roman" w:hAnsiTheme="minorHAnsi" w:cstheme="minorHAnsi"/>
                <w:bCs/>
                <w:noProof/>
                <w:sz w:val="16"/>
                <w:szCs w:val="16"/>
              </w:rPr>
            </w:pPr>
            <w:bookmarkStart w:id="120" w:name="_Toc97792251"/>
            <w:bookmarkStart w:id="121" w:name="_Toc120464387"/>
            <w:r w:rsidRPr="003A6407">
              <w:rPr>
                <w:rFonts w:asciiTheme="minorHAnsi" w:eastAsia="Times New Roman" w:hAnsiTheme="minorHAnsi" w:cstheme="minorHAnsi"/>
                <w:bCs/>
                <w:noProof/>
                <w:sz w:val="16"/>
                <w:szCs w:val="16"/>
              </w:rPr>
              <w:t>Roczne zużycie energii pierwotnej (w tym: w lokalach mieszkalnych, budynkach publicznych, przedsiębiorstwach, innych)</w:t>
            </w:r>
            <w:bookmarkEnd w:id="120"/>
            <w:bookmarkEnd w:id="121"/>
          </w:p>
        </w:tc>
        <w:tc>
          <w:tcPr>
            <w:tcW w:w="409" w:type="pct"/>
            <w:vAlign w:val="center"/>
          </w:tcPr>
          <w:p w14:paraId="0B63A330" w14:textId="77777777" w:rsidR="00B86E36" w:rsidRPr="003A6407" w:rsidRDefault="00B86E36" w:rsidP="00AD1DFA">
            <w:pPr>
              <w:spacing w:before="120" w:after="120" w:line="240" w:lineRule="auto"/>
              <w:jc w:val="center"/>
              <w:rPr>
                <w:noProof/>
                <w:sz w:val="16"/>
                <w:szCs w:val="16"/>
              </w:rPr>
            </w:pPr>
            <w:r w:rsidRPr="003A6407">
              <w:rPr>
                <w:noProof/>
                <w:sz w:val="16"/>
                <w:szCs w:val="16"/>
              </w:rPr>
              <w:t>MWh/rok</w:t>
            </w:r>
          </w:p>
        </w:tc>
        <w:tc>
          <w:tcPr>
            <w:tcW w:w="466" w:type="pct"/>
            <w:vAlign w:val="center"/>
          </w:tcPr>
          <w:p w14:paraId="08782D9A" w14:textId="6C17F8FC" w:rsidR="00B86E36" w:rsidRPr="003A6407" w:rsidRDefault="00E26258" w:rsidP="00AD1DFA">
            <w:pPr>
              <w:spacing w:before="120" w:after="120" w:line="240" w:lineRule="auto"/>
              <w:jc w:val="center"/>
              <w:rPr>
                <w:noProof/>
                <w:sz w:val="16"/>
                <w:szCs w:val="16"/>
              </w:rPr>
            </w:pPr>
            <w:r>
              <w:rPr>
                <w:noProof/>
                <w:sz w:val="16"/>
                <w:szCs w:val="16"/>
              </w:rPr>
              <w:t>75 472,00</w:t>
            </w:r>
          </w:p>
        </w:tc>
        <w:tc>
          <w:tcPr>
            <w:tcW w:w="466" w:type="pct"/>
            <w:shd w:val="clear" w:color="auto" w:fill="auto"/>
            <w:vAlign w:val="center"/>
          </w:tcPr>
          <w:p w14:paraId="057A132A" w14:textId="227E3AB8" w:rsidR="00B86E36" w:rsidRPr="003A6407" w:rsidRDefault="00E26258" w:rsidP="00AD1DFA">
            <w:pPr>
              <w:spacing w:before="120" w:after="120" w:line="240" w:lineRule="auto"/>
              <w:jc w:val="center"/>
              <w:rPr>
                <w:noProof/>
                <w:sz w:val="16"/>
                <w:szCs w:val="16"/>
              </w:rPr>
            </w:pPr>
            <w:r>
              <w:rPr>
                <w:noProof/>
                <w:sz w:val="16"/>
                <w:szCs w:val="16"/>
              </w:rPr>
              <w:t>2023</w:t>
            </w:r>
          </w:p>
        </w:tc>
        <w:tc>
          <w:tcPr>
            <w:tcW w:w="408" w:type="pct"/>
            <w:shd w:val="clear" w:color="auto" w:fill="auto"/>
            <w:vAlign w:val="center"/>
          </w:tcPr>
          <w:p w14:paraId="373DD7CC" w14:textId="37CC5531" w:rsidR="00B86E36" w:rsidRPr="003A6407" w:rsidRDefault="00E26258" w:rsidP="00AD1DFA">
            <w:pPr>
              <w:spacing w:before="120" w:after="120" w:line="240" w:lineRule="auto"/>
              <w:jc w:val="center"/>
              <w:rPr>
                <w:noProof/>
                <w:sz w:val="16"/>
                <w:szCs w:val="16"/>
              </w:rPr>
            </w:pPr>
            <w:r>
              <w:rPr>
                <w:noProof/>
                <w:sz w:val="16"/>
                <w:szCs w:val="16"/>
              </w:rPr>
              <w:t>52 830,00</w:t>
            </w:r>
          </w:p>
        </w:tc>
        <w:tc>
          <w:tcPr>
            <w:tcW w:w="407" w:type="pct"/>
            <w:vAlign w:val="center"/>
          </w:tcPr>
          <w:p w14:paraId="5A8C8706" w14:textId="40AA11C2" w:rsidR="00B86E36" w:rsidRPr="003A6407" w:rsidDel="009D4AE9" w:rsidRDefault="00890103" w:rsidP="00AD1DFA">
            <w:pPr>
              <w:spacing w:before="120" w:after="120" w:line="240" w:lineRule="auto"/>
              <w:jc w:val="center"/>
              <w:rPr>
                <w:noProof/>
                <w:sz w:val="16"/>
                <w:szCs w:val="16"/>
              </w:rPr>
            </w:pPr>
            <w:r w:rsidRPr="003A6407">
              <w:rPr>
                <w:noProof/>
                <w:sz w:val="16"/>
                <w:szCs w:val="16"/>
              </w:rPr>
              <w:t>SL</w:t>
            </w:r>
          </w:p>
        </w:tc>
        <w:tc>
          <w:tcPr>
            <w:tcW w:w="406" w:type="pct"/>
            <w:vAlign w:val="center"/>
          </w:tcPr>
          <w:p w14:paraId="5C24C9D2" w14:textId="77777777" w:rsidR="00B86E36" w:rsidRPr="003A6407" w:rsidDel="009D4AE9" w:rsidRDefault="00B86E36" w:rsidP="00AD1DFA">
            <w:pPr>
              <w:spacing w:before="120" w:after="120" w:line="240" w:lineRule="auto"/>
              <w:jc w:val="center"/>
              <w:rPr>
                <w:noProof/>
                <w:sz w:val="16"/>
                <w:szCs w:val="16"/>
              </w:rPr>
            </w:pPr>
          </w:p>
        </w:tc>
      </w:tr>
      <w:tr w:rsidR="00B86E36" w:rsidRPr="003A6407" w14:paraId="68EDE57C" w14:textId="77777777" w:rsidTr="00175EA5">
        <w:trPr>
          <w:trHeight w:val="340"/>
        </w:trPr>
        <w:tc>
          <w:tcPr>
            <w:tcW w:w="5000" w:type="pct"/>
            <w:gridSpan w:val="11"/>
          </w:tcPr>
          <w:p w14:paraId="05EF068E" w14:textId="77777777" w:rsidR="00B86E36" w:rsidRPr="003A6407" w:rsidRDefault="00B86E36" w:rsidP="00B256CA">
            <w:pPr>
              <w:spacing w:before="60" w:after="60" w:line="240" w:lineRule="auto"/>
              <w:jc w:val="both"/>
            </w:pPr>
          </w:p>
          <w:p w14:paraId="3DDB1774" w14:textId="6CD56155" w:rsidR="00B86E36" w:rsidRDefault="00B86E36" w:rsidP="00B256CA">
            <w:pPr>
              <w:spacing w:before="60" w:after="60" w:line="240" w:lineRule="auto"/>
              <w:jc w:val="both"/>
            </w:pPr>
            <w:r w:rsidRPr="003A6407">
              <w:t>Metodologia:</w:t>
            </w:r>
          </w:p>
          <w:p w14:paraId="1CB268A6" w14:textId="77777777" w:rsidR="00E26258" w:rsidRDefault="00E26258" w:rsidP="00E26258">
            <w:pPr>
              <w:spacing w:before="60" w:after="60" w:line="240" w:lineRule="auto"/>
              <w:jc w:val="both"/>
            </w:pPr>
          </w:p>
          <w:p w14:paraId="0F2C6785" w14:textId="711D844B" w:rsidR="00E26258" w:rsidRDefault="00E26258" w:rsidP="00E26258">
            <w:pPr>
              <w:spacing w:before="60" w:after="60" w:line="240" w:lineRule="auto"/>
              <w:jc w:val="both"/>
            </w:pPr>
            <w:r>
              <w:t xml:space="preserve">Wartość bazowa została zaczerpnięta na podstawie wdrażania wskaźnika z RPO WD 2014-2020 „Zmniejszenie rocznego zużycia energii pierwotnej w budynkach publicznych (CI 32)” – wartość końcowa dla 2023 r. wynosi 75 471 865 kWh/rok, czyli </w:t>
            </w:r>
            <w:r w:rsidRPr="00E26258">
              <w:t>75</w:t>
            </w:r>
            <w:r>
              <w:t> </w:t>
            </w:r>
            <w:r w:rsidRPr="00E26258">
              <w:t>47</w:t>
            </w:r>
            <w:r>
              <w:t>2 MWh/rok.</w:t>
            </w:r>
          </w:p>
          <w:p w14:paraId="358C1FD3" w14:textId="5E6D7F9B" w:rsidR="00E26258" w:rsidRDefault="00E26258" w:rsidP="00E26258">
            <w:pPr>
              <w:spacing w:before="60" w:after="60" w:line="240" w:lineRule="auto"/>
              <w:jc w:val="both"/>
            </w:pPr>
            <w:r>
              <w:t xml:space="preserve">Wyliczenia wartości docelowej: </w:t>
            </w:r>
          </w:p>
          <w:p w14:paraId="5103FCEE" w14:textId="42AEC375" w:rsidR="003701D5" w:rsidRDefault="00E26258" w:rsidP="00E26258">
            <w:pPr>
              <w:spacing w:before="60" w:after="60" w:line="240" w:lineRule="auto"/>
              <w:jc w:val="both"/>
            </w:pPr>
            <w:r>
              <w:t>W związku z wymaganiami nałożonymi na tego typu inwestycje określono wartość docelową zmniejszając wartość bazową o 30% (zgodnie z wymogami określonymi w UP)</w:t>
            </w:r>
          </w:p>
          <w:p w14:paraId="458D3645" w14:textId="5C2D6001" w:rsidR="00E26258" w:rsidRDefault="00E26258" w:rsidP="00E26258">
            <w:pPr>
              <w:spacing w:before="60" w:after="60" w:line="240" w:lineRule="auto"/>
              <w:jc w:val="both"/>
            </w:pPr>
            <w:r>
              <w:t xml:space="preserve">75 472 – 22 641,6 = </w:t>
            </w:r>
            <w:r w:rsidRPr="00E26258">
              <w:t>52 830,4</w:t>
            </w:r>
          </w:p>
          <w:p w14:paraId="2D5675B1" w14:textId="4F789C55" w:rsidR="00442FFF" w:rsidRPr="003A6407" w:rsidRDefault="00442FFF" w:rsidP="00442FFF">
            <w:pPr>
              <w:spacing w:before="60" w:after="60" w:line="240" w:lineRule="auto"/>
              <w:jc w:val="both"/>
            </w:pPr>
          </w:p>
        </w:tc>
      </w:tr>
    </w:tbl>
    <w:p w14:paraId="0989AC41" w14:textId="77777777" w:rsidR="00B86E36" w:rsidRPr="003A6407" w:rsidRDefault="00B86E36" w:rsidP="00B256CA">
      <w:pPr>
        <w:keepNext/>
        <w:keepLines/>
        <w:spacing w:before="120" w:after="120"/>
        <w:jc w:val="both"/>
        <w:outlineLvl w:val="2"/>
        <w:rPr>
          <w:rFonts w:eastAsiaTheme="majorEastAsia" w:cstheme="majorBidi"/>
          <w:b/>
          <w:bCs/>
          <w:color w:val="4F81BD" w:themeColor="accent1"/>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844"/>
        <w:gridCol w:w="844"/>
        <w:gridCol w:w="739"/>
        <w:gridCol w:w="737"/>
        <w:gridCol w:w="736"/>
      </w:tblGrid>
      <w:tr w:rsidR="00191FE2" w:rsidRPr="003A6407" w14:paraId="4BD74E56" w14:textId="77777777" w:rsidTr="00AD1DFA">
        <w:trPr>
          <w:cantSplit/>
          <w:trHeight w:val="1799"/>
        </w:trPr>
        <w:tc>
          <w:tcPr>
            <w:tcW w:w="338" w:type="pct"/>
            <w:vAlign w:val="center"/>
          </w:tcPr>
          <w:p w14:paraId="01A1E3CD"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CP 2</w:t>
            </w:r>
          </w:p>
          <w:p w14:paraId="3AACED10" w14:textId="646B1131"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367" w:type="pct"/>
            <w:vAlign w:val="center"/>
          </w:tcPr>
          <w:p w14:paraId="170F647F"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415" w:type="pct"/>
            <w:vAlign w:val="center"/>
          </w:tcPr>
          <w:p w14:paraId="448F075F"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268" w:type="pct"/>
            <w:textDirection w:val="btLr"/>
            <w:vAlign w:val="center"/>
          </w:tcPr>
          <w:p w14:paraId="3E1A99EF"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050" w:type="pct"/>
            <w:shd w:val="clear" w:color="auto" w:fill="auto"/>
            <w:vAlign w:val="center"/>
          </w:tcPr>
          <w:p w14:paraId="1D90382C" w14:textId="7A7F684D"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409" w:type="pct"/>
            <w:textDirection w:val="btLr"/>
            <w:vAlign w:val="center"/>
          </w:tcPr>
          <w:p w14:paraId="40C7BB5D"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Jednostka miary</w:t>
            </w:r>
          </w:p>
        </w:tc>
        <w:tc>
          <w:tcPr>
            <w:tcW w:w="466" w:type="pct"/>
            <w:textDirection w:val="btLr"/>
            <w:vAlign w:val="center"/>
          </w:tcPr>
          <w:p w14:paraId="496BAE49"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Wartość bazowa lub wartość odniesienia</w:t>
            </w:r>
          </w:p>
        </w:tc>
        <w:tc>
          <w:tcPr>
            <w:tcW w:w="466" w:type="pct"/>
            <w:textDirection w:val="btLr"/>
            <w:vAlign w:val="center"/>
          </w:tcPr>
          <w:p w14:paraId="4309F5A5"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Rok referencyjny</w:t>
            </w:r>
          </w:p>
        </w:tc>
        <w:tc>
          <w:tcPr>
            <w:tcW w:w="408" w:type="pct"/>
            <w:shd w:val="clear" w:color="auto" w:fill="auto"/>
            <w:vAlign w:val="center"/>
          </w:tcPr>
          <w:p w14:paraId="70218D96" w14:textId="77777777" w:rsidR="00B86E36" w:rsidRPr="003A6407" w:rsidRDefault="00B86E36"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52419ABE" w14:textId="77777777" w:rsidR="00B86E36" w:rsidRPr="003A6407" w:rsidRDefault="00B86E36" w:rsidP="00AD1DFA">
            <w:pPr>
              <w:spacing w:before="120" w:after="120" w:line="240" w:lineRule="auto"/>
              <w:jc w:val="center"/>
              <w:rPr>
                <w:b/>
                <w:noProof/>
                <w:sz w:val="16"/>
                <w:szCs w:val="16"/>
              </w:rPr>
            </w:pPr>
          </w:p>
        </w:tc>
        <w:tc>
          <w:tcPr>
            <w:tcW w:w="407" w:type="pct"/>
            <w:shd w:val="clear" w:color="auto" w:fill="auto"/>
            <w:vAlign w:val="center"/>
          </w:tcPr>
          <w:p w14:paraId="39DA508D" w14:textId="77777777" w:rsidR="00B86E36" w:rsidRPr="003A6407" w:rsidRDefault="00B86E36" w:rsidP="00AD1DFA">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406" w:type="pct"/>
            <w:vAlign w:val="center"/>
          </w:tcPr>
          <w:p w14:paraId="07510FC9" w14:textId="77777777" w:rsidR="00B86E36" w:rsidRPr="003A6407" w:rsidRDefault="00B86E36" w:rsidP="00AD1DFA">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191FE2" w:rsidRPr="003A6407" w14:paraId="51F0DBD6" w14:textId="77777777" w:rsidTr="00AD1DFA">
        <w:trPr>
          <w:trHeight w:val="340"/>
        </w:trPr>
        <w:tc>
          <w:tcPr>
            <w:tcW w:w="338" w:type="pct"/>
            <w:vAlign w:val="center"/>
          </w:tcPr>
          <w:p w14:paraId="1F011573" w14:textId="77777777" w:rsidR="00B86E36" w:rsidRDefault="00B86E36" w:rsidP="00AD1DFA">
            <w:pPr>
              <w:spacing w:before="120" w:after="120" w:line="240" w:lineRule="auto"/>
              <w:jc w:val="center"/>
              <w:rPr>
                <w:noProof/>
                <w:sz w:val="16"/>
                <w:szCs w:val="16"/>
              </w:rPr>
            </w:pPr>
            <w:r w:rsidRPr="003A6407">
              <w:rPr>
                <w:noProof/>
                <w:sz w:val="16"/>
                <w:szCs w:val="16"/>
              </w:rPr>
              <w:t>2 (i)</w:t>
            </w:r>
          </w:p>
          <w:p w14:paraId="1DE51B8D" w14:textId="6A2B4D24" w:rsidR="00980C2E" w:rsidRPr="003A6407" w:rsidRDefault="00980C2E" w:rsidP="00AD1DFA">
            <w:pPr>
              <w:spacing w:before="120" w:after="120" w:line="240" w:lineRule="auto"/>
              <w:jc w:val="center"/>
              <w:rPr>
                <w:noProof/>
                <w:sz w:val="16"/>
                <w:szCs w:val="16"/>
              </w:rPr>
            </w:pPr>
            <w:r>
              <w:rPr>
                <w:noProof/>
                <w:sz w:val="16"/>
                <w:szCs w:val="16"/>
              </w:rPr>
              <w:t>2.1</w:t>
            </w:r>
          </w:p>
        </w:tc>
        <w:tc>
          <w:tcPr>
            <w:tcW w:w="367" w:type="pct"/>
            <w:vAlign w:val="center"/>
          </w:tcPr>
          <w:p w14:paraId="795EAFAF"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415" w:type="pct"/>
            <w:vAlign w:val="center"/>
          </w:tcPr>
          <w:p w14:paraId="4086C702"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268" w:type="pct"/>
            <w:vAlign w:val="center"/>
          </w:tcPr>
          <w:p w14:paraId="0D8D6A13" w14:textId="3F256F38" w:rsidR="00B86E36" w:rsidRPr="003A6407" w:rsidRDefault="00B86E36" w:rsidP="00AD1DFA">
            <w:pPr>
              <w:spacing w:before="120" w:after="120" w:line="240" w:lineRule="auto"/>
              <w:jc w:val="center"/>
              <w:rPr>
                <w:noProof/>
                <w:sz w:val="16"/>
                <w:szCs w:val="16"/>
              </w:rPr>
            </w:pPr>
            <w:r w:rsidRPr="003A6407">
              <w:rPr>
                <w:noProof/>
                <w:sz w:val="16"/>
                <w:szCs w:val="16"/>
              </w:rPr>
              <w:t>RCR29</w:t>
            </w:r>
          </w:p>
        </w:tc>
        <w:tc>
          <w:tcPr>
            <w:tcW w:w="1050" w:type="pct"/>
            <w:shd w:val="clear" w:color="auto" w:fill="auto"/>
            <w:vAlign w:val="center"/>
          </w:tcPr>
          <w:p w14:paraId="052B2649" w14:textId="77777777" w:rsidR="00B86E36" w:rsidRPr="003A6407" w:rsidRDefault="00B86E36" w:rsidP="00AD1DFA">
            <w:pPr>
              <w:keepNext/>
              <w:keepLines/>
              <w:spacing w:before="200" w:after="0"/>
              <w:jc w:val="center"/>
              <w:outlineLvl w:val="2"/>
              <w:rPr>
                <w:rFonts w:eastAsiaTheme="majorEastAsia" w:cstheme="majorBidi"/>
                <w:b/>
                <w:bCs/>
                <w:noProof/>
                <w:sz w:val="16"/>
                <w:szCs w:val="16"/>
              </w:rPr>
            </w:pPr>
            <w:bookmarkStart w:id="122" w:name="_Toc97792252"/>
            <w:bookmarkStart w:id="123" w:name="_Toc120464388"/>
            <w:r w:rsidRPr="003A6407">
              <w:rPr>
                <w:rFonts w:asciiTheme="minorHAnsi" w:eastAsia="Times New Roman" w:hAnsiTheme="minorHAnsi" w:cstheme="minorHAnsi"/>
                <w:bCs/>
                <w:noProof/>
                <w:sz w:val="16"/>
                <w:szCs w:val="16"/>
              </w:rPr>
              <w:t>Szacowana emisja gazów cieplarnianych</w:t>
            </w:r>
            <w:bookmarkEnd w:id="122"/>
            <w:bookmarkEnd w:id="123"/>
          </w:p>
        </w:tc>
        <w:tc>
          <w:tcPr>
            <w:tcW w:w="409" w:type="pct"/>
            <w:vAlign w:val="center"/>
          </w:tcPr>
          <w:p w14:paraId="636867A7" w14:textId="1A288E43" w:rsidR="00B86E36" w:rsidRPr="003A6407" w:rsidRDefault="00F23267" w:rsidP="00AD1DFA">
            <w:pPr>
              <w:spacing w:before="120" w:after="120" w:line="240" w:lineRule="auto"/>
              <w:jc w:val="center"/>
              <w:rPr>
                <w:noProof/>
                <w:sz w:val="16"/>
                <w:szCs w:val="16"/>
              </w:rPr>
            </w:pPr>
            <w:r w:rsidRPr="003A6407">
              <w:rPr>
                <w:noProof/>
                <w:sz w:val="16"/>
                <w:szCs w:val="16"/>
              </w:rPr>
              <w:t xml:space="preserve">Tony </w:t>
            </w:r>
            <w:r>
              <w:rPr>
                <w:noProof/>
                <w:sz w:val="16"/>
                <w:szCs w:val="16"/>
              </w:rPr>
              <w:t>ekwiwalentu</w:t>
            </w:r>
            <w:r w:rsidRPr="003A6407">
              <w:rPr>
                <w:noProof/>
                <w:sz w:val="16"/>
                <w:szCs w:val="16"/>
              </w:rPr>
              <w:t xml:space="preserve"> CO2/rok</w:t>
            </w:r>
          </w:p>
        </w:tc>
        <w:tc>
          <w:tcPr>
            <w:tcW w:w="466" w:type="pct"/>
            <w:vAlign w:val="center"/>
          </w:tcPr>
          <w:p w14:paraId="375D6728" w14:textId="6781919C" w:rsidR="00B86E36" w:rsidRPr="003A6407" w:rsidRDefault="00F23267" w:rsidP="00AD1DFA">
            <w:pPr>
              <w:spacing w:before="120" w:after="120" w:line="240" w:lineRule="auto"/>
              <w:jc w:val="center"/>
              <w:rPr>
                <w:noProof/>
                <w:sz w:val="16"/>
                <w:szCs w:val="16"/>
              </w:rPr>
            </w:pPr>
            <w:r>
              <w:rPr>
                <w:noProof/>
                <w:sz w:val="16"/>
                <w:szCs w:val="16"/>
              </w:rPr>
              <w:t>72</w:t>
            </w:r>
            <w:r w:rsidR="00AD0EBA">
              <w:rPr>
                <w:noProof/>
                <w:sz w:val="16"/>
                <w:szCs w:val="16"/>
              </w:rPr>
              <w:t xml:space="preserve"> </w:t>
            </w:r>
            <w:r>
              <w:rPr>
                <w:noProof/>
                <w:sz w:val="16"/>
                <w:szCs w:val="16"/>
              </w:rPr>
              <w:t>642</w:t>
            </w:r>
          </w:p>
        </w:tc>
        <w:tc>
          <w:tcPr>
            <w:tcW w:w="466" w:type="pct"/>
            <w:shd w:val="clear" w:color="auto" w:fill="auto"/>
            <w:vAlign w:val="center"/>
          </w:tcPr>
          <w:p w14:paraId="154B3C2E" w14:textId="70BBEFAD" w:rsidR="00B86E36" w:rsidRPr="003A6407" w:rsidRDefault="00890103" w:rsidP="00AD1DFA">
            <w:pPr>
              <w:spacing w:before="120" w:after="120" w:line="240" w:lineRule="auto"/>
              <w:jc w:val="center"/>
              <w:rPr>
                <w:noProof/>
                <w:sz w:val="16"/>
                <w:szCs w:val="16"/>
              </w:rPr>
            </w:pPr>
            <w:r w:rsidRPr="003A6407">
              <w:rPr>
                <w:noProof/>
                <w:sz w:val="16"/>
                <w:szCs w:val="16"/>
              </w:rPr>
              <w:t>202</w:t>
            </w:r>
            <w:r w:rsidR="006D4251">
              <w:rPr>
                <w:noProof/>
                <w:sz w:val="16"/>
                <w:szCs w:val="16"/>
              </w:rPr>
              <w:t>0</w:t>
            </w:r>
          </w:p>
        </w:tc>
        <w:tc>
          <w:tcPr>
            <w:tcW w:w="408" w:type="pct"/>
            <w:shd w:val="clear" w:color="auto" w:fill="auto"/>
            <w:vAlign w:val="center"/>
          </w:tcPr>
          <w:p w14:paraId="0250719A" w14:textId="7E8702A0" w:rsidR="00B86E36" w:rsidRPr="003A6407" w:rsidRDefault="00F23267" w:rsidP="00AD1DFA">
            <w:pPr>
              <w:spacing w:before="120" w:after="120" w:line="240" w:lineRule="auto"/>
              <w:jc w:val="center"/>
              <w:rPr>
                <w:noProof/>
                <w:sz w:val="16"/>
                <w:szCs w:val="16"/>
              </w:rPr>
            </w:pPr>
            <w:r>
              <w:rPr>
                <w:noProof/>
                <w:sz w:val="16"/>
                <w:szCs w:val="16"/>
              </w:rPr>
              <w:t>50</w:t>
            </w:r>
            <w:r w:rsidR="00AD0EBA">
              <w:rPr>
                <w:noProof/>
                <w:sz w:val="16"/>
                <w:szCs w:val="16"/>
              </w:rPr>
              <w:t xml:space="preserve"> </w:t>
            </w:r>
            <w:r>
              <w:rPr>
                <w:noProof/>
                <w:sz w:val="16"/>
                <w:szCs w:val="16"/>
              </w:rPr>
              <w:t>849</w:t>
            </w:r>
          </w:p>
        </w:tc>
        <w:tc>
          <w:tcPr>
            <w:tcW w:w="407" w:type="pct"/>
            <w:vAlign w:val="center"/>
          </w:tcPr>
          <w:p w14:paraId="6322DFF5" w14:textId="356EAA34" w:rsidR="00B86E36" w:rsidRPr="003A6407" w:rsidDel="00A408F3" w:rsidRDefault="00890103" w:rsidP="00AD1DFA">
            <w:pPr>
              <w:spacing w:before="120" w:after="120" w:line="240" w:lineRule="auto"/>
              <w:jc w:val="center"/>
              <w:rPr>
                <w:noProof/>
                <w:sz w:val="16"/>
                <w:szCs w:val="16"/>
              </w:rPr>
            </w:pPr>
            <w:r w:rsidRPr="003A6407">
              <w:rPr>
                <w:noProof/>
                <w:sz w:val="16"/>
                <w:szCs w:val="16"/>
              </w:rPr>
              <w:t>SL</w:t>
            </w:r>
          </w:p>
        </w:tc>
        <w:tc>
          <w:tcPr>
            <w:tcW w:w="406" w:type="pct"/>
            <w:vAlign w:val="center"/>
          </w:tcPr>
          <w:p w14:paraId="4BF6B0FE" w14:textId="77777777" w:rsidR="00B86E36" w:rsidRPr="003A6407" w:rsidDel="00A408F3" w:rsidRDefault="00B86E36" w:rsidP="00AD1DFA">
            <w:pPr>
              <w:spacing w:before="120" w:after="120" w:line="240" w:lineRule="auto"/>
              <w:jc w:val="center"/>
              <w:rPr>
                <w:noProof/>
                <w:sz w:val="16"/>
                <w:szCs w:val="16"/>
              </w:rPr>
            </w:pPr>
          </w:p>
        </w:tc>
      </w:tr>
      <w:tr w:rsidR="00B86E36" w:rsidRPr="003A6407" w14:paraId="63997836" w14:textId="77777777" w:rsidTr="00175EA5">
        <w:trPr>
          <w:trHeight w:val="340"/>
        </w:trPr>
        <w:tc>
          <w:tcPr>
            <w:tcW w:w="5000" w:type="pct"/>
            <w:gridSpan w:val="11"/>
          </w:tcPr>
          <w:p w14:paraId="202E793C" w14:textId="39565B98" w:rsidR="00B86E36" w:rsidRDefault="00B86E36" w:rsidP="00B256CA">
            <w:pPr>
              <w:spacing w:before="60" w:after="60" w:line="240" w:lineRule="auto"/>
              <w:jc w:val="both"/>
            </w:pPr>
            <w:r w:rsidRPr="003A6407">
              <w:t>Metodologia:</w:t>
            </w:r>
          </w:p>
          <w:p w14:paraId="4104AC03" w14:textId="08D922AB" w:rsidR="006D4251" w:rsidRDefault="00A42867" w:rsidP="00B256CA">
            <w:pPr>
              <w:spacing w:before="60" w:after="60" w:line="240" w:lineRule="auto"/>
              <w:jc w:val="both"/>
            </w:pPr>
            <w:r w:rsidRPr="00A42867">
              <w:t>Metodologię oparto o dane historyczne z umów o dofinansowanie w Działaniu 3.3 RPO WD 2014-2020, dotyczących efektywności energetycznej budynków mieszkalnych i publicznych. Łączna powierzchnia wyniosła 1 84 586 m2, a szacowany wg zawartych umów o dofinansowanie na koniec 2020 roku roczny spadek emisji gazów cieplarnianych 79 986 tCO2. Wykorzystując dane wyliczono, że średnio na 1 m2 szacowany roczny spadek gazów cieplarnianych wynosi 0,073748 tCO2. Szacuje się także, że spadek emisji będzie na poziomie 30%.</w:t>
            </w:r>
          </w:p>
          <w:p w14:paraId="20967988" w14:textId="77777777" w:rsidR="006D4251" w:rsidRDefault="006D4251" w:rsidP="006D4251">
            <w:pPr>
              <w:spacing w:before="60" w:after="60" w:line="240" w:lineRule="auto"/>
              <w:jc w:val="both"/>
            </w:pPr>
          </w:p>
          <w:p w14:paraId="31EDBA21" w14:textId="0FAA9741" w:rsidR="00B86E36" w:rsidRPr="003A6407" w:rsidRDefault="00B86E36" w:rsidP="00B256CA">
            <w:pPr>
              <w:spacing w:before="60" w:after="60" w:line="240" w:lineRule="auto"/>
              <w:jc w:val="both"/>
            </w:pPr>
            <w:r w:rsidRPr="003A6407">
              <w:t xml:space="preserve">Wskaźnik realizuje kody interwencji: 040 Projekty w zakresie efektywności energetycznej i projekty demonstracyjne w MŚP lub w dużych przedsiębiorstwach oraz działania wspierające zgodne z kryteriami efektywności energetycznej w kwocie </w:t>
            </w:r>
            <w:r w:rsidR="00395E76">
              <w:t>8</w:t>
            </w:r>
            <w:r w:rsidRPr="003A6407">
              <w:t xml:space="preserve"> 720 914 EUR, 041 </w:t>
            </w:r>
            <w:r w:rsidRPr="003A6407">
              <w:rPr>
                <w:rFonts w:eastAsia="Times New Roman" w:cstheme="minorHAnsi"/>
                <w:bCs/>
                <w:noProof/>
              </w:rPr>
              <w:t xml:space="preserve">Renowacja istniejących budynków mieszkalnych pod kątem efektywności energetycznej, projekty demonstracyjne i działania wspierające w kwocie 13 103 340 EUR, 042 Renowacja istniejących budynków mieszkalnych pod kątem efektywności energetycznej, projekty demonstracyjne i działania wspierające zgodne z kryteriami efektywności energetycznej w kwocie </w:t>
            </w:r>
            <w:r w:rsidR="00395E76">
              <w:rPr>
                <w:rFonts w:eastAsia="Times New Roman" w:cstheme="minorHAnsi"/>
                <w:bCs/>
                <w:noProof/>
              </w:rPr>
              <w:t>35 330 392</w:t>
            </w:r>
            <w:r w:rsidRPr="003A6407">
              <w:rPr>
                <w:rFonts w:eastAsia="Times New Roman" w:cstheme="minorHAnsi"/>
                <w:bCs/>
                <w:noProof/>
              </w:rPr>
              <w:t xml:space="preserve"> EUR, 044 Renowacja zwiększająca efektywność energetyczną lub działania w zakresie efektywności energetycznej w odniesieniu do infrastruktury publicznej, projekty demonstracyjne i działania wspierające w kwocie 15 485 765 EUR oraz 045 Renowacja zwiększająca efektywność energetyczną lub działania w zakresie efektywności energetycznej w odniesieniu do infrastruktury publicznej, projekty demonstracyjne i działania wspierające zgodne z kryteriami efektywności energetycznej w kwocie 61 798 947 EUR </w:t>
            </w:r>
            <w:r w:rsidRPr="003A6407">
              <w:t xml:space="preserve">o łącznej wartości </w:t>
            </w:r>
            <w:r w:rsidR="00395E76">
              <w:lastRenderedPageBreak/>
              <w:t>134 439 958</w:t>
            </w:r>
            <w:r w:rsidRPr="003A6407">
              <w:t xml:space="preserve"> EUR. Uwzględniając (odejmując) koszty uproszczone na poziomie 7%, wartość alokacji realizującej dany wskaźnik wynosi </w:t>
            </w:r>
            <w:r w:rsidR="00395E76">
              <w:t>125 029 160,90</w:t>
            </w:r>
            <w:r w:rsidRPr="003A6407">
              <w:t xml:space="preserve"> EUR</w:t>
            </w:r>
            <w:r w:rsidRPr="003A6407">
              <w:rPr>
                <w:rFonts w:eastAsia="Times New Roman" w:cstheme="minorHAnsi"/>
                <w:bCs/>
                <w:noProof/>
                <w:sz w:val="16"/>
                <w:szCs w:val="18"/>
              </w:rPr>
              <w:t>.</w:t>
            </w:r>
          </w:p>
          <w:p w14:paraId="376930B4" w14:textId="706434CD" w:rsidR="00B86E36" w:rsidRPr="003A6407" w:rsidRDefault="00B86E36" w:rsidP="00A42867">
            <w:pPr>
              <w:spacing w:before="60" w:after="60" w:line="240" w:lineRule="auto"/>
              <w:jc w:val="both"/>
            </w:pPr>
          </w:p>
          <w:p w14:paraId="597E28A1" w14:textId="77777777" w:rsidR="00B86E36" w:rsidRPr="003A6407" w:rsidRDefault="00B86E36" w:rsidP="00B256CA">
            <w:pPr>
              <w:spacing w:before="60" w:after="60" w:line="240" w:lineRule="auto"/>
              <w:jc w:val="both"/>
            </w:pPr>
          </w:p>
          <w:p w14:paraId="57E98E04" w14:textId="0EF0965F" w:rsidR="00B86E36" w:rsidRPr="003A6407" w:rsidRDefault="00B86E36" w:rsidP="00B256CA">
            <w:pPr>
              <w:spacing w:before="60" w:after="60" w:line="240" w:lineRule="auto"/>
              <w:jc w:val="both"/>
            </w:pPr>
            <w:r w:rsidRPr="003A6407">
              <w:t>Wyliczenie:</w:t>
            </w:r>
          </w:p>
          <w:p w14:paraId="17351386" w14:textId="77777777" w:rsidR="00A42867" w:rsidRDefault="00A42867" w:rsidP="00A42867">
            <w:pPr>
              <w:spacing w:before="60" w:after="60" w:line="240" w:lineRule="auto"/>
              <w:jc w:val="both"/>
              <w:rPr>
                <w:rFonts w:eastAsia="Times New Roman" w:cs="Calibri"/>
                <w:lang w:eastAsia="pl-PL"/>
              </w:rPr>
            </w:pPr>
            <w:r>
              <w:rPr>
                <w:rFonts w:eastAsia="Times New Roman" w:cs="Calibri"/>
                <w:lang w:eastAsia="pl-PL"/>
              </w:rPr>
              <w:t>Wartość docelowa= [(wartość docelowa wskaźnika RCO19 (powierzchnia budynków))*2]*średnia wartość na m2</w:t>
            </w:r>
          </w:p>
          <w:p w14:paraId="51E73449" w14:textId="0FA22B86" w:rsidR="004F4E88" w:rsidRDefault="00A42867" w:rsidP="004F4E88">
            <w:pPr>
              <w:spacing w:before="60" w:after="60" w:line="240" w:lineRule="auto"/>
              <w:jc w:val="both"/>
              <w:rPr>
                <w:rFonts w:eastAsia="Times New Roman" w:cs="Calibri"/>
                <w:lang w:eastAsia="pl-PL"/>
              </w:rPr>
            </w:pPr>
            <w:r>
              <w:rPr>
                <w:rFonts w:eastAsia="Times New Roman" w:cs="Calibri"/>
                <w:lang w:eastAsia="pl-PL"/>
              </w:rPr>
              <w:t>Wartość docelowa=(</w:t>
            </w:r>
            <w:r w:rsidR="004F4E88">
              <w:rPr>
                <w:rFonts w:eastAsia="Times New Roman" w:cs="Calibri"/>
                <w:lang w:eastAsia="pl-PL"/>
              </w:rPr>
              <w:t>344 750</w:t>
            </w:r>
            <w:r>
              <w:rPr>
                <w:rFonts w:eastAsia="Times New Roman" w:cs="Calibri"/>
                <w:lang w:eastAsia="pl-PL"/>
              </w:rPr>
              <w:t xml:space="preserve"> m2*2)*0,0737748 = </w:t>
            </w:r>
            <w:r w:rsidR="004F4E88">
              <w:rPr>
                <w:rFonts w:eastAsia="Times New Roman" w:cs="Calibri"/>
                <w:lang w:eastAsia="pl-PL"/>
              </w:rPr>
              <w:t>50 849</w:t>
            </w:r>
            <w:r>
              <w:rPr>
                <w:rFonts w:eastAsia="Times New Roman" w:cs="Calibri"/>
                <w:lang w:eastAsia="pl-PL"/>
              </w:rPr>
              <w:t xml:space="preserve"> tony CO2</w:t>
            </w:r>
            <w:r w:rsidR="004F4E88">
              <w:rPr>
                <w:rFonts w:eastAsia="Times New Roman" w:cs="Calibri"/>
                <w:lang w:eastAsia="pl-PL"/>
              </w:rPr>
              <w:t xml:space="preserve">Ponieważ szacuje się spadek emisji gazów cieplarnianych na poziomie 30%, wartość bazową obliczono na podstawie wartości docelowej: </w:t>
            </w:r>
          </w:p>
          <w:p w14:paraId="2DCDC271" w14:textId="491A13A5" w:rsidR="004F4E88" w:rsidRDefault="004F4E88" w:rsidP="004F4E88">
            <w:pPr>
              <w:spacing w:before="60" w:after="60" w:line="240" w:lineRule="auto"/>
              <w:jc w:val="both"/>
              <w:rPr>
                <w:rFonts w:eastAsia="Times New Roman" w:cs="Calibri"/>
                <w:lang w:eastAsia="pl-PL"/>
              </w:rPr>
            </w:pPr>
            <w:r>
              <w:rPr>
                <w:rFonts w:eastAsia="Times New Roman" w:cs="Calibri"/>
                <w:lang w:eastAsia="pl-PL"/>
              </w:rPr>
              <w:t>Wartość bazowa = wartość docelowa *(1/07)= 50 849 tCO2 *(1/0,7) = 72 642 tony CO2</w:t>
            </w:r>
          </w:p>
          <w:p w14:paraId="419CA101" w14:textId="77777777" w:rsidR="004F4E88" w:rsidRDefault="004F4E88" w:rsidP="00B256CA">
            <w:pPr>
              <w:spacing w:before="60" w:after="60" w:line="240" w:lineRule="auto"/>
              <w:jc w:val="both"/>
            </w:pPr>
          </w:p>
          <w:p w14:paraId="67005E57" w14:textId="77777777" w:rsidR="006D4251" w:rsidRPr="003A6407" w:rsidRDefault="006D4251" w:rsidP="00B256CA">
            <w:pPr>
              <w:spacing w:before="60" w:after="60" w:line="240" w:lineRule="auto"/>
              <w:jc w:val="both"/>
            </w:pPr>
          </w:p>
          <w:p w14:paraId="594B46DF"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37EABED7" w14:textId="756B50B0" w:rsidR="00B86E36" w:rsidRPr="003A6407" w:rsidRDefault="00B86E36" w:rsidP="00B256CA">
            <w:pPr>
              <w:spacing w:before="60" w:after="60" w:line="240" w:lineRule="auto"/>
              <w:jc w:val="both"/>
            </w:pPr>
            <w:r w:rsidRPr="003A6407">
              <w:t>•</w:t>
            </w:r>
            <w:r w:rsidRPr="003A6407">
              <w:rPr>
                <w:b/>
              </w:rPr>
              <w:t xml:space="preserve">ryzyko wzrostu cen </w:t>
            </w:r>
            <w:r w:rsidR="00EE0C5C">
              <w:t>–</w:t>
            </w:r>
            <w:r w:rsidRPr="003A6407">
              <w:t xml:space="preserve"> ryzyko związane ze wzrostem cen gazu, energii, materiałów, sprzętu i usług; ryzyko związane z poziomem inflacji również obciążenia (istotność: poważna)</w:t>
            </w:r>
          </w:p>
          <w:p w14:paraId="43A8122D" w14:textId="67B91773" w:rsidR="00B86E36" w:rsidRPr="003A6407" w:rsidRDefault="00B86E36" w:rsidP="00B256CA">
            <w:pPr>
              <w:spacing w:before="60" w:after="60" w:line="240" w:lineRule="auto"/>
              <w:jc w:val="both"/>
            </w:pPr>
            <w:r w:rsidRPr="003A6407">
              <w:t>•</w:t>
            </w:r>
            <w:r w:rsidRPr="003A6407">
              <w:rPr>
                <w:b/>
              </w:rPr>
              <w:t>ryzyko walutowe</w:t>
            </w:r>
            <w:r w:rsidRPr="003A6407">
              <w:t xml:space="preserve"> </w:t>
            </w:r>
            <w:r w:rsidR="00EE0C5C">
              <w:t>–</w:t>
            </w:r>
            <w:r w:rsidRPr="003A6407">
              <w:t xml:space="preserve">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1CE1A8C"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7ADD2A4C" w14:textId="50CBC8E1" w:rsidR="00B86E36" w:rsidRPr="003A6407" w:rsidRDefault="00B86E36" w:rsidP="00B256CA">
            <w:pPr>
              <w:spacing w:before="60" w:after="60" w:line="240" w:lineRule="auto"/>
              <w:jc w:val="both"/>
            </w:pPr>
            <w:r w:rsidRPr="003A6407">
              <w:t>•</w:t>
            </w:r>
            <w:r w:rsidRPr="003A6407">
              <w:rPr>
                <w:b/>
                <w:bCs/>
              </w:rPr>
              <w:t>czynniki które mogą wpłynąć na harmonogram realizacji planów działania dot. spełnienia warunków podstawowych,</w:t>
            </w:r>
            <w:r w:rsidRPr="003A6407">
              <w:t xml:space="preserve"> a które są poza kompetencjami </w:t>
            </w:r>
            <w:r w:rsidR="00EE0C5C">
              <w:t>NP.</w:t>
            </w:r>
            <w:r w:rsidRPr="003A6407">
              <w:t xml:space="preserve"> oraz instytucji odpowiedzialnych za spełnienie tych warunków; (istotność: poważna)</w:t>
            </w:r>
          </w:p>
          <w:p w14:paraId="11ACA3B8" w14:textId="77777777" w:rsidR="00B86E36" w:rsidRPr="003A6407" w:rsidRDefault="00B86E36" w:rsidP="00B256CA">
            <w:pPr>
              <w:spacing w:before="60" w:after="60" w:line="240" w:lineRule="auto"/>
              <w:jc w:val="both"/>
            </w:pPr>
            <w:r w:rsidRPr="003A6407">
              <w:t>•</w:t>
            </w:r>
            <w:r w:rsidRPr="003A6407">
              <w:rPr>
                <w:b/>
              </w:rPr>
              <w:t>ostateczne ustalenia dot. występowania i poziomu pomocy publicznej</w:t>
            </w:r>
            <w:r w:rsidRPr="003A6407">
              <w:t>; (istotność: umiarkowana)</w:t>
            </w:r>
          </w:p>
          <w:p w14:paraId="271171EF"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poważna)</w:t>
            </w:r>
          </w:p>
          <w:p w14:paraId="634C981E" w14:textId="02F4D402" w:rsidR="00B86E36" w:rsidRPr="003A6407" w:rsidRDefault="00B86E36" w:rsidP="00B256CA">
            <w:pPr>
              <w:spacing w:before="60" w:after="60" w:line="240" w:lineRule="auto"/>
              <w:jc w:val="both"/>
              <w:rPr>
                <w:b/>
              </w:rPr>
            </w:pPr>
            <w:r w:rsidRPr="003A6407">
              <w:rPr>
                <w:b/>
              </w:rPr>
              <w:t xml:space="preserve">•opóźnienia, </w:t>
            </w:r>
            <w:r w:rsidRPr="003A6407">
              <w:rPr>
                <w:bCs/>
              </w:rPr>
              <w:t xml:space="preserve">bądź niewykonanie projektu związane z brakiem wykonawców, sezonowością prac </w:t>
            </w:r>
            <w:r w:rsidR="00EE0C5C">
              <w:rPr>
                <w:bCs/>
              </w:rPr>
              <w:t>np</w:t>
            </w:r>
            <w:r w:rsidRPr="003A6407">
              <w:rPr>
                <w:bCs/>
              </w:rPr>
              <w:t>.; (istotność: poważna)</w:t>
            </w:r>
          </w:p>
          <w:p w14:paraId="0C749CE1"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70B31F61"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możliwość terminowego pozyskiwania zgód i pozwoleń administracyjnych</w:t>
            </w:r>
            <w:r w:rsidRPr="003A6407" w:rsidDel="00A3351D">
              <w:rPr>
                <w:bCs/>
              </w:rPr>
              <w:t xml:space="preserve"> </w:t>
            </w:r>
            <w:r w:rsidRPr="003A6407">
              <w:rPr>
                <w:bCs/>
              </w:rPr>
              <w:t>(istotność: umiarkowana)</w:t>
            </w:r>
          </w:p>
          <w:p w14:paraId="22C7BC8F" w14:textId="33D1836C" w:rsidR="00442FFF" w:rsidRPr="003A6407" w:rsidRDefault="00B86E36" w:rsidP="00442FFF">
            <w:pPr>
              <w:spacing w:before="60" w:after="60" w:line="240" w:lineRule="auto"/>
              <w:jc w:val="both"/>
            </w:pPr>
            <w:r w:rsidRPr="003A6407">
              <w:rPr>
                <w:b/>
                <w:bCs/>
              </w:rPr>
              <w:t xml:space="preserve">•nakładanie się wsparcia z innych instrumentów </w:t>
            </w:r>
            <w:r w:rsidR="00EE0C5C">
              <w:t>np</w:t>
            </w:r>
            <w:r w:rsidRPr="003A6407">
              <w:t>. programów krajowych lub finansowanych ze środków krajowych (istotność: umiarkowana)</w:t>
            </w:r>
            <w:r w:rsidR="00442FFF" w:rsidRPr="003A6407">
              <w:t>.</w:t>
            </w:r>
          </w:p>
        </w:tc>
      </w:tr>
    </w:tbl>
    <w:p w14:paraId="11A5ADA6" w14:textId="77777777" w:rsidR="00B86E36" w:rsidRPr="003A6407" w:rsidRDefault="00B86E36" w:rsidP="00B256CA"/>
    <w:p w14:paraId="1C0380B7" w14:textId="2FCF03C7" w:rsidR="00B86E36" w:rsidRPr="003A6407" w:rsidRDefault="00B86E36" w:rsidP="00A462B1">
      <w:pPr>
        <w:pStyle w:val="Nagwek2"/>
      </w:pPr>
      <w:bookmarkStart w:id="124" w:name="_Toc120464389"/>
      <w:r w:rsidRPr="003A6407">
        <w:t xml:space="preserve">CEL SZCZEGÓŁOWY: </w:t>
      </w:r>
      <w:bookmarkStart w:id="125" w:name="_Toc97792253"/>
      <w:r w:rsidR="00980C2E" w:rsidRPr="00980C2E">
        <w:t>RSO2.2. Wspieranie energii odnawialnej zgodnie z dyrektywą (UE) 2018/2001 w sprawie energii odnawialnej, w tym określonymi w niej kryteriami zrównoważonego rozwoju (EFRR)</w:t>
      </w:r>
      <w:bookmarkEnd w:id="124"/>
      <w:bookmarkEnd w:id="125"/>
    </w:p>
    <w:p w14:paraId="4D6DA3ED" w14:textId="77777777" w:rsidR="00B86E36" w:rsidRPr="003A6407" w:rsidRDefault="00B86E36" w:rsidP="00A462B1">
      <w:pPr>
        <w:pStyle w:val="Nagwek2"/>
        <w:spacing w:after="200"/>
      </w:pPr>
      <w:bookmarkStart w:id="126" w:name="_Toc120464390"/>
      <w:r w:rsidRPr="003A6407">
        <w:t>Wskaźniki produktu</w:t>
      </w:r>
      <w:bookmarkEnd w:id="126"/>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CBACD5A" w14:textId="77777777" w:rsidTr="00AD1DFA">
        <w:trPr>
          <w:cantSplit/>
          <w:trHeight w:val="1647"/>
        </w:trPr>
        <w:tc>
          <w:tcPr>
            <w:tcW w:w="451" w:type="pct"/>
            <w:vAlign w:val="center"/>
          </w:tcPr>
          <w:p w14:paraId="0236A4D3"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CP 2</w:t>
            </w:r>
          </w:p>
          <w:p w14:paraId="055DF172" w14:textId="04BC133B"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00045E23"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429C2645"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7B74ED2C"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4FBBBC5A" w14:textId="3E3A6F70"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70359CD6"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53CEBD45"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pośredni (2024)</w:t>
            </w:r>
          </w:p>
          <w:p w14:paraId="3D3FDFE6" w14:textId="77777777" w:rsidR="00B86E36" w:rsidRPr="003A6407" w:rsidRDefault="00B86E36" w:rsidP="00AD1DFA">
            <w:pPr>
              <w:spacing w:before="120" w:after="120" w:line="240" w:lineRule="auto"/>
              <w:jc w:val="center"/>
              <w:rPr>
                <w:b/>
                <w:noProof/>
                <w:sz w:val="16"/>
                <w:szCs w:val="16"/>
              </w:rPr>
            </w:pPr>
          </w:p>
        </w:tc>
        <w:tc>
          <w:tcPr>
            <w:tcW w:w="550" w:type="pct"/>
            <w:shd w:val="clear" w:color="auto" w:fill="auto"/>
            <w:vAlign w:val="center"/>
          </w:tcPr>
          <w:p w14:paraId="567D609B"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(2029)</w:t>
            </w:r>
          </w:p>
          <w:p w14:paraId="22F00349" w14:textId="77777777" w:rsidR="00B86E36" w:rsidRPr="003A6407" w:rsidRDefault="00B86E36" w:rsidP="00AD1DFA">
            <w:pPr>
              <w:spacing w:before="120" w:after="120" w:line="240" w:lineRule="auto"/>
              <w:jc w:val="center"/>
              <w:rPr>
                <w:b/>
                <w:noProof/>
                <w:sz w:val="16"/>
                <w:szCs w:val="16"/>
              </w:rPr>
            </w:pPr>
          </w:p>
        </w:tc>
      </w:tr>
      <w:tr w:rsidR="00191FE2" w:rsidRPr="003A6407" w14:paraId="4FF26896" w14:textId="77777777" w:rsidTr="00AD1DFA">
        <w:trPr>
          <w:trHeight w:val="340"/>
        </w:trPr>
        <w:tc>
          <w:tcPr>
            <w:tcW w:w="451" w:type="pct"/>
            <w:vAlign w:val="center"/>
          </w:tcPr>
          <w:p w14:paraId="05632108" w14:textId="77777777" w:rsidR="00B86E36" w:rsidRDefault="00B86E36" w:rsidP="00AD1DFA">
            <w:pPr>
              <w:spacing w:before="120" w:after="120" w:line="240" w:lineRule="auto"/>
              <w:jc w:val="center"/>
              <w:rPr>
                <w:noProof/>
                <w:sz w:val="16"/>
                <w:szCs w:val="16"/>
              </w:rPr>
            </w:pPr>
            <w:r w:rsidRPr="003A6407">
              <w:rPr>
                <w:noProof/>
                <w:sz w:val="16"/>
                <w:szCs w:val="16"/>
              </w:rPr>
              <w:lastRenderedPageBreak/>
              <w:t>2 (ii)</w:t>
            </w:r>
          </w:p>
          <w:p w14:paraId="5564DA9F" w14:textId="45295437" w:rsidR="00980C2E" w:rsidRPr="003A6407" w:rsidRDefault="00980C2E" w:rsidP="00AD1DFA">
            <w:pPr>
              <w:spacing w:before="120" w:after="120" w:line="240" w:lineRule="auto"/>
              <w:jc w:val="center"/>
              <w:rPr>
                <w:noProof/>
                <w:sz w:val="16"/>
                <w:szCs w:val="16"/>
              </w:rPr>
            </w:pPr>
            <w:r>
              <w:rPr>
                <w:noProof/>
                <w:sz w:val="16"/>
                <w:szCs w:val="16"/>
              </w:rPr>
              <w:t>2.2</w:t>
            </w:r>
          </w:p>
        </w:tc>
        <w:tc>
          <w:tcPr>
            <w:tcW w:w="494" w:type="pct"/>
            <w:vAlign w:val="center"/>
          </w:tcPr>
          <w:p w14:paraId="1923F961"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558" w:type="pct"/>
            <w:vAlign w:val="center"/>
          </w:tcPr>
          <w:p w14:paraId="1422BC22"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360" w:type="pct"/>
            <w:vAlign w:val="center"/>
          </w:tcPr>
          <w:p w14:paraId="1398192E" w14:textId="77777777" w:rsidR="00B86E36" w:rsidRPr="003A6407" w:rsidRDefault="00B86E36" w:rsidP="00AD1DFA">
            <w:pPr>
              <w:spacing w:before="120" w:after="120" w:line="240" w:lineRule="auto"/>
              <w:jc w:val="center"/>
              <w:rPr>
                <w:noProof/>
                <w:sz w:val="16"/>
                <w:szCs w:val="16"/>
              </w:rPr>
            </w:pPr>
            <w:r w:rsidRPr="003A6407">
              <w:rPr>
                <w:noProof/>
                <w:sz w:val="16"/>
                <w:szCs w:val="16"/>
              </w:rPr>
              <w:t>RCO022</w:t>
            </w:r>
          </w:p>
        </w:tc>
        <w:tc>
          <w:tcPr>
            <w:tcW w:w="1411" w:type="pct"/>
            <w:shd w:val="clear" w:color="auto" w:fill="auto"/>
            <w:vAlign w:val="center"/>
          </w:tcPr>
          <w:p w14:paraId="4D0AAF5C" w14:textId="77777777" w:rsidR="00B86E36" w:rsidRPr="003A6407" w:rsidRDefault="00B86E36" w:rsidP="00AD1DFA">
            <w:pPr>
              <w:keepNext/>
              <w:keepLines/>
              <w:spacing w:before="200" w:after="0"/>
              <w:jc w:val="center"/>
              <w:outlineLvl w:val="2"/>
              <w:rPr>
                <w:rFonts w:eastAsiaTheme="majorEastAsia" w:cstheme="majorBidi"/>
                <w:b/>
                <w:bCs/>
                <w:noProof/>
                <w:sz w:val="16"/>
                <w:szCs w:val="16"/>
              </w:rPr>
            </w:pPr>
            <w:bookmarkStart w:id="127" w:name="_Toc97792254"/>
            <w:bookmarkStart w:id="128" w:name="_Toc120464391"/>
            <w:r w:rsidRPr="003A6407">
              <w:rPr>
                <w:rFonts w:asciiTheme="minorHAnsi" w:eastAsia="Times New Roman" w:hAnsiTheme="minorHAnsi" w:cstheme="minorHAnsi"/>
                <w:bCs/>
                <w:noProof/>
                <w:sz w:val="16"/>
                <w:szCs w:val="16"/>
              </w:rPr>
              <w:t>Dodatkowa zdolność wytwarzania energii odnawialnej (w tym: energii elektrycznej, energii cieplnej)</w:t>
            </w:r>
            <w:bookmarkEnd w:id="127"/>
            <w:bookmarkEnd w:id="128"/>
          </w:p>
        </w:tc>
        <w:tc>
          <w:tcPr>
            <w:tcW w:w="549" w:type="pct"/>
            <w:vAlign w:val="center"/>
          </w:tcPr>
          <w:p w14:paraId="2DF6385C" w14:textId="77777777" w:rsidR="00B86E36" w:rsidRPr="003A6407" w:rsidRDefault="00B86E36" w:rsidP="00AD1DFA">
            <w:pPr>
              <w:spacing w:before="120" w:after="120" w:line="240" w:lineRule="auto"/>
              <w:jc w:val="center"/>
              <w:rPr>
                <w:noProof/>
                <w:sz w:val="16"/>
                <w:szCs w:val="16"/>
              </w:rPr>
            </w:pPr>
            <w:r w:rsidRPr="003A6407">
              <w:rPr>
                <w:noProof/>
                <w:sz w:val="16"/>
                <w:szCs w:val="16"/>
              </w:rPr>
              <w:t>MW</w:t>
            </w:r>
          </w:p>
        </w:tc>
        <w:tc>
          <w:tcPr>
            <w:tcW w:w="627" w:type="pct"/>
            <w:shd w:val="clear" w:color="auto" w:fill="auto"/>
            <w:vAlign w:val="center"/>
          </w:tcPr>
          <w:p w14:paraId="59DCF664" w14:textId="06FC208B" w:rsidR="00B86E36" w:rsidRPr="003A6407" w:rsidRDefault="00890103" w:rsidP="00AD1DFA">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0CE5336C" w14:textId="1A9DE2A7" w:rsidR="00B86E36" w:rsidRPr="003A6407" w:rsidRDefault="00395E76" w:rsidP="00AD1DFA">
            <w:pPr>
              <w:spacing w:before="120" w:after="120" w:line="240" w:lineRule="auto"/>
              <w:jc w:val="center"/>
              <w:rPr>
                <w:noProof/>
                <w:sz w:val="16"/>
                <w:szCs w:val="16"/>
              </w:rPr>
            </w:pPr>
            <w:r>
              <w:rPr>
                <w:noProof/>
                <w:sz w:val="16"/>
                <w:szCs w:val="16"/>
              </w:rPr>
              <w:t>65</w:t>
            </w:r>
            <w:r w:rsidR="00AD1DFA" w:rsidRPr="003A6407">
              <w:rPr>
                <w:noProof/>
                <w:sz w:val="16"/>
                <w:szCs w:val="16"/>
              </w:rPr>
              <w:t>,00</w:t>
            </w:r>
          </w:p>
        </w:tc>
      </w:tr>
      <w:tr w:rsidR="00B86E36" w:rsidRPr="003A6407" w14:paraId="05C948EC" w14:textId="77777777" w:rsidTr="00175EA5">
        <w:trPr>
          <w:trHeight w:val="340"/>
        </w:trPr>
        <w:tc>
          <w:tcPr>
            <w:tcW w:w="5000" w:type="pct"/>
            <w:gridSpan w:val="8"/>
          </w:tcPr>
          <w:p w14:paraId="21A31EBB" w14:textId="77777777" w:rsidR="00B86E36" w:rsidRPr="003A6407" w:rsidRDefault="00B86E36" w:rsidP="00B256CA">
            <w:pPr>
              <w:spacing w:before="60" w:after="60" w:line="240" w:lineRule="auto"/>
              <w:jc w:val="both"/>
            </w:pPr>
            <w:r w:rsidRPr="003A6407">
              <w:t>Metodologia:</w:t>
            </w:r>
          </w:p>
          <w:p w14:paraId="09DEB66A" w14:textId="39A73788" w:rsidR="00B86E36" w:rsidRPr="003A6407" w:rsidRDefault="00B86E36" w:rsidP="00B256CA">
            <w:pPr>
              <w:spacing w:before="60" w:after="60" w:line="240" w:lineRule="auto"/>
              <w:jc w:val="both"/>
              <w:rPr>
                <w:rFonts w:eastAsia="Times New Roman" w:cstheme="minorHAnsi"/>
                <w:bCs/>
                <w:noProof/>
                <w:sz w:val="16"/>
                <w:szCs w:val="18"/>
              </w:rPr>
            </w:pPr>
            <w:r w:rsidRPr="003A6407">
              <w:t xml:space="preserve">Wskaźnik realizuje kody interwencji: 048 Energia odnawialna: słoneczna w kwocie </w:t>
            </w:r>
            <w:r w:rsidR="003A62DC">
              <w:t>24 951 208</w:t>
            </w:r>
            <w:r w:rsidRPr="003A6407">
              <w:t xml:space="preserve"> EUR, 049 Energia odnawialna: biomasa w kwocie 4 007 680 EUR oraz 052 Inne rodzaje energii odnawialnej (w tym energia geotermalna) w kwocie </w:t>
            </w:r>
            <w:r w:rsidR="00395E76">
              <w:t>17 211 948</w:t>
            </w:r>
            <w:r w:rsidRPr="003A6407">
              <w:t xml:space="preserve"> EUR, o łącznej wartości </w:t>
            </w:r>
            <w:r w:rsidR="00395E76">
              <w:t>46 170 836</w:t>
            </w:r>
            <w:r w:rsidRPr="003A6407">
              <w:t xml:space="preserve"> EUR. Uwzględniając (odejmując) koszty uproszczone na poziomie 7%, wartość alokacji realizującej dany wskaźnik wynosi </w:t>
            </w:r>
            <w:r w:rsidR="00395E76">
              <w:t>42 938 877,50</w:t>
            </w:r>
            <w:r w:rsidRPr="003A6407">
              <w:t xml:space="preserve"> EUR</w:t>
            </w:r>
            <w:r w:rsidRPr="003A6407">
              <w:rPr>
                <w:rFonts w:eastAsia="Times New Roman" w:cstheme="minorHAnsi"/>
                <w:bCs/>
                <w:noProof/>
                <w:sz w:val="16"/>
                <w:szCs w:val="18"/>
              </w:rPr>
              <w:t>.</w:t>
            </w:r>
          </w:p>
          <w:p w14:paraId="4008C91D" w14:textId="77777777" w:rsidR="00B86E36" w:rsidRPr="003A6407" w:rsidRDefault="00B86E36" w:rsidP="00B256CA">
            <w:pPr>
              <w:spacing w:before="60" w:after="60" w:line="240" w:lineRule="auto"/>
              <w:jc w:val="both"/>
            </w:pPr>
          </w:p>
          <w:p w14:paraId="2C1837C0" w14:textId="66B14C99" w:rsidR="00B86E36" w:rsidRPr="003A6407" w:rsidRDefault="00B86E36" w:rsidP="00B256CA">
            <w:pPr>
              <w:spacing w:before="60" w:after="60" w:line="240" w:lineRule="auto"/>
              <w:jc w:val="both"/>
            </w:pPr>
            <w:r w:rsidRPr="003A6407">
              <w:t xml:space="preserve">Historyczny kwalifikowalny koszt jednostkowy na bazie doświadczeń z perspektywy 2014-2020 wynosi 2 213 221,83 PLN. Koszt jednostkowy został skorygowany w oparciu o wartość inflacji na poziomie 15% i wynosi 2 545 205,10 PLN, a wartość dofinansowania na poziomie 70% wynosi 1 781 643,57 PLN; biorąc pod uwagę kurs EUR na poziomie 4,45 koszt jednostkowy wynosi 400 369,34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w:t>
            </w:r>
          </w:p>
          <w:p w14:paraId="381F8EE7" w14:textId="77777777" w:rsidR="00B86E36" w:rsidRPr="003A6407" w:rsidRDefault="00B86E36" w:rsidP="00B256CA">
            <w:pPr>
              <w:spacing w:before="60" w:after="60" w:line="240" w:lineRule="auto"/>
              <w:jc w:val="both"/>
            </w:pPr>
            <w:r w:rsidRPr="003A6407">
              <w:t xml:space="preserve"> </w:t>
            </w:r>
          </w:p>
          <w:p w14:paraId="2DB9F8B4" w14:textId="77777777" w:rsidR="00B86E36" w:rsidRPr="003A6407" w:rsidRDefault="00B86E36" w:rsidP="00B256CA">
            <w:pPr>
              <w:spacing w:before="60" w:after="60" w:line="240" w:lineRule="auto"/>
              <w:jc w:val="both"/>
            </w:pPr>
            <w:r w:rsidRPr="003A6407">
              <w:t>R: [(6*25)+(3*68)]/9 = 39,3%</w:t>
            </w:r>
          </w:p>
          <w:p w14:paraId="5286E17D" w14:textId="77777777" w:rsidR="00B86E36" w:rsidRPr="003A6407" w:rsidRDefault="00B86E36" w:rsidP="00B256CA">
            <w:pPr>
              <w:spacing w:before="60" w:after="60" w:line="240" w:lineRule="auto"/>
              <w:jc w:val="both"/>
            </w:pPr>
          </w:p>
          <w:p w14:paraId="1B8558EC" w14:textId="77777777" w:rsidR="00B86E36" w:rsidRPr="003A6407" w:rsidRDefault="00B86E36" w:rsidP="00B256CA">
            <w:pPr>
              <w:spacing w:before="60" w:after="60" w:line="240" w:lineRule="auto"/>
              <w:jc w:val="both"/>
            </w:pPr>
            <w:r w:rsidRPr="003A6407">
              <w:t>Wyliczenie:</w:t>
            </w:r>
          </w:p>
          <w:p w14:paraId="65B10769" w14:textId="428BF4E5" w:rsidR="00B86E36" w:rsidRPr="003A6407" w:rsidRDefault="00395E76" w:rsidP="00B256CA">
            <w:pPr>
              <w:spacing w:before="60" w:after="60" w:line="240" w:lineRule="auto"/>
              <w:jc w:val="both"/>
            </w:pPr>
            <w:r>
              <w:t>42 938 877,50</w:t>
            </w:r>
            <w:r w:rsidR="00B86E36" w:rsidRPr="003A6407">
              <w:t> / 400 369,34 * (1-0,393) = 6</w:t>
            </w:r>
            <w:r>
              <w:t>5</w:t>
            </w:r>
            <w:r w:rsidR="00B86E36" w:rsidRPr="003A6407">
              <w:t xml:space="preserve"> MW</w:t>
            </w:r>
          </w:p>
          <w:p w14:paraId="53763164" w14:textId="77777777" w:rsidR="00B86E36" w:rsidRPr="003A6407" w:rsidRDefault="00B86E36" w:rsidP="00B256CA">
            <w:pPr>
              <w:spacing w:before="60" w:after="60" w:line="240" w:lineRule="auto"/>
              <w:jc w:val="both"/>
            </w:pPr>
          </w:p>
          <w:p w14:paraId="7851B8E5"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722F14C9" w14:textId="5E316A2F" w:rsidR="00B86E36" w:rsidRPr="003A6407" w:rsidRDefault="00B86E36" w:rsidP="00B256CA">
            <w:pPr>
              <w:spacing w:before="60" w:after="60" w:line="240" w:lineRule="auto"/>
              <w:jc w:val="both"/>
            </w:pPr>
            <w:r w:rsidRPr="003A6407">
              <w:t>•</w:t>
            </w:r>
            <w:r w:rsidRPr="003A6407">
              <w:rPr>
                <w:b/>
              </w:rPr>
              <w:t xml:space="preserve">ryzyko wzrostu cen </w:t>
            </w:r>
            <w:r w:rsidR="00EE0C5C">
              <w:t>–</w:t>
            </w:r>
            <w:r w:rsidRPr="003A6407">
              <w:t xml:space="preserve"> ryzyko związane ze wzrostem cen materiałów, surowców, sprzętu i usług; ryzyko związane z poziomem inflacji również obciążenia fiskalne; (istotność: poważna)</w:t>
            </w:r>
          </w:p>
          <w:p w14:paraId="133D5CEE" w14:textId="6F242494" w:rsidR="00B86E36" w:rsidRPr="003A6407" w:rsidRDefault="00B86E36" w:rsidP="00B256CA">
            <w:pPr>
              <w:spacing w:before="60" w:after="60" w:line="240" w:lineRule="auto"/>
              <w:jc w:val="both"/>
            </w:pPr>
            <w:r w:rsidRPr="003A6407">
              <w:t>•</w:t>
            </w:r>
            <w:r w:rsidRPr="003A6407">
              <w:rPr>
                <w:b/>
              </w:rPr>
              <w:t>ryzyko walutowe</w:t>
            </w:r>
            <w:r w:rsidRPr="003A6407">
              <w:t xml:space="preserve"> </w:t>
            </w:r>
            <w:r w:rsidR="00EE0C5C">
              <w:t>–</w:t>
            </w:r>
            <w:r w:rsidRPr="003A6407">
              <w:t xml:space="preserve">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3422DE51"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38B7AAAF" w14:textId="43A606AA" w:rsidR="00B86E36" w:rsidRPr="003A6407" w:rsidRDefault="00B86E36" w:rsidP="00B256CA">
            <w:pPr>
              <w:spacing w:before="60" w:after="60" w:line="240" w:lineRule="auto"/>
              <w:jc w:val="both"/>
            </w:pPr>
            <w:r w:rsidRPr="003A6407">
              <w:t>•</w:t>
            </w:r>
            <w:r w:rsidRPr="003A6407">
              <w:rPr>
                <w:b/>
                <w:bCs/>
              </w:rPr>
              <w:t>czynniki które mogą wpłynąć na harmonogram realizacji planów działania dot. spełnienia warunków podstawowych,</w:t>
            </w:r>
            <w:r w:rsidRPr="003A6407">
              <w:t xml:space="preserve"> a które są poza kompetencjami </w:t>
            </w:r>
            <w:r w:rsidR="00EE0C5C">
              <w:t>NP.</w:t>
            </w:r>
            <w:r w:rsidRPr="003A6407">
              <w:t xml:space="preserve"> oraz instytucji odpowiedzialnych za spełnienie tych warunków; (istotność: umiarkowana)</w:t>
            </w:r>
          </w:p>
          <w:p w14:paraId="791BCC92" w14:textId="77777777" w:rsidR="00B86E36" w:rsidRPr="003A6407" w:rsidRDefault="00B86E36" w:rsidP="00B256CA">
            <w:pPr>
              <w:spacing w:before="60" w:after="60" w:line="240" w:lineRule="auto"/>
              <w:jc w:val="both"/>
            </w:pPr>
            <w:r w:rsidRPr="003A6407">
              <w:t>•</w:t>
            </w:r>
            <w:r w:rsidRPr="003A6407">
              <w:rPr>
                <w:b/>
              </w:rPr>
              <w:t>ostateczne ustalenia dot. występowania i poziomu pomocy publicznej</w:t>
            </w:r>
            <w:r w:rsidRPr="003A6407">
              <w:t>; (istotność: umiarkowana)</w:t>
            </w:r>
          </w:p>
          <w:p w14:paraId="3A83E471"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umiarkowana)</w:t>
            </w:r>
          </w:p>
          <w:p w14:paraId="70DF9000" w14:textId="77777777" w:rsidR="00B86E36" w:rsidRPr="003A6407" w:rsidRDefault="00B86E36" w:rsidP="00B256CA">
            <w:pPr>
              <w:spacing w:before="60" w:after="60" w:line="240" w:lineRule="auto"/>
              <w:jc w:val="both"/>
              <w:rPr>
                <w:b/>
              </w:rPr>
            </w:pPr>
            <w:r w:rsidRPr="003A6407">
              <w:rPr>
                <w:b/>
              </w:rPr>
              <w:t xml:space="preserve">•opóźnienia, </w:t>
            </w:r>
            <w:r w:rsidRPr="003A6407">
              <w:rPr>
                <w:bCs/>
              </w:rPr>
              <w:t>bądź niewykonanie projektu związane z uzyskiwaniem pozwoleń i decyzji środowiskowych, procedurami wynikającymi z zamówień publicznych; (istotność: poważna)</w:t>
            </w:r>
          </w:p>
          <w:p w14:paraId="4BA43EBE" w14:textId="77777777" w:rsidR="00B86E36" w:rsidRPr="003A6407" w:rsidRDefault="00B86E36" w:rsidP="00B256CA">
            <w:pPr>
              <w:spacing w:before="60" w:after="60" w:line="240" w:lineRule="auto"/>
              <w:jc w:val="both"/>
              <w:rPr>
                <w:bCs/>
              </w:rPr>
            </w:pPr>
            <w:r w:rsidRPr="003A6407">
              <w:rPr>
                <w:b/>
              </w:rPr>
              <w:t xml:space="preserve">•zmiany w uwarunkowaniach prawnych mające wpływ na planowanie i realizację projektu; </w:t>
            </w:r>
            <w:r w:rsidRPr="003A6407">
              <w:rPr>
                <w:bCs/>
              </w:rPr>
              <w:t>(istotność: poważna)</w:t>
            </w:r>
          </w:p>
          <w:p w14:paraId="568B04EB"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możliwość terminowego pozyskiwania zgód i pozwoleń administracyjnych;</w:t>
            </w:r>
            <w:r w:rsidRPr="003A6407" w:rsidDel="00711950">
              <w:rPr>
                <w:bCs/>
              </w:rPr>
              <w:t xml:space="preserve"> </w:t>
            </w:r>
            <w:r w:rsidRPr="003A6407">
              <w:rPr>
                <w:bCs/>
              </w:rPr>
              <w:t>(istotność: umiarkowana)</w:t>
            </w:r>
            <w:r w:rsidR="00442FFF" w:rsidRPr="003A6407">
              <w:rPr>
                <w:bCs/>
              </w:rPr>
              <w:t>.</w:t>
            </w:r>
          </w:p>
          <w:p w14:paraId="67353C9A" w14:textId="6965A763" w:rsidR="00442FFF" w:rsidRPr="003A6407" w:rsidRDefault="00442FFF" w:rsidP="00B256CA">
            <w:pPr>
              <w:spacing w:before="60" w:after="60" w:line="240" w:lineRule="auto"/>
              <w:jc w:val="both"/>
              <w:rPr>
                <w:b/>
                <w:bCs/>
              </w:rPr>
            </w:pPr>
          </w:p>
          <w:p w14:paraId="7BD3727A" w14:textId="54C94374" w:rsidR="00442FFF" w:rsidRPr="003A6407" w:rsidRDefault="00442FFF" w:rsidP="00B256CA">
            <w:pPr>
              <w:spacing w:before="60" w:after="60" w:line="240" w:lineRule="auto"/>
              <w:jc w:val="both"/>
              <w:rPr>
                <w:b/>
                <w:bCs/>
                <w:sz w:val="22"/>
                <w:szCs w:val="22"/>
              </w:rPr>
            </w:pPr>
            <w:r w:rsidRPr="003A6407">
              <w:rPr>
                <w:b/>
                <w:bCs/>
                <w:sz w:val="22"/>
                <w:szCs w:val="22"/>
              </w:rPr>
              <w:t>Uzasadnienie dla celu pośredniego:</w:t>
            </w:r>
          </w:p>
          <w:p w14:paraId="0D50A15D" w14:textId="5369ADE6" w:rsidR="00442FFF" w:rsidRPr="003A6407" w:rsidRDefault="00442FFF" w:rsidP="00442FFF">
            <w:pPr>
              <w:spacing w:before="60" w:after="60" w:line="240" w:lineRule="auto"/>
              <w:jc w:val="both"/>
              <w:rPr>
                <w:b/>
                <w:sz w:val="22"/>
                <w:szCs w:val="22"/>
              </w:rPr>
            </w:pPr>
            <w:r w:rsidRPr="003A6407">
              <w:rPr>
                <w:b/>
                <w:sz w:val="22"/>
                <w:szCs w:val="22"/>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4a Produkcja </w:t>
            </w:r>
            <w:r w:rsidRPr="003A6407">
              <w:rPr>
                <w:b/>
                <w:sz w:val="22"/>
                <w:szCs w:val="22"/>
              </w:rPr>
              <w:lastRenderedPageBreak/>
              <w:t xml:space="preserve">i dystrybucja energii ze źródeł odnawialnych), na podstawie Sprawozdania rocznego z 2021 r. </w:t>
            </w:r>
            <w:r w:rsidR="00EE0C5C">
              <w:rPr>
                <w:b/>
                <w:sz w:val="22"/>
                <w:szCs w:val="22"/>
              </w:rPr>
              <w:t>–</w:t>
            </w:r>
            <w:r w:rsidRPr="003A6407">
              <w:rPr>
                <w:b/>
                <w:sz w:val="22"/>
                <w:szCs w:val="22"/>
              </w:rPr>
              <w:t xml:space="preserve"> wskaźnik pn. Energia odnawialna: Dodatkowa zdolność wytwarzania energii odnawialnej (CI 30) dopiero w 2017 r. osiągnął wartość 0,14, co wobec wartości z wykonania na 2021 r. (6,81) stanowi zaledwie 2%.</w:t>
            </w:r>
          </w:p>
          <w:p w14:paraId="694B29B3" w14:textId="41B8B05A" w:rsidR="00442FFF" w:rsidRDefault="00442FFF" w:rsidP="00442FFF">
            <w:pPr>
              <w:spacing w:before="60" w:after="60" w:line="240" w:lineRule="auto"/>
              <w:jc w:val="both"/>
              <w:rPr>
                <w:b/>
                <w:sz w:val="22"/>
                <w:szCs w:val="22"/>
              </w:rPr>
            </w:pPr>
            <w:r w:rsidRPr="003A6407">
              <w:rPr>
                <w:b/>
                <w:sz w:val="22"/>
                <w:szCs w:val="22"/>
              </w:rPr>
              <w:t>Wskaźnik: Liczba jednostek wytwarzania energii elektrycznej z OZE dopiero w 2017 r. osiągnął wartość 1, co wobec wartości z wykonania na 2021 r. (1437) stanowi zaledwie 0,07%.</w:t>
            </w:r>
          </w:p>
          <w:p w14:paraId="7A8FFFEB" w14:textId="77777777" w:rsidR="002A3CC5" w:rsidRPr="002A3CC5" w:rsidRDefault="002A3CC5" w:rsidP="002A3CC5">
            <w:pPr>
              <w:spacing w:before="60" w:after="60" w:line="240" w:lineRule="auto"/>
              <w:jc w:val="both"/>
              <w:rPr>
                <w:b/>
                <w:sz w:val="22"/>
                <w:szCs w:val="22"/>
              </w:rPr>
            </w:pPr>
            <w:r w:rsidRPr="002A3CC5">
              <w:rPr>
                <w:b/>
                <w:sz w:val="22"/>
                <w:szCs w:val="22"/>
              </w:rPr>
              <w:t>Liczba wybudowanych jednostek wytwarzania energii elektrycznej z OZE (produkt) – realizacja 0 szt. (koniec 2017 r.)</w:t>
            </w:r>
          </w:p>
          <w:p w14:paraId="65523BBE" w14:textId="0159C659" w:rsidR="002A3CC5" w:rsidRPr="003A6407" w:rsidRDefault="002A3CC5" w:rsidP="002A3CC5">
            <w:pPr>
              <w:spacing w:before="60" w:after="60" w:line="240" w:lineRule="auto"/>
              <w:jc w:val="both"/>
              <w:rPr>
                <w:b/>
                <w:sz w:val="22"/>
                <w:szCs w:val="22"/>
              </w:rPr>
            </w:pPr>
            <w:r w:rsidRPr="002A3CC5">
              <w:rPr>
                <w:b/>
                <w:sz w:val="22"/>
                <w:szCs w:val="22"/>
              </w:rPr>
              <w:t>Liczba wybudowanych jednostek wytwarzania energii cieplnej z OZE (produkt) – realizacja 2 szt. (koniec 2017 r.)</w:t>
            </w:r>
          </w:p>
          <w:p w14:paraId="7707EAD8" w14:textId="4516D8C5" w:rsidR="00442FFF" w:rsidRPr="003A6407" w:rsidRDefault="00442FFF" w:rsidP="00442FFF">
            <w:pPr>
              <w:spacing w:before="60" w:after="60" w:line="240" w:lineRule="auto"/>
              <w:jc w:val="both"/>
              <w:rPr>
                <w:b/>
              </w:rPr>
            </w:pPr>
            <w:r w:rsidRPr="003A6407">
              <w:rPr>
                <w:b/>
                <w:sz w:val="22"/>
                <w:szCs w:val="22"/>
              </w:rPr>
              <w:t>Mając na uwadze, że 2017 r. był już czwartym rokiem wdrażania programu RPO WD 2014-2020, a rok 2024 będzie de facto dopiero drugim rokiem wdrażania FEDS, wartość pośrednią dla tego wskaźnika ustalono jako 0.</w:t>
            </w:r>
          </w:p>
        </w:tc>
      </w:tr>
    </w:tbl>
    <w:p w14:paraId="15FF414E" w14:textId="77777777" w:rsidR="00B86E36" w:rsidRPr="003A6407" w:rsidRDefault="00B86E36" w:rsidP="00B256CA"/>
    <w:p w14:paraId="7C791052" w14:textId="77777777" w:rsidR="00B86E36" w:rsidRPr="003A6407" w:rsidRDefault="00B86E36" w:rsidP="000018D1">
      <w:pPr>
        <w:pStyle w:val="Nagwek2"/>
        <w:spacing w:after="200"/>
      </w:pPr>
      <w:bookmarkStart w:id="129" w:name="_Toc120464392"/>
      <w:r w:rsidRPr="003A6407">
        <w:t>Wskaźniki rezultatu</w:t>
      </w:r>
      <w:bookmarkEnd w:id="129"/>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844"/>
        <w:gridCol w:w="844"/>
        <w:gridCol w:w="739"/>
        <w:gridCol w:w="737"/>
        <w:gridCol w:w="736"/>
      </w:tblGrid>
      <w:tr w:rsidR="00191FE2" w:rsidRPr="003A6407" w14:paraId="01AEA80E" w14:textId="77777777" w:rsidTr="00AD1DFA">
        <w:trPr>
          <w:cantSplit/>
          <w:trHeight w:val="1755"/>
        </w:trPr>
        <w:tc>
          <w:tcPr>
            <w:tcW w:w="338" w:type="pct"/>
            <w:vAlign w:val="center"/>
          </w:tcPr>
          <w:p w14:paraId="4B740277"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CP 2</w:t>
            </w:r>
          </w:p>
          <w:p w14:paraId="3C8F5FA1" w14:textId="09CE7F2E"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367" w:type="pct"/>
            <w:vAlign w:val="center"/>
          </w:tcPr>
          <w:p w14:paraId="63547981"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415" w:type="pct"/>
            <w:vAlign w:val="center"/>
          </w:tcPr>
          <w:p w14:paraId="3AC637C9"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268" w:type="pct"/>
            <w:textDirection w:val="btLr"/>
            <w:vAlign w:val="center"/>
          </w:tcPr>
          <w:p w14:paraId="6156DF67"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050" w:type="pct"/>
            <w:shd w:val="clear" w:color="auto" w:fill="auto"/>
            <w:vAlign w:val="center"/>
          </w:tcPr>
          <w:p w14:paraId="5CC553E6" w14:textId="51F1BAD0"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409" w:type="pct"/>
            <w:textDirection w:val="btLr"/>
            <w:vAlign w:val="center"/>
          </w:tcPr>
          <w:p w14:paraId="19308476"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Jednostka miary</w:t>
            </w:r>
          </w:p>
        </w:tc>
        <w:tc>
          <w:tcPr>
            <w:tcW w:w="466" w:type="pct"/>
            <w:textDirection w:val="btLr"/>
            <w:vAlign w:val="center"/>
          </w:tcPr>
          <w:p w14:paraId="7556578A"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Wartość bazowa lub wartość odniesienia</w:t>
            </w:r>
          </w:p>
        </w:tc>
        <w:tc>
          <w:tcPr>
            <w:tcW w:w="466" w:type="pct"/>
            <w:textDirection w:val="btLr"/>
            <w:vAlign w:val="center"/>
          </w:tcPr>
          <w:p w14:paraId="0C693D93" w14:textId="77777777" w:rsidR="00B86E36" w:rsidRPr="003A6407" w:rsidRDefault="00B86E36" w:rsidP="00AD1DFA">
            <w:pPr>
              <w:spacing w:before="120" w:after="120" w:line="240" w:lineRule="auto"/>
              <w:ind w:left="113" w:right="113"/>
              <w:jc w:val="center"/>
              <w:rPr>
                <w:b/>
                <w:noProof/>
                <w:sz w:val="16"/>
                <w:szCs w:val="16"/>
              </w:rPr>
            </w:pPr>
            <w:r w:rsidRPr="003A6407">
              <w:rPr>
                <w:rFonts w:eastAsia="Calibri" w:cs="Times New Roman"/>
                <w:b/>
                <w:noProof/>
                <w:sz w:val="16"/>
                <w:szCs w:val="16"/>
                <w:lang w:eastAsia="pl-PL"/>
              </w:rPr>
              <w:t>Rok referencyjny</w:t>
            </w:r>
          </w:p>
        </w:tc>
        <w:tc>
          <w:tcPr>
            <w:tcW w:w="408" w:type="pct"/>
            <w:shd w:val="clear" w:color="auto" w:fill="auto"/>
            <w:vAlign w:val="center"/>
          </w:tcPr>
          <w:p w14:paraId="3C6BEE5E" w14:textId="77777777" w:rsidR="00B86E36" w:rsidRPr="003A6407" w:rsidRDefault="00B86E36" w:rsidP="00AD1DFA">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13A46E4F" w14:textId="77777777" w:rsidR="00B86E36" w:rsidRPr="003A6407" w:rsidRDefault="00B86E36" w:rsidP="00AD1DFA">
            <w:pPr>
              <w:spacing w:before="120" w:after="120" w:line="240" w:lineRule="auto"/>
              <w:jc w:val="center"/>
              <w:rPr>
                <w:b/>
                <w:noProof/>
                <w:sz w:val="16"/>
                <w:szCs w:val="16"/>
              </w:rPr>
            </w:pPr>
          </w:p>
        </w:tc>
        <w:tc>
          <w:tcPr>
            <w:tcW w:w="407" w:type="pct"/>
            <w:shd w:val="clear" w:color="auto" w:fill="auto"/>
            <w:vAlign w:val="center"/>
          </w:tcPr>
          <w:p w14:paraId="26287E3B" w14:textId="77777777" w:rsidR="00B86E36" w:rsidRPr="003A6407" w:rsidRDefault="00B86E36" w:rsidP="00AD1DFA">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406" w:type="pct"/>
            <w:vAlign w:val="center"/>
          </w:tcPr>
          <w:p w14:paraId="7A7F5361" w14:textId="77777777" w:rsidR="00B86E36" w:rsidRPr="003A6407" w:rsidRDefault="00B86E36" w:rsidP="00AD1DFA">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191FE2" w:rsidRPr="003A6407" w14:paraId="08BB7EFF" w14:textId="77777777" w:rsidTr="00AD1DFA">
        <w:trPr>
          <w:trHeight w:val="340"/>
        </w:trPr>
        <w:tc>
          <w:tcPr>
            <w:tcW w:w="338" w:type="pct"/>
            <w:vAlign w:val="center"/>
          </w:tcPr>
          <w:p w14:paraId="118CF085" w14:textId="77777777" w:rsidR="00B86E36" w:rsidRDefault="00B86E36" w:rsidP="00AD1DFA">
            <w:pPr>
              <w:spacing w:before="120" w:after="120" w:line="240" w:lineRule="auto"/>
              <w:jc w:val="center"/>
              <w:rPr>
                <w:noProof/>
                <w:sz w:val="16"/>
                <w:szCs w:val="16"/>
              </w:rPr>
            </w:pPr>
            <w:r w:rsidRPr="003A6407">
              <w:rPr>
                <w:noProof/>
                <w:sz w:val="16"/>
                <w:szCs w:val="16"/>
              </w:rPr>
              <w:t>2 (ii)</w:t>
            </w:r>
          </w:p>
          <w:p w14:paraId="2471BF49" w14:textId="12E07621" w:rsidR="00980C2E" w:rsidRPr="003A6407" w:rsidRDefault="00980C2E" w:rsidP="00AD1DFA">
            <w:pPr>
              <w:spacing w:before="120" w:after="120" w:line="240" w:lineRule="auto"/>
              <w:jc w:val="center"/>
              <w:rPr>
                <w:noProof/>
                <w:sz w:val="16"/>
                <w:szCs w:val="16"/>
              </w:rPr>
            </w:pPr>
            <w:r>
              <w:rPr>
                <w:noProof/>
                <w:sz w:val="16"/>
                <w:szCs w:val="16"/>
              </w:rPr>
              <w:t>2.2</w:t>
            </w:r>
          </w:p>
        </w:tc>
        <w:tc>
          <w:tcPr>
            <w:tcW w:w="367" w:type="pct"/>
            <w:vAlign w:val="center"/>
          </w:tcPr>
          <w:p w14:paraId="3AC40EB7"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415" w:type="pct"/>
            <w:vAlign w:val="center"/>
          </w:tcPr>
          <w:p w14:paraId="0E755FFF"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268" w:type="pct"/>
            <w:vAlign w:val="center"/>
          </w:tcPr>
          <w:p w14:paraId="47F06120" w14:textId="77777777" w:rsidR="00B86E36" w:rsidRPr="003A6407" w:rsidRDefault="00B86E36" w:rsidP="00AD1DFA">
            <w:pPr>
              <w:spacing w:before="120" w:after="120" w:line="240" w:lineRule="auto"/>
              <w:jc w:val="center"/>
              <w:rPr>
                <w:noProof/>
                <w:sz w:val="16"/>
                <w:szCs w:val="16"/>
              </w:rPr>
            </w:pPr>
            <w:r w:rsidRPr="003A6407">
              <w:rPr>
                <w:noProof/>
                <w:sz w:val="16"/>
                <w:szCs w:val="16"/>
              </w:rPr>
              <w:t>RCR032</w:t>
            </w:r>
          </w:p>
        </w:tc>
        <w:tc>
          <w:tcPr>
            <w:tcW w:w="1050" w:type="pct"/>
            <w:shd w:val="clear" w:color="auto" w:fill="auto"/>
            <w:vAlign w:val="center"/>
          </w:tcPr>
          <w:p w14:paraId="6BCAD7E6" w14:textId="77777777" w:rsidR="00B86E36" w:rsidRPr="003A6407" w:rsidRDefault="00B86E36" w:rsidP="00AD1DFA">
            <w:pPr>
              <w:keepNext/>
              <w:keepLines/>
              <w:spacing w:before="200" w:after="0"/>
              <w:jc w:val="center"/>
              <w:outlineLvl w:val="2"/>
              <w:rPr>
                <w:rFonts w:eastAsiaTheme="majorEastAsia" w:cstheme="majorBidi"/>
                <w:b/>
                <w:bCs/>
                <w:noProof/>
                <w:sz w:val="16"/>
                <w:szCs w:val="16"/>
              </w:rPr>
            </w:pPr>
            <w:bookmarkStart w:id="130" w:name="_Toc97792255"/>
            <w:bookmarkStart w:id="131" w:name="_Toc120464393"/>
            <w:r w:rsidRPr="003A6407">
              <w:rPr>
                <w:rFonts w:asciiTheme="minorHAnsi" w:eastAsia="Times New Roman" w:hAnsiTheme="minorHAnsi" w:cstheme="minorHAnsi"/>
                <w:bCs/>
                <w:noProof/>
                <w:sz w:val="16"/>
                <w:szCs w:val="16"/>
              </w:rPr>
              <w:t>Dodatkowa moc zainstalowana odnawialnych źródeł energii</w:t>
            </w:r>
            <w:bookmarkEnd w:id="130"/>
            <w:bookmarkEnd w:id="131"/>
          </w:p>
        </w:tc>
        <w:tc>
          <w:tcPr>
            <w:tcW w:w="409" w:type="pct"/>
            <w:vAlign w:val="center"/>
          </w:tcPr>
          <w:p w14:paraId="5FC97323" w14:textId="77777777" w:rsidR="00B86E36" w:rsidRPr="003A6407" w:rsidRDefault="00B86E36" w:rsidP="00AD1DFA">
            <w:pPr>
              <w:spacing w:before="120" w:after="120" w:line="240" w:lineRule="auto"/>
              <w:jc w:val="center"/>
              <w:rPr>
                <w:noProof/>
                <w:sz w:val="16"/>
                <w:szCs w:val="16"/>
              </w:rPr>
            </w:pPr>
            <w:r w:rsidRPr="003A6407">
              <w:rPr>
                <w:noProof/>
                <w:sz w:val="16"/>
                <w:szCs w:val="16"/>
              </w:rPr>
              <w:t>MW</w:t>
            </w:r>
          </w:p>
        </w:tc>
        <w:tc>
          <w:tcPr>
            <w:tcW w:w="466" w:type="pct"/>
            <w:vAlign w:val="center"/>
          </w:tcPr>
          <w:p w14:paraId="4E52E4CC" w14:textId="16F618F1" w:rsidR="00B86E36" w:rsidRPr="003A6407" w:rsidRDefault="00890103" w:rsidP="00AD1DFA">
            <w:pPr>
              <w:spacing w:before="120" w:after="120" w:line="240" w:lineRule="auto"/>
              <w:jc w:val="center"/>
              <w:rPr>
                <w:noProof/>
                <w:sz w:val="16"/>
                <w:szCs w:val="16"/>
              </w:rPr>
            </w:pPr>
            <w:r w:rsidRPr="003A6407">
              <w:rPr>
                <w:noProof/>
                <w:sz w:val="16"/>
                <w:szCs w:val="16"/>
              </w:rPr>
              <w:t>0,00</w:t>
            </w:r>
          </w:p>
        </w:tc>
        <w:tc>
          <w:tcPr>
            <w:tcW w:w="466" w:type="pct"/>
            <w:shd w:val="clear" w:color="auto" w:fill="auto"/>
            <w:vAlign w:val="center"/>
          </w:tcPr>
          <w:p w14:paraId="5D205334" w14:textId="2D31B59F" w:rsidR="00B86E36" w:rsidRPr="003A6407" w:rsidRDefault="00890103" w:rsidP="00AD1DFA">
            <w:pPr>
              <w:spacing w:before="120" w:after="120" w:line="240" w:lineRule="auto"/>
              <w:jc w:val="center"/>
              <w:rPr>
                <w:noProof/>
                <w:sz w:val="16"/>
                <w:szCs w:val="16"/>
              </w:rPr>
            </w:pPr>
            <w:r w:rsidRPr="003A6407">
              <w:rPr>
                <w:noProof/>
                <w:sz w:val="16"/>
                <w:szCs w:val="16"/>
              </w:rPr>
              <w:t>2022</w:t>
            </w:r>
          </w:p>
        </w:tc>
        <w:tc>
          <w:tcPr>
            <w:tcW w:w="408" w:type="pct"/>
            <w:shd w:val="clear" w:color="auto" w:fill="auto"/>
            <w:vAlign w:val="center"/>
          </w:tcPr>
          <w:p w14:paraId="3C24DDB7" w14:textId="44B682F5" w:rsidR="00B86E36" w:rsidRPr="003A6407" w:rsidRDefault="00B86E36" w:rsidP="00AD1DFA">
            <w:pPr>
              <w:spacing w:before="120" w:after="120" w:line="240" w:lineRule="auto"/>
              <w:jc w:val="center"/>
              <w:rPr>
                <w:noProof/>
                <w:sz w:val="16"/>
                <w:szCs w:val="16"/>
              </w:rPr>
            </w:pPr>
            <w:r w:rsidRPr="003A6407">
              <w:rPr>
                <w:noProof/>
                <w:sz w:val="16"/>
                <w:szCs w:val="16"/>
              </w:rPr>
              <w:t>6</w:t>
            </w:r>
            <w:r w:rsidR="00395E76">
              <w:rPr>
                <w:noProof/>
                <w:sz w:val="16"/>
                <w:szCs w:val="16"/>
              </w:rPr>
              <w:t>2</w:t>
            </w:r>
            <w:r w:rsidR="00160708">
              <w:rPr>
                <w:noProof/>
                <w:sz w:val="16"/>
                <w:szCs w:val="16"/>
              </w:rPr>
              <w:t>,00</w:t>
            </w:r>
          </w:p>
        </w:tc>
        <w:tc>
          <w:tcPr>
            <w:tcW w:w="407" w:type="pct"/>
            <w:vAlign w:val="center"/>
          </w:tcPr>
          <w:p w14:paraId="6D5A7791" w14:textId="20AA9AA8" w:rsidR="00B86E36" w:rsidRPr="003A6407" w:rsidDel="001D2E8F" w:rsidRDefault="00890103" w:rsidP="00AD1DFA">
            <w:pPr>
              <w:spacing w:before="120" w:after="120" w:line="240" w:lineRule="auto"/>
              <w:jc w:val="center"/>
              <w:rPr>
                <w:noProof/>
                <w:sz w:val="16"/>
                <w:szCs w:val="16"/>
              </w:rPr>
            </w:pPr>
            <w:r w:rsidRPr="003A6407">
              <w:rPr>
                <w:noProof/>
                <w:sz w:val="16"/>
                <w:szCs w:val="16"/>
              </w:rPr>
              <w:t>SL</w:t>
            </w:r>
          </w:p>
        </w:tc>
        <w:tc>
          <w:tcPr>
            <w:tcW w:w="406" w:type="pct"/>
            <w:vAlign w:val="center"/>
          </w:tcPr>
          <w:p w14:paraId="42A9D775" w14:textId="77777777" w:rsidR="00B86E36" w:rsidRPr="003A6407" w:rsidDel="001D2E8F" w:rsidRDefault="00B86E36" w:rsidP="00AD1DFA">
            <w:pPr>
              <w:spacing w:before="120" w:after="120" w:line="240" w:lineRule="auto"/>
              <w:jc w:val="center"/>
              <w:rPr>
                <w:noProof/>
                <w:sz w:val="16"/>
                <w:szCs w:val="16"/>
              </w:rPr>
            </w:pPr>
          </w:p>
        </w:tc>
      </w:tr>
      <w:tr w:rsidR="00B86E36" w:rsidRPr="003A6407" w14:paraId="12838D89" w14:textId="77777777" w:rsidTr="00175EA5">
        <w:trPr>
          <w:trHeight w:val="340"/>
        </w:trPr>
        <w:tc>
          <w:tcPr>
            <w:tcW w:w="5000" w:type="pct"/>
            <w:gridSpan w:val="11"/>
          </w:tcPr>
          <w:p w14:paraId="1C03A7CC" w14:textId="77777777" w:rsidR="00B86E36" w:rsidRPr="003A6407" w:rsidRDefault="00B86E36" w:rsidP="00B256CA">
            <w:pPr>
              <w:spacing w:before="60" w:after="60" w:line="240" w:lineRule="auto"/>
              <w:jc w:val="both"/>
            </w:pPr>
            <w:r w:rsidRPr="003A6407">
              <w:t>Metodologia:</w:t>
            </w:r>
          </w:p>
          <w:p w14:paraId="53490890" w14:textId="11C498BA" w:rsidR="00B86E36" w:rsidRPr="003A6407" w:rsidRDefault="00B86E36" w:rsidP="00B256CA">
            <w:pPr>
              <w:spacing w:before="60" w:after="60" w:line="240" w:lineRule="auto"/>
              <w:jc w:val="both"/>
            </w:pPr>
            <w:r w:rsidRPr="003A6407">
              <w:t xml:space="preserve">Wskaźnik realizuje kody interwencji: 048 Energia odnawialna: słoneczna w kwocie </w:t>
            </w:r>
            <w:r w:rsidR="002A5C2B">
              <w:t>24 951 208</w:t>
            </w:r>
            <w:r w:rsidRPr="003A6407">
              <w:t xml:space="preserve"> EUR, 049 Energia odnawialna: biomasa w kwocie 4 007 680 EUR oraz 052 Inne rodzaje energii odnawialnej (w tym energia geotermalna) w kwocie </w:t>
            </w:r>
            <w:r w:rsidR="00395E76">
              <w:t>17 211 948</w:t>
            </w:r>
            <w:r w:rsidRPr="003A6407">
              <w:t xml:space="preserve"> EUR o łącznej wartości </w:t>
            </w:r>
            <w:r w:rsidR="00395E76">
              <w:t>46 170 836</w:t>
            </w:r>
            <w:r w:rsidRPr="003A6407">
              <w:t xml:space="preserve"> EUR. Uwzględniając (odejmując) koszty uproszczone na poziomie 7%, wartość alokacji realizującej dany wskaźnik wynosi </w:t>
            </w:r>
            <w:r w:rsidR="00395E76">
              <w:t>42 938 877,5</w:t>
            </w:r>
            <w:r w:rsidRPr="003A6407">
              <w:t xml:space="preserve"> EUR.</w:t>
            </w:r>
          </w:p>
          <w:p w14:paraId="33DA52C8" w14:textId="77777777" w:rsidR="00B86E36" w:rsidRPr="003A6407" w:rsidRDefault="00B86E36" w:rsidP="00B256CA">
            <w:pPr>
              <w:spacing w:before="60" w:after="60" w:line="240" w:lineRule="auto"/>
              <w:jc w:val="both"/>
            </w:pPr>
          </w:p>
          <w:p w14:paraId="59A68DA9" w14:textId="4AFFF53E" w:rsidR="00B86E36" w:rsidRPr="003A6407" w:rsidRDefault="00B86E36" w:rsidP="00B256CA">
            <w:pPr>
              <w:spacing w:before="60" w:after="60" w:line="240" w:lineRule="auto"/>
              <w:jc w:val="both"/>
            </w:pPr>
            <w:r w:rsidRPr="003A6407">
              <w:t xml:space="preserve">Historyczny koszt jednostkowy na bazie doświadczeń z perspektywy 2014-2020 wynosi 2 213 221,83 PLN. Koszt jednostkowy został skorygowany w oparciu o wartość inflacji na poziomie 15% i wynosi 2 545 205,10 PLN, a wartość dofinansowania na poziomie 70% wynosi 1 781 643,57 PLN; biorąc pod uwagę kurs EUR na poziomie 4,45 koszt jednostkowy wynosi 400 369,34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 </w:t>
            </w:r>
          </w:p>
          <w:p w14:paraId="65955F6A" w14:textId="77777777" w:rsidR="00B86E36" w:rsidRPr="003A6407" w:rsidRDefault="00B86E36" w:rsidP="00B256CA">
            <w:pPr>
              <w:spacing w:before="60" w:after="60" w:line="240" w:lineRule="auto"/>
              <w:jc w:val="both"/>
            </w:pPr>
          </w:p>
          <w:p w14:paraId="2E7A493D" w14:textId="77777777" w:rsidR="00B86E36" w:rsidRPr="003A6407" w:rsidRDefault="00B86E36" w:rsidP="00B256CA">
            <w:pPr>
              <w:spacing w:before="60" w:after="60" w:line="240" w:lineRule="auto"/>
              <w:jc w:val="both"/>
            </w:pPr>
            <w:r w:rsidRPr="003A6407">
              <w:t>R: [(6*25)+(4*68)]/10 = 42,2%</w:t>
            </w:r>
          </w:p>
          <w:p w14:paraId="245879EF" w14:textId="77777777" w:rsidR="00B86E36" w:rsidRPr="003A6407" w:rsidRDefault="00B86E36" w:rsidP="00B256CA">
            <w:pPr>
              <w:spacing w:before="60" w:after="60" w:line="240" w:lineRule="auto"/>
              <w:jc w:val="both"/>
            </w:pPr>
          </w:p>
          <w:p w14:paraId="714A9851" w14:textId="77777777" w:rsidR="00B86E36" w:rsidRPr="003A6407" w:rsidRDefault="00B86E36" w:rsidP="00B256CA">
            <w:pPr>
              <w:spacing w:before="60" w:after="60" w:line="240" w:lineRule="auto"/>
              <w:jc w:val="both"/>
            </w:pPr>
            <w:r w:rsidRPr="003A6407">
              <w:t>Wyliczenie:</w:t>
            </w:r>
          </w:p>
          <w:p w14:paraId="55C25B1A" w14:textId="50DA70F6" w:rsidR="00B86E36" w:rsidRPr="003A6407" w:rsidRDefault="00395E76" w:rsidP="00B256CA">
            <w:pPr>
              <w:spacing w:before="60" w:after="60" w:line="240" w:lineRule="auto"/>
              <w:jc w:val="both"/>
            </w:pPr>
            <w:r>
              <w:t>42 938 577,5</w:t>
            </w:r>
            <w:r w:rsidR="00B86E36" w:rsidRPr="003A6407">
              <w:t xml:space="preserve"> / 400 369,345 * (1-0,422) = </w:t>
            </w:r>
            <w:r>
              <w:t>62</w:t>
            </w:r>
            <w:r w:rsidR="00B86E36" w:rsidRPr="003A6407">
              <w:t xml:space="preserve"> MW</w:t>
            </w:r>
          </w:p>
          <w:p w14:paraId="1C2DE211" w14:textId="77777777" w:rsidR="00B86E36" w:rsidRPr="003A6407" w:rsidRDefault="00B86E36" w:rsidP="00B256CA">
            <w:pPr>
              <w:spacing w:before="60" w:after="60" w:line="240" w:lineRule="auto"/>
              <w:jc w:val="both"/>
            </w:pPr>
          </w:p>
          <w:p w14:paraId="2746760D"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552B9C53" w14:textId="17631219" w:rsidR="00B86E36" w:rsidRPr="003A6407" w:rsidRDefault="00B86E36" w:rsidP="00B256CA">
            <w:pPr>
              <w:spacing w:before="60" w:after="60" w:line="240" w:lineRule="auto"/>
              <w:jc w:val="both"/>
            </w:pPr>
            <w:r w:rsidRPr="003A6407">
              <w:lastRenderedPageBreak/>
              <w:t>•</w:t>
            </w:r>
            <w:r w:rsidRPr="003A6407">
              <w:rPr>
                <w:b/>
              </w:rPr>
              <w:t>ryzyko wzrostu ceny</w:t>
            </w:r>
            <w:r w:rsidRPr="003A6407">
              <w:t xml:space="preserve"> </w:t>
            </w:r>
            <w:r w:rsidR="00EE0C5C">
              <w:t>–</w:t>
            </w:r>
            <w:r w:rsidRPr="003A6407">
              <w:t xml:space="preserve"> ryzyko związane ze wzrostem cen materiałów, surowców, sprzętu i usług; ryzyko związane z poziomem inflacji; (istotność: poważna)</w:t>
            </w:r>
          </w:p>
          <w:p w14:paraId="0519008F" w14:textId="52A74E43" w:rsidR="00B86E36" w:rsidRPr="003A6407" w:rsidRDefault="00B86E36" w:rsidP="00B256CA">
            <w:pPr>
              <w:spacing w:before="60" w:after="60" w:line="240" w:lineRule="auto"/>
              <w:jc w:val="both"/>
            </w:pPr>
            <w:r w:rsidRPr="003A6407">
              <w:t>•</w:t>
            </w:r>
            <w:r w:rsidRPr="003A6407">
              <w:rPr>
                <w:b/>
              </w:rPr>
              <w:t>ryzyko walutowe</w:t>
            </w:r>
            <w:r w:rsidRPr="003A6407">
              <w:t xml:space="preserve"> </w:t>
            </w:r>
            <w:r w:rsidR="00EE0C5C">
              <w:t>–</w:t>
            </w:r>
            <w:r w:rsidRPr="003A6407">
              <w:t xml:space="preserve">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B3730B6"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7F5489E2" w14:textId="7FE5FD18" w:rsidR="00B86E36" w:rsidRPr="003A6407" w:rsidRDefault="00B86E36" w:rsidP="00B256CA">
            <w:pPr>
              <w:spacing w:before="60" w:after="60" w:line="240" w:lineRule="auto"/>
              <w:jc w:val="both"/>
            </w:pPr>
            <w:r w:rsidRPr="003A6407">
              <w:t>•</w:t>
            </w:r>
            <w:r w:rsidRPr="003A6407">
              <w:rPr>
                <w:b/>
                <w:bCs/>
              </w:rPr>
              <w:t>czynniki które mogą wpłynąć na harmonogram realizacji planów działania dot. spełnienia warunków podstawowych ,</w:t>
            </w:r>
            <w:r w:rsidRPr="003A6407">
              <w:t xml:space="preserve"> a które są poza kompetencjami </w:t>
            </w:r>
            <w:r w:rsidR="00EE0C5C">
              <w:t>NP.</w:t>
            </w:r>
            <w:r w:rsidRPr="003A6407">
              <w:t xml:space="preserve"> oraz instytucji odpowiedzialnych za spełnienie tych warunków; (istotność: umiarkowana)</w:t>
            </w:r>
          </w:p>
          <w:p w14:paraId="693AA626" w14:textId="77777777" w:rsidR="00B86E36" w:rsidRPr="003A6407" w:rsidRDefault="00B86E36" w:rsidP="00B256CA">
            <w:pPr>
              <w:spacing w:before="60" w:after="60" w:line="240" w:lineRule="auto"/>
              <w:jc w:val="both"/>
            </w:pPr>
            <w:r w:rsidRPr="003A6407">
              <w:t>•</w:t>
            </w:r>
            <w:r w:rsidRPr="003A6407">
              <w:rPr>
                <w:b/>
              </w:rPr>
              <w:t>ostateczne ustalenia dot. występowania i poziomu pomocy publicznej</w:t>
            </w:r>
            <w:r w:rsidRPr="003A6407">
              <w:t>; (istotność: umiarkowana)</w:t>
            </w:r>
          </w:p>
          <w:p w14:paraId="0A04F42C"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umiarkowana)</w:t>
            </w:r>
          </w:p>
          <w:p w14:paraId="7B17F2D4" w14:textId="77777777" w:rsidR="00B86E36" w:rsidRPr="003A6407" w:rsidRDefault="00B86E36" w:rsidP="00B256CA">
            <w:pPr>
              <w:spacing w:before="60" w:after="60" w:line="240" w:lineRule="auto"/>
              <w:jc w:val="both"/>
              <w:rPr>
                <w:bCs/>
              </w:rPr>
            </w:pPr>
            <w:r w:rsidRPr="003A6407">
              <w:rPr>
                <w:b/>
              </w:rPr>
              <w:t xml:space="preserve">•opóźnienia, </w:t>
            </w:r>
            <w:r w:rsidRPr="003A6407">
              <w:rPr>
                <w:bCs/>
              </w:rPr>
              <w:t>bądź niewykonanie projektu związane z uzyskiwaniem pozwoleń i decyzji środowiskowych, procedurami wynikającymi z zamówień publicznych; (istotność: poważna)</w:t>
            </w:r>
          </w:p>
          <w:p w14:paraId="60CBADB8" w14:textId="2124EDC8" w:rsidR="00B86E36" w:rsidRPr="003A6407" w:rsidRDefault="00B86E36" w:rsidP="00B256CA">
            <w:pPr>
              <w:spacing w:before="60" w:after="60" w:line="240" w:lineRule="auto"/>
              <w:jc w:val="both"/>
              <w:rPr>
                <w:b/>
              </w:rPr>
            </w:pPr>
            <w:r w:rsidRPr="003A6407">
              <w:rPr>
                <w:b/>
              </w:rPr>
              <w:t>•</w:t>
            </w:r>
            <w:r w:rsidRPr="003A6407">
              <w:rPr>
                <w:b/>
                <w:bCs/>
              </w:rPr>
              <w:t xml:space="preserve"> ryzyko po stronie oddania do eksploatacji, </w:t>
            </w:r>
            <w:r w:rsidR="00EE0C5C">
              <w:t>np</w:t>
            </w:r>
            <w:r w:rsidRPr="003A6407">
              <w:t>. możliwości podłączenia do sieci</w:t>
            </w:r>
            <w:r w:rsidRPr="003A6407">
              <w:rPr>
                <w:b/>
                <w:bCs/>
              </w:rPr>
              <w:t xml:space="preserve">, </w:t>
            </w:r>
            <w:r w:rsidRPr="003A6407">
              <w:t>opóźnienia związane z jej rozbudową lub odmowa podłączenia; (istotność:</w:t>
            </w:r>
            <w:r w:rsidRPr="003A6407">
              <w:rPr>
                <w:b/>
                <w:bCs/>
              </w:rPr>
              <w:t xml:space="preserve"> </w:t>
            </w:r>
            <w:r w:rsidRPr="003A6407">
              <w:t>poważna)</w:t>
            </w:r>
          </w:p>
          <w:p w14:paraId="00D44BAE"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poważne)</w:t>
            </w:r>
          </w:p>
          <w:p w14:paraId="7FEBC28D"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możliwość terminowego pozyskiwania zgód i pozwoleń administracyjnych; (istotność: umiarkowana)</w:t>
            </w:r>
            <w:r w:rsidR="004E5602" w:rsidRPr="003A6407">
              <w:rPr>
                <w:bCs/>
              </w:rPr>
              <w:t>.</w:t>
            </w:r>
          </w:p>
          <w:p w14:paraId="49D90EBB" w14:textId="77777777" w:rsidR="004E5602" w:rsidRPr="003A6407" w:rsidRDefault="004E5602" w:rsidP="00B256CA">
            <w:pPr>
              <w:spacing w:before="60" w:after="60" w:line="240" w:lineRule="auto"/>
              <w:jc w:val="both"/>
              <w:rPr>
                <w:bCs/>
              </w:rPr>
            </w:pPr>
          </w:p>
          <w:p w14:paraId="6B6811E6" w14:textId="7744BC1C" w:rsidR="004E5602" w:rsidRPr="003A6407" w:rsidRDefault="004E5602" w:rsidP="004E5602">
            <w:pPr>
              <w:spacing w:before="60" w:after="60" w:line="240" w:lineRule="auto"/>
              <w:jc w:val="both"/>
            </w:pPr>
          </w:p>
        </w:tc>
      </w:tr>
    </w:tbl>
    <w:p w14:paraId="5BD96BDA" w14:textId="77777777" w:rsidR="00B86E36" w:rsidRPr="003A6407" w:rsidRDefault="00B86E36" w:rsidP="00B256CA"/>
    <w:p w14:paraId="35960196" w14:textId="7A59A4EC" w:rsidR="00B86E36" w:rsidRPr="003A6407" w:rsidRDefault="00B86E36" w:rsidP="00072712">
      <w:pPr>
        <w:pStyle w:val="Nagwek2"/>
        <w:spacing w:after="200"/>
      </w:pPr>
      <w:bookmarkStart w:id="132" w:name="_Toc120464394"/>
      <w:r w:rsidRPr="003A6407">
        <w:t>CEL SZCZEGÓŁOWY:</w:t>
      </w:r>
      <w:bookmarkStart w:id="133" w:name="_Toc97792256"/>
      <w:r w:rsidRPr="003A6407">
        <w:t xml:space="preserve"> </w:t>
      </w:r>
      <w:r w:rsidR="00980C2E" w:rsidRPr="00980C2E">
        <w:t>RSO2.5. Wspieranie dostępu do wody oraz zrównoważonej gospodarki wodnej (EFRR)</w:t>
      </w:r>
      <w:bookmarkEnd w:id="132"/>
      <w:r w:rsidRPr="003A6407">
        <w:t xml:space="preserve"> </w:t>
      </w:r>
      <w:bookmarkEnd w:id="133"/>
    </w:p>
    <w:p w14:paraId="56C7A21F" w14:textId="26E03FCB" w:rsidR="00B86E36" w:rsidRDefault="00B86E36" w:rsidP="00072712">
      <w:pPr>
        <w:pStyle w:val="Nagwek2"/>
        <w:spacing w:after="200"/>
      </w:pPr>
      <w:bookmarkStart w:id="134" w:name="_Toc120464395"/>
      <w:r w:rsidRPr="003A6407">
        <w:t>Wskaźniki produktu</w:t>
      </w:r>
      <w:bookmarkEnd w:id="134"/>
    </w:p>
    <w:p w14:paraId="4CFC7DCA"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7D5082F5"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729723" w14:textId="3F82567D"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2</w:t>
            </w:r>
          </w:p>
          <w:p w14:paraId="001CCAA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B96E6D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723C511"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4BED20"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5D4B73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C84D97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F96D3E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84C884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B14140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7C52533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460CD49C"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4BCE093" w14:textId="3FB1C7D5"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w:t>
            </w:r>
          </w:p>
          <w:p w14:paraId="2D002CB6" w14:textId="4780975C"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C01CA1"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EFRR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37173683"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931A55" w14:textId="5B6C6A00" w:rsidR="00EE0C5C" w:rsidRPr="00B44649"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B44649">
              <w:rPr>
                <w:rFonts w:eastAsia="Calibri" w:cs="Times New Roman"/>
                <w:b/>
                <w:noProof/>
                <w:sz w:val="16"/>
                <w:szCs w:val="16"/>
              </w:rPr>
              <w:t>RCO7</w:t>
            </w:r>
            <w:r>
              <w:rPr>
                <w:rFonts w:eastAsia="Calibri" w:cs="Times New Roman"/>
                <w:b/>
                <w:noProof/>
                <w:sz w:val="16"/>
                <w:szCs w:val="16"/>
              </w:rPr>
              <w:t>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665E114"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D78B0EE"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A286D41" w14:textId="34ACD736" w:rsidR="00EE0C5C" w:rsidRPr="00B44649" w:rsidRDefault="00D75222"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7D1D83"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BF44BCD" w14:textId="1843D4CD" w:rsidR="00EE0C5C" w:rsidRPr="00B44649" w:rsidRDefault="00D75222"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19 936</w:t>
            </w:r>
          </w:p>
        </w:tc>
      </w:tr>
      <w:tr w:rsidR="00EE0C5C" w:rsidRPr="003A6407" w14:paraId="7633E927" w14:textId="77777777" w:rsidTr="002A48C3">
        <w:trPr>
          <w:trHeight w:val="340"/>
        </w:trPr>
        <w:tc>
          <w:tcPr>
            <w:tcW w:w="5000" w:type="pct"/>
            <w:gridSpan w:val="8"/>
            <w:shd w:val="clear" w:color="auto" w:fill="auto"/>
          </w:tcPr>
          <w:p w14:paraId="7545360B"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7B3727DF" w14:textId="76C4CCB8"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0E019B2A" w14:textId="4365CB20" w:rsidR="00EE0C5C" w:rsidRPr="003A6407" w:rsidRDefault="00EE0C5C" w:rsidP="002A48C3">
            <w:pPr>
              <w:rPr>
                <w:rFonts w:eastAsia="Calibri"/>
              </w:rPr>
            </w:pPr>
            <w:r w:rsidRPr="003A6407">
              <w:rPr>
                <w:rFonts w:eastAsia="Calibri"/>
              </w:rPr>
              <w:lastRenderedPageBreak/>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xml:space="preserve">, scharakteryzowano podejście terytorialne obejmujące cały obszar województwa dolnośląskiego poprzez </w:t>
            </w:r>
            <w:r w:rsidR="00F23267">
              <w:rPr>
                <w:rFonts w:eastAsia="Calibri"/>
              </w:rPr>
              <w:t xml:space="preserve">7 </w:t>
            </w:r>
            <w:r w:rsidRPr="003A6407">
              <w:rPr>
                <w:rFonts w:eastAsia="Calibri"/>
              </w:rPr>
              <w:t>obszarów:</w:t>
            </w:r>
          </w:p>
          <w:p w14:paraId="6EAA4530" w14:textId="16359661" w:rsidR="00EE0C5C" w:rsidRPr="003A6407" w:rsidRDefault="00EE0C5C" w:rsidP="002A48C3">
            <w:pPr>
              <w:rPr>
                <w:rFonts w:eastAsia="Calibri"/>
              </w:rPr>
            </w:pPr>
            <w:r w:rsidRPr="003A6407">
              <w:rPr>
                <w:rFonts w:eastAsia="Calibri"/>
              </w:rPr>
              <w:t xml:space="preserve">- </w:t>
            </w:r>
            <w:r w:rsidR="00F23267">
              <w:rPr>
                <w:rFonts w:eastAsia="Calibri"/>
              </w:rPr>
              <w:t>6</w:t>
            </w:r>
            <w:r w:rsidR="00F23267" w:rsidRPr="003A6407">
              <w:rPr>
                <w:rFonts w:eastAsia="Calibri"/>
              </w:rPr>
              <w:t xml:space="preserve"> </w:t>
            </w:r>
            <w:r w:rsidRPr="003A6407">
              <w:rPr>
                <w:rFonts w:eastAsia="Calibri"/>
              </w:rPr>
              <w:t>Zintegrowanych Inwestycji Terytorialnych;</w:t>
            </w:r>
          </w:p>
          <w:p w14:paraId="152D45B7" w14:textId="77777777" w:rsidR="00EE0C5C" w:rsidRPr="003A6407" w:rsidRDefault="00EE0C5C" w:rsidP="002A48C3">
            <w:pPr>
              <w:rPr>
                <w:rFonts w:eastAsia="Calibri"/>
              </w:rPr>
            </w:pPr>
            <w:r w:rsidRPr="003A6407">
              <w:rPr>
                <w:rFonts w:eastAsia="Calibri"/>
              </w:rPr>
              <w:t>- 1 Inny Instrument Terytorialny;</w:t>
            </w:r>
          </w:p>
          <w:p w14:paraId="2C51FA70" w14:textId="5D7686C6" w:rsidR="00F23267" w:rsidRDefault="00F23267" w:rsidP="00D75222">
            <w:pPr>
              <w:rPr>
                <w:rFonts w:eastAsia="Calibri"/>
              </w:rPr>
            </w:pPr>
            <w:r w:rsidRPr="00F23267">
              <w:rPr>
                <w:rFonts w:eastAsia="Calibri"/>
              </w:rPr>
              <w:t xml:space="preserve">Zważywszy jednak, że wsparcie – zgodnie z UP ma być adresowane  do aglomeracji 2-15 RLM niespełniających Dyrektywy ściekowej oraz że będzie realizowane </w:t>
            </w:r>
            <w:r w:rsidR="009C3D1A">
              <w:rPr>
                <w:rFonts w:eastAsia="Calibri"/>
              </w:rPr>
              <w:t xml:space="preserve"> w FEDS </w:t>
            </w:r>
            <w:r w:rsidRPr="00F23267">
              <w:rPr>
                <w:rFonts w:eastAsia="Calibri"/>
              </w:rPr>
              <w:t xml:space="preserve">poprzez </w:t>
            </w:r>
            <w:r w:rsidR="009C3D1A">
              <w:rPr>
                <w:rFonts w:eastAsia="Calibri"/>
              </w:rPr>
              <w:t>i</w:t>
            </w:r>
            <w:r>
              <w:rPr>
                <w:rFonts w:eastAsia="Calibri"/>
              </w:rPr>
              <w:t xml:space="preserve">nstrumenty </w:t>
            </w:r>
            <w:r w:rsidR="009C3D1A">
              <w:rPr>
                <w:rFonts w:eastAsia="Calibri"/>
              </w:rPr>
              <w:t>t</w:t>
            </w:r>
            <w:r>
              <w:rPr>
                <w:rFonts w:eastAsia="Calibri"/>
              </w:rPr>
              <w:t>erytorialne</w:t>
            </w:r>
            <w:r w:rsidRPr="00F23267">
              <w:rPr>
                <w:rFonts w:eastAsia="Calibri"/>
              </w:rPr>
              <w:t>, wartość docelowa wskaźnika została określona dla 6 instrumentów z uwagi na występowanie na ich obszarze ww.  aglomeracji z uwzględnieniem tylko liczby ludności z terenu aglomeracji niespełniających Dyrektywy ściekowej.</w:t>
            </w:r>
          </w:p>
          <w:p w14:paraId="06B38108" w14:textId="77777777" w:rsidR="00F23267" w:rsidRDefault="00F23267" w:rsidP="00D75222">
            <w:pPr>
              <w:rPr>
                <w:rFonts w:eastAsia="Calibri"/>
              </w:rPr>
            </w:pPr>
          </w:p>
          <w:p w14:paraId="45FCE4C3" w14:textId="7F51F867" w:rsidR="00D75222" w:rsidRPr="00D75222" w:rsidRDefault="00D75222" w:rsidP="00D75222">
            <w:pPr>
              <w:rPr>
                <w:rFonts w:eastAsia="Calibri"/>
              </w:rPr>
            </w:pPr>
            <w:r w:rsidRPr="00D75222">
              <w:rPr>
                <w:rFonts w:eastAsia="Calibri"/>
              </w:rPr>
              <w:t>Metodologia:</w:t>
            </w:r>
          </w:p>
          <w:p w14:paraId="11E0EBB4" w14:textId="77777777" w:rsidR="00D75222" w:rsidRPr="00D75222" w:rsidRDefault="00D75222" w:rsidP="00D75222">
            <w:pPr>
              <w:rPr>
                <w:rFonts w:eastAsia="Calibri"/>
              </w:rPr>
            </w:pPr>
            <w:r w:rsidRPr="00D75222">
              <w:rPr>
                <w:rFonts w:eastAsia="Calibri"/>
              </w:rPr>
              <w:t>Wskaźnik dotyczy dodatkowej ludności przyłączonej do zbiorowych systemów oczyszczania ścieków co najmniej II stopnia w wyniku projektów objętych wsparciem (w zakresie oczyszczalni i rozbudowy ścieków). Dane do wyliczenia wskaźnika pochodzą z KPOŚK tj. zsumowano liczbę mieszkańców planowanych do podłączenia do istniejącej kanalizacji, która wynosi 685 z całkowitym przyrostem liczby rzeczywistych mieszkańców, którzy skorzystają z usług kanalizacyjnych w wyniku wybudowania sieci w przedziale 2-15 tys. RLM o wartości 20 607. Łączna długość sieci kanalizacyjnej planowanej do budowy w zakresie 2-15 tys. RLM wynosi 177,99 km. W celu określenia wartości koniecznej do wyliczenia wskaźnika zsumowano długość sieci kanalizacyjnej planowanej do budowy, która wynosi 177,99 km z długością sieci kanalizacyjnej planowanej do modernizacji, która wynosi 12,70 km. W celu wyliczenia średniej liczy osób na km długości sieci kanalizacyjnej została podzielona wartość 21 292 przez otrzymaną wartość 190,69 i dzięki temu otrzymano wynik, który w zaokrągleniu wynosi 112 km. Mnożąc łączną długość sieci kanalizacyjnej planowanej do budowy w zakresie 2-15 tys., która w zaokrągleniu wynosi 178 przez liczbę osób na km długości sieci kanalizacyjnej, która w zaokrągleniu wynosi 112, wyliczono wskaźnik, który wynosi 19 936 osób.</w:t>
            </w:r>
          </w:p>
          <w:p w14:paraId="47F7D82A" w14:textId="77777777" w:rsidR="00D75222" w:rsidRPr="00D75222" w:rsidRDefault="00D75222" w:rsidP="00D75222">
            <w:pPr>
              <w:rPr>
                <w:rFonts w:eastAsia="Calibri"/>
              </w:rPr>
            </w:pPr>
            <w:r w:rsidRPr="00D75222">
              <w:rPr>
                <w:rFonts w:eastAsia="Calibri"/>
              </w:rPr>
              <w:t>Wyliczenie:</w:t>
            </w:r>
          </w:p>
          <w:p w14:paraId="0A2CAA96" w14:textId="77777777" w:rsidR="00D75222" w:rsidRPr="00D75222" w:rsidRDefault="00D75222" w:rsidP="00D75222">
            <w:pPr>
              <w:rPr>
                <w:rFonts w:eastAsia="Calibri"/>
              </w:rPr>
            </w:pPr>
            <w:r w:rsidRPr="00D75222">
              <w:rPr>
                <w:rFonts w:eastAsia="Calibri"/>
              </w:rPr>
              <w:t>685 + 20 607 = 21 292</w:t>
            </w:r>
          </w:p>
          <w:p w14:paraId="6E990279" w14:textId="77777777" w:rsidR="00D75222" w:rsidRPr="00D75222" w:rsidRDefault="00D75222" w:rsidP="00D75222">
            <w:pPr>
              <w:rPr>
                <w:rFonts w:eastAsia="Calibri"/>
              </w:rPr>
            </w:pPr>
            <w:r w:rsidRPr="00D75222">
              <w:rPr>
                <w:rFonts w:eastAsia="Calibri"/>
              </w:rPr>
              <w:t>177,99 + 12,70 = 190,69</w:t>
            </w:r>
          </w:p>
          <w:p w14:paraId="7F00CED2" w14:textId="77777777" w:rsidR="00D75222" w:rsidRPr="00D75222" w:rsidRDefault="00D75222" w:rsidP="00D75222">
            <w:pPr>
              <w:rPr>
                <w:rFonts w:eastAsia="Calibri"/>
              </w:rPr>
            </w:pPr>
            <w:r w:rsidRPr="00D75222">
              <w:rPr>
                <w:rFonts w:eastAsia="Calibri"/>
              </w:rPr>
              <w:t>21 292 / 190,69 = 111,65</w:t>
            </w:r>
          </w:p>
          <w:p w14:paraId="07B12DD7" w14:textId="48EEC618" w:rsidR="00FD3DE2" w:rsidRDefault="00D75222" w:rsidP="00D75222">
            <w:pPr>
              <w:rPr>
                <w:rFonts w:eastAsia="Calibri"/>
              </w:rPr>
            </w:pPr>
            <w:r w:rsidRPr="00D75222">
              <w:rPr>
                <w:rFonts w:eastAsia="Calibri"/>
              </w:rPr>
              <w:t>178 * 112 = 19</w:t>
            </w:r>
            <w:r>
              <w:rPr>
                <w:rFonts w:eastAsia="Calibri"/>
              </w:rPr>
              <w:t> </w:t>
            </w:r>
            <w:r w:rsidRPr="00D75222">
              <w:rPr>
                <w:rFonts w:eastAsia="Calibri"/>
              </w:rPr>
              <w:t>936</w:t>
            </w:r>
          </w:p>
          <w:p w14:paraId="04D839F4" w14:textId="2D8A298A" w:rsidR="00D75222" w:rsidRPr="003A6407" w:rsidRDefault="00D75222" w:rsidP="00D75222">
            <w:pPr>
              <w:rPr>
                <w:rFonts w:eastAsia="Calibri" w:cs="Times New Roman"/>
                <w:color w:val="000000"/>
              </w:rPr>
            </w:pPr>
            <w:r>
              <w:rPr>
                <w:rFonts w:eastAsia="Calibri" w:cs="Times New Roman"/>
                <w:color w:val="000000"/>
              </w:rPr>
              <w:t xml:space="preserve">Cel pośredni: Z uwagi na fakt, iż przewidujemy wsparcie całego </w:t>
            </w:r>
            <w:proofErr w:type="spellStart"/>
            <w:r>
              <w:rPr>
                <w:rFonts w:eastAsia="Calibri" w:cs="Times New Roman"/>
                <w:color w:val="000000"/>
              </w:rPr>
              <w:t>cs</w:t>
            </w:r>
            <w:proofErr w:type="spellEnd"/>
            <w:r>
              <w:rPr>
                <w:rFonts w:eastAsia="Calibri" w:cs="Times New Roman"/>
                <w:color w:val="000000"/>
              </w:rPr>
              <w:t>. poprzez instrumenty terytorialne, konieczne jest zatwierdzenie poszczególnych strategii ZIT/IIT aby określić wartość pośrednią wskaźnika.</w:t>
            </w:r>
          </w:p>
        </w:tc>
      </w:tr>
    </w:tbl>
    <w:p w14:paraId="4084811E" w14:textId="77777777" w:rsidR="00EE0C5C" w:rsidRDefault="00EE0C5C" w:rsidP="00EE0C5C"/>
    <w:p w14:paraId="365A30CB" w14:textId="77777777" w:rsid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5BE87826" w14:textId="77777777" w:rsidTr="002A48C3">
        <w:trPr>
          <w:cantSplit/>
          <w:trHeight w:val="1647"/>
        </w:trPr>
        <w:tc>
          <w:tcPr>
            <w:tcW w:w="451" w:type="pct"/>
            <w:shd w:val="clear" w:color="auto" w:fill="auto"/>
            <w:vAlign w:val="center"/>
          </w:tcPr>
          <w:p w14:paraId="3D0EADDE" w14:textId="4C638470"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lastRenderedPageBreak/>
              <w:t xml:space="preserve">CP </w:t>
            </w:r>
            <w:r>
              <w:rPr>
                <w:rFonts w:eastAsia="Calibri" w:cs="Times New Roman"/>
                <w:b/>
                <w:noProof/>
                <w:sz w:val="16"/>
                <w:szCs w:val="16"/>
              </w:rPr>
              <w:t>2</w:t>
            </w:r>
          </w:p>
          <w:p w14:paraId="7730FA7B"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2D0642E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6441B2CB"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477500E5"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6EB0214A"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75F9F46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1121785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4C13987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26CD2A2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27D61B7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41AD23F5" w14:textId="77777777" w:rsidTr="002A48C3">
        <w:trPr>
          <w:trHeight w:val="340"/>
        </w:trPr>
        <w:tc>
          <w:tcPr>
            <w:tcW w:w="451" w:type="pct"/>
            <w:shd w:val="clear" w:color="auto" w:fill="auto"/>
            <w:vAlign w:val="center"/>
          </w:tcPr>
          <w:p w14:paraId="0056346F" w14:textId="1BECDA98" w:rsidR="00EE0C5C"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w:t>
            </w:r>
          </w:p>
          <w:p w14:paraId="062625A6" w14:textId="6FB6F0DF"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2.5</w:t>
            </w:r>
          </w:p>
        </w:tc>
        <w:tc>
          <w:tcPr>
            <w:tcW w:w="494" w:type="pct"/>
            <w:shd w:val="clear" w:color="auto" w:fill="auto"/>
            <w:vAlign w:val="center"/>
          </w:tcPr>
          <w:p w14:paraId="007F01F0"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237A119E"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1D029B42" w14:textId="20D6C37C"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RCO75</w:t>
            </w:r>
          </w:p>
        </w:tc>
        <w:tc>
          <w:tcPr>
            <w:tcW w:w="1348" w:type="pct"/>
            <w:shd w:val="clear" w:color="auto" w:fill="auto"/>
            <w:vAlign w:val="center"/>
          </w:tcPr>
          <w:p w14:paraId="080AEE79" w14:textId="77777777" w:rsidR="00EE0C5C" w:rsidRPr="003A6407" w:rsidRDefault="00EE0C5C" w:rsidP="002A48C3">
            <w:pPr>
              <w:keepNext/>
              <w:keepLines/>
              <w:spacing w:before="200" w:after="0"/>
              <w:jc w:val="center"/>
              <w:outlineLvl w:val="2"/>
              <w:rPr>
                <w:rFonts w:eastAsia="Calibri" w:cs="Times New Roman"/>
                <w:noProof/>
                <w:sz w:val="16"/>
                <w:szCs w:val="16"/>
              </w:rPr>
            </w:pPr>
            <w:bookmarkStart w:id="135" w:name="_Toc120464396"/>
            <w:r w:rsidRPr="003A6407">
              <w:rPr>
                <w:rFonts w:eastAsia="Times New Roman" w:cs="Calibri"/>
                <w:bCs/>
                <w:noProof/>
                <w:sz w:val="16"/>
                <w:szCs w:val="16"/>
              </w:rPr>
              <w:t>Wspierane strategie zintegrowanego rozwoju terytorialnego</w:t>
            </w:r>
            <w:bookmarkEnd w:id="135"/>
          </w:p>
        </w:tc>
        <w:tc>
          <w:tcPr>
            <w:tcW w:w="549" w:type="pct"/>
            <w:shd w:val="clear" w:color="auto" w:fill="auto"/>
            <w:vAlign w:val="center"/>
          </w:tcPr>
          <w:p w14:paraId="266B53FA" w14:textId="5C553014" w:rsidR="00EE0C5C" w:rsidRPr="003A6407" w:rsidRDefault="009C3D1A"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wkłady na rzecz strategii</w:t>
            </w:r>
          </w:p>
        </w:tc>
        <w:tc>
          <w:tcPr>
            <w:tcW w:w="627" w:type="pct"/>
            <w:shd w:val="clear" w:color="auto" w:fill="auto"/>
            <w:vAlign w:val="center"/>
          </w:tcPr>
          <w:p w14:paraId="7E816440" w14:textId="035A2C37" w:rsidR="00EE0C5C" w:rsidRPr="003A6407" w:rsidRDefault="00263BE7"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EE0C5C" w:rsidRPr="003A6407">
              <w:rPr>
                <w:rFonts w:eastAsia="Calibri" w:cs="Times New Roman"/>
                <w:noProof/>
                <w:sz w:val="16"/>
                <w:szCs w:val="16"/>
              </w:rPr>
              <w:t>,00</w:t>
            </w:r>
          </w:p>
        </w:tc>
        <w:tc>
          <w:tcPr>
            <w:tcW w:w="550" w:type="pct"/>
            <w:shd w:val="clear" w:color="auto" w:fill="auto"/>
            <w:vAlign w:val="center"/>
          </w:tcPr>
          <w:p w14:paraId="44EFE190" w14:textId="063C8426" w:rsidR="00EE0C5C" w:rsidRPr="003A6407" w:rsidRDefault="00263BE7"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6</w:t>
            </w:r>
            <w:r w:rsidR="00EE0C5C" w:rsidRPr="003A6407">
              <w:rPr>
                <w:rFonts w:eastAsia="Calibri" w:cs="Times New Roman"/>
                <w:noProof/>
                <w:sz w:val="16"/>
                <w:szCs w:val="16"/>
              </w:rPr>
              <w:t>,00</w:t>
            </w:r>
          </w:p>
        </w:tc>
      </w:tr>
      <w:tr w:rsidR="00EE0C5C" w:rsidRPr="003A6407" w14:paraId="5A14E810" w14:textId="77777777" w:rsidTr="002A48C3">
        <w:trPr>
          <w:trHeight w:val="340"/>
        </w:trPr>
        <w:tc>
          <w:tcPr>
            <w:tcW w:w="5000" w:type="pct"/>
            <w:gridSpan w:val="8"/>
            <w:shd w:val="clear" w:color="auto" w:fill="auto"/>
          </w:tcPr>
          <w:p w14:paraId="2A495542"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5A5883FD" w14:textId="3EC3C56A"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10CC77E6"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0F20771E" w14:textId="77777777" w:rsidR="00EE0C5C" w:rsidRPr="003A6407" w:rsidRDefault="00EE0C5C" w:rsidP="002A48C3">
            <w:pPr>
              <w:rPr>
                <w:rFonts w:eastAsia="Calibri"/>
              </w:rPr>
            </w:pPr>
            <w:r w:rsidRPr="003A6407">
              <w:rPr>
                <w:rFonts w:eastAsia="Calibri"/>
              </w:rPr>
              <w:t>- 6 Zintegrowanych Inwestycji Terytorialnych;</w:t>
            </w:r>
          </w:p>
          <w:p w14:paraId="6B867517" w14:textId="54AC422F" w:rsidR="00EE0C5C" w:rsidRDefault="00EE0C5C" w:rsidP="002A48C3">
            <w:pPr>
              <w:rPr>
                <w:rFonts w:eastAsia="Calibri"/>
              </w:rPr>
            </w:pPr>
            <w:r w:rsidRPr="003A6407">
              <w:rPr>
                <w:rFonts w:eastAsia="Calibri"/>
              </w:rPr>
              <w:t>- 1 Inny Instrument Terytorialny;</w:t>
            </w:r>
          </w:p>
          <w:p w14:paraId="1DC7E8D5" w14:textId="42E8C315" w:rsidR="00EE0C5C" w:rsidRDefault="009C3D1A" w:rsidP="002A48C3">
            <w:pPr>
              <w:rPr>
                <w:rFonts w:eastAsia="Calibri"/>
              </w:rPr>
            </w:pPr>
            <w:r>
              <w:rPr>
                <w:rFonts w:eastAsia="Calibri"/>
              </w:rPr>
              <w:t>W</w:t>
            </w:r>
            <w:r w:rsidRPr="00F64186">
              <w:rPr>
                <w:rFonts w:eastAsia="Calibri"/>
              </w:rPr>
              <w:t>sparcie – zgodnie z UP</w:t>
            </w:r>
            <w:r>
              <w:rPr>
                <w:rFonts w:eastAsia="Calibri"/>
              </w:rPr>
              <w:t>,</w:t>
            </w:r>
            <w:r w:rsidRPr="00F64186">
              <w:rPr>
                <w:rFonts w:eastAsia="Calibri"/>
              </w:rPr>
              <w:t xml:space="preserve"> ma być adresowane do aglomeracji 2-15 RLM</w:t>
            </w:r>
            <w:r>
              <w:rPr>
                <w:rFonts w:eastAsia="Calibri"/>
              </w:rPr>
              <w:t>,</w:t>
            </w:r>
            <w:r w:rsidRPr="00F64186">
              <w:rPr>
                <w:rFonts w:eastAsia="Calibri"/>
              </w:rPr>
              <w:t xml:space="preserve"> niespełniających Dyrektywy ściekowej oraz </w:t>
            </w:r>
            <w:r>
              <w:rPr>
                <w:rFonts w:eastAsia="Calibri"/>
              </w:rPr>
              <w:t xml:space="preserve">będzie </w:t>
            </w:r>
            <w:r w:rsidRPr="00F64186">
              <w:rPr>
                <w:rFonts w:eastAsia="Calibri"/>
              </w:rPr>
              <w:t xml:space="preserve">realizowane </w:t>
            </w:r>
            <w:r>
              <w:rPr>
                <w:rFonts w:eastAsia="Calibri"/>
              </w:rPr>
              <w:t xml:space="preserve">w FEDS </w:t>
            </w:r>
            <w:r w:rsidRPr="00F64186">
              <w:rPr>
                <w:rFonts w:eastAsia="Calibri"/>
              </w:rPr>
              <w:t xml:space="preserve">poprzez </w:t>
            </w:r>
            <w:r>
              <w:rPr>
                <w:rFonts w:eastAsia="Calibri"/>
              </w:rPr>
              <w:t>instrumenty terytorialne</w:t>
            </w:r>
            <w:r w:rsidRPr="00F64186">
              <w:rPr>
                <w:rFonts w:eastAsia="Calibri"/>
              </w:rPr>
              <w:t>,</w:t>
            </w:r>
            <w:r>
              <w:rPr>
                <w:rFonts w:eastAsia="Calibri"/>
              </w:rPr>
              <w:t xml:space="preserve"> stąd </w:t>
            </w:r>
            <w:r w:rsidR="00EE0C5C" w:rsidRPr="003A6407">
              <w:rPr>
                <w:rFonts w:eastAsia="Calibri"/>
              </w:rPr>
              <w:t xml:space="preserve"> zał</w:t>
            </w:r>
            <w:r>
              <w:rPr>
                <w:rFonts w:eastAsia="Calibri"/>
              </w:rPr>
              <w:t xml:space="preserve">ożono w </w:t>
            </w:r>
            <w:r w:rsidR="00EE0C5C" w:rsidRPr="003A6407">
              <w:rPr>
                <w:rFonts w:eastAsia="Calibri"/>
              </w:rPr>
              <w:t>metodologii, że wartość docelowa wskaźnika będzie równa liczbie utworzonych instrumentów rozwoju terytorialnego</w:t>
            </w:r>
            <w:r w:rsidR="00263BE7">
              <w:rPr>
                <w:rFonts w:eastAsia="Calibri"/>
              </w:rPr>
              <w:t>, w ramach których zidentyfikowano inwestycje w zakresie gospodarki ściekowej niespełniające wymogów dyrektywy ściekowej</w:t>
            </w:r>
            <w:r>
              <w:rPr>
                <w:rFonts w:eastAsia="Calibri"/>
              </w:rPr>
              <w:t xml:space="preserve"> (6 instrumentów </w:t>
            </w:r>
            <w:proofErr w:type="spellStart"/>
            <w:r>
              <w:rPr>
                <w:rFonts w:eastAsia="Calibri"/>
              </w:rPr>
              <w:t>teryrorialnych</w:t>
            </w:r>
            <w:proofErr w:type="spellEnd"/>
            <w:r>
              <w:rPr>
                <w:rFonts w:eastAsia="Calibri"/>
              </w:rPr>
              <w:t>)</w:t>
            </w:r>
            <w:r w:rsidR="00EE0C5C" w:rsidRPr="003A6407">
              <w:rPr>
                <w:rFonts w:eastAsia="Calibri"/>
              </w:rPr>
              <w:t>.</w:t>
            </w:r>
          </w:p>
          <w:p w14:paraId="2046E03B" w14:textId="092E9F66" w:rsidR="00D30AFB" w:rsidRPr="003A6407"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tc>
      </w:tr>
    </w:tbl>
    <w:p w14:paraId="03FC1DE0"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005CBF7" w14:textId="77777777" w:rsidTr="00AD1DFA">
        <w:trPr>
          <w:cantSplit/>
          <w:trHeight w:val="1647"/>
        </w:trPr>
        <w:tc>
          <w:tcPr>
            <w:tcW w:w="451" w:type="pct"/>
            <w:vAlign w:val="center"/>
          </w:tcPr>
          <w:p w14:paraId="0312CD50" w14:textId="77777777" w:rsidR="00B86E36" w:rsidRPr="003A6407" w:rsidRDefault="00B86E36" w:rsidP="00AD1DFA">
            <w:pPr>
              <w:spacing w:before="120" w:after="120" w:line="240" w:lineRule="auto"/>
              <w:jc w:val="center"/>
              <w:rPr>
                <w:b/>
                <w:noProof/>
                <w:sz w:val="16"/>
                <w:szCs w:val="16"/>
              </w:rPr>
            </w:pPr>
            <w:bookmarkStart w:id="136" w:name="_Hlk115872094"/>
            <w:r w:rsidRPr="003A6407">
              <w:rPr>
                <w:b/>
                <w:noProof/>
                <w:sz w:val="16"/>
                <w:szCs w:val="16"/>
              </w:rPr>
              <w:t>CP 2</w:t>
            </w:r>
          </w:p>
          <w:p w14:paraId="035B2B91" w14:textId="044F7367" w:rsidR="00B86E36" w:rsidRPr="003A6407" w:rsidRDefault="00B86E36" w:rsidP="00AD1DFA">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BA30150"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17764E45"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30A56D0E" w14:textId="77777777" w:rsidR="00B86E36" w:rsidRPr="003A6407" w:rsidRDefault="00B86E36" w:rsidP="00AD1DFA">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55559092" w14:textId="770AF5A8" w:rsidR="00B86E36" w:rsidRPr="003A6407" w:rsidRDefault="00B86E36" w:rsidP="00AD1DFA">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4E980CC0"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3A2E082D"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pośredni (2024)</w:t>
            </w:r>
          </w:p>
          <w:p w14:paraId="12FC8BCE" w14:textId="77777777" w:rsidR="00B86E36" w:rsidRPr="003A6407" w:rsidRDefault="00B86E36" w:rsidP="00AD1DFA">
            <w:pPr>
              <w:spacing w:before="120" w:after="120" w:line="240" w:lineRule="auto"/>
              <w:jc w:val="center"/>
              <w:rPr>
                <w:b/>
                <w:noProof/>
                <w:sz w:val="16"/>
                <w:szCs w:val="16"/>
              </w:rPr>
            </w:pPr>
          </w:p>
        </w:tc>
        <w:tc>
          <w:tcPr>
            <w:tcW w:w="550" w:type="pct"/>
            <w:shd w:val="clear" w:color="auto" w:fill="auto"/>
            <w:vAlign w:val="center"/>
          </w:tcPr>
          <w:p w14:paraId="7D8C0F0F" w14:textId="77777777" w:rsidR="00B86E36" w:rsidRPr="003A6407" w:rsidRDefault="00B86E36" w:rsidP="00AD1DFA">
            <w:pPr>
              <w:spacing w:before="120" w:after="120" w:line="240" w:lineRule="auto"/>
              <w:jc w:val="center"/>
              <w:rPr>
                <w:b/>
                <w:noProof/>
                <w:sz w:val="16"/>
                <w:szCs w:val="16"/>
              </w:rPr>
            </w:pPr>
            <w:r w:rsidRPr="003A6407">
              <w:rPr>
                <w:b/>
                <w:noProof/>
                <w:sz w:val="16"/>
                <w:szCs w:val="16"/>
              </w:rPr>
              <w:t>Cel (2029)</w:t>
            </w:r>
          </w:p>
          <w:p w14:paraId="012ABF9E" w14:textId="77777777" w:rsidR="00B86E36" w:rsidRPr="003A6407" w:rsidRDefault="00B86E36" w:rsidP="00AD1DFA">
            <w:pPr>
              <w:spacing w:before="120" w:after="120" w:line="240" w:lineRule="auto"/>
              <w:jc w:val="center"/>
              <w:rPr>
                <w:b/>
                <w:noProof/>
                <w:sz w:val="16"/>
                <w:szCs w:val="16"/>
              </w:rPr>
            </w:pPr>
          </w:p>
        </w:tc>
      </w:tr>
      <w:tr w:rsidR="00191FE2" w:rsidRPr="003A6407" w14:paraId="3040E5D6" w14:textId="77777777" w:rsidTr="00AD1DFA">
        <w:trPr>
          <w:trHeight w:val="340"/>
        </w:trPr>
        <w:tc>
          <w:tcPr>
            <w:tcW w:w="451" w:type="pct"/>
            <w:vAlign w:val="center"/>
          </w:tcPr>
          <w:p w14:paraId="0E93B852" w14:textId="77777777" w:rsidR="00B86E36" w:rsidRDefault="00B86E36" w:rsidP="00AD1DFA">
            <w:pPr>
              <w:spacing w:before="120" w:after="120" w:line="240" w:lineRule="auto"/>
              <w:jc w:val="center"/>
              <w:rPr>
                <w:noProof/>
                <w:sz w:val="16"/>
                <w:szCs w:val="16"/>
              </w:rPr>
            </w:pPr>
            <w:r w:rsidRPr="003A6407">
              <w:rPr>
                <w:noProof/>
                <w:sz w:val="16"/>
                <w:szCs w:val="16"/>
              </w:rPr>
              <w:t>2 (v)</w:t>
            </w:r>
          </w:p>
          <w:p w14:paraId="596EAC14" w14:textId="4F65215A" w:rsidR="00980C2E" w:rsidRPr="003A6407" w:rsidRDefault="00980C2E" w:rsidP="00AD1DFA">
            <w:pPr>
              <w:spacing w:before="120" w:after="120" w:line="240" w:lineRule="auto"/>
              <w:jc w:val="center"/>
              <w:rPr>
                <w:noProof/>
                <w:sz w:val="16"/>
                <w:szCs w:val="16"/>
              </w:rPr>
            </w:pPr>
            <w:r>
              <w:rPr>
                <w:noProof/>
                <w:sz w:val="16"/>
                <w:szCs w:val="16"/>
              </w:rPr>
              <w:t>2.5</w:t>
            </w:r>
          </w:p>
        </w:tc>
        <w:tc>
          <w:tcPr>
            <w:tcW w:w="494" w:type="pct"/>
            <w:vAlign w:val="center"/>
          </w:tcPr>
          <w:p w14:paraId="05CC6F69" w14:textId="77777777" w:rsidR="00B86E36" w:rsidRPr="003A6407" w:rsidRDefault="00B86E36" w:rsidP="00AD1DFA">
            <w:pPr>
              <w:spacing w:before="120" w:after="120" w:line="240" w:lineRule="auto"/>
              <w:jc w:val="center"/>
              <w:rPr>
                <w:noProof/>
                <w:sz w:val="16"/>
                <w:szCs w:val="16"/>
              </w:rPr>
            </w:pPr>
            <w:r w:rsidRPr="003A6407">
              <w:rPr>
                <w:noProof/>
                <w:sz w:val="16"/>
                <w:szCs w:val="16"/>
              </w:rPr>
              <w:t>EFRR</w:t>
            </w:r>
          </w:p>
        </w:tc>
        <w:tc>
          <w:tcPr>
            <w:tcW w:w="558" w:type="pct"/>
            <w:vAlign w:val="center"/>
          </w:tcPr>
          <w:p w14:paraId="0EDAB117" w14:textId="77777777" w:rsidR="00B86E36" w:rsidRPr="003A6407" w:rsidRDefault="00B86E36" w:rsidP="00AD1DFA">
            <w:pPr>
              <w:spacing w:before="120" w:after="120" w:line="240" w:lineRule="auto"/>
              <w:jc w:val="center"/>
              <w:rPr>
                <w:noProof/>
                <w:sz w:val="16"/>
                <w:szCs w:val="16"/>
              </w:rPr>
            </w:pPr>
            <w:r w:rsidRPr="003A6407">
              <w:rPr>
                <w:noProof/>
                <w:sz w:val="16"/>
                <w:szCs w:val="16"/>
              </w:rPr>
              <w:t>przejściowy</w:t>
            </w:r>
          </w:p>
        </w:tc>
        <w:tc>
          <w:tcPr>
            <w:tcW w:w="360" w:type="pct"/>
            <w:vAlign w:val="center"/>
          </w:tcPr>
          <w:p w14:paraId="76C87DB1" w14:textId="7690E0A8" w:rsidR="00B86E36" w:rsidRPr="003A6407" w:rsidRDefault="00B86E36" w:rsidP="00AD1DFA">
            <w:pPr>
              <w:spacing w:before="120" w:after="120" w:line="240" w:lineRule="auto"/>
              <w:jc w:val="center"/>
              <w:rPr>
                <w:noProof/>
                <w:sz w:val="16"/>
                <w:szCs w:val="16"/>
              </w:rPr>
            </w:pPr>
            <w:r w:rsidRPr="003A6407">
              <w:rPr>
                <w:noProof/>
                <w:sz w:val="16"/>
                <w:szCs w:val="16"/>
              </w:rPr>
              <w:t>RCO31</w:t>
            </w:r>
          </w:p>
        </w:tc>
        <w:tc>
          <w:tcPr>
            <w:tcW w:w="1411" w:type="pct"/>
            <w:shd w:val="clear" w:color="auto" w:fill="auto"/>
            <w:vAlign w:val="center"/>
          </w:tcPr>
          <w:p w14:paraId="048AF44D" w14:textId="77777777" w:rsidR="00B86E36" w:rsidRPr="003A6407" w:rsidRDefault="00B86E36" w:rsidP="00AD1DFA">
            <w:pPr>
              <w:keepNext/>
              <w:keepLines/>
              <w:spacing w:before="200" w:after="0"/>
              <w:jc w:val="center"/>
              <w:outlineLvl w:val="2"/>
              <w:rPr>
                <w:rFonts w:eastAsiaTheme="majorEastAsia" w:cstheme="majorBidi"/>
                <w:b/>
                <w:bCs/>
                <w:noProof/>
                <w:sz w:val="16"/>
                <w:szCs w:val="16"/>
              </w:rPr>
            </w:pPr>
            <w:bookmarkStart w:id="137" w:name="_Toc97792258"/>
            <w:bookmarkStart w:id="138" w:name="_Toc120464397"/>
            <w:r w:rsidRPr="003A6407">
              <w:rPr>
                <w:rFonts w:asciiTheme="minorHAnsi" w:eastAsia="Times New Roman" w:hAnsiTheme="minorHAnsi" w:cstheme="minorHAnsi"/>
                <w:bCs/>
                <w:noProof/>
                <w:sz w:val="16"/>
                <w:szCs w:val="16"/>
              </w:rPr>
              <w:t>Długość nowych lub zmodernizowanych sieci kanalizacyjnych w ramach zbiorowych systemów odprowadzania ścieków</w:t>
            </w:r>
            <w:bookmarkEnd w:id="137"/>
            <w:bookmarkEnd w:id="138"/>
          </w:p>
        </w:tc>
        <w:tc>
          <w:tcPr>
            <w:tcW w:w="549" w:type="pct"/>
            <w:vAlign w:val="center"/>
          </w:tcPr>
          <w:p w14:paraId="61CAF155" w14:textId="77777777" w:rsidR="00B86E36" w:rsidRPr="003A6407" w:rsidRDefault="00B86E36" w:rsidP="00AD1DFA">
            <w:pPr>
              <w:spacing w:before="120" w:after="120" w:line="240" w:lineRule="auto"/>
              <w:jc w:val="center"/>
              <w:rPr>
                <w:noProof/>
                <w:sz w:val="16"/>
                <w:szCs w:val="16"/>
              </w:rPr>
            </w:pPr>
            <w:r w:rsidRPr="003A6407">
              <w:rPr>
                <w:noProof/>
                <w:sz w:val="16"/>
                <w:szCs w:val="16"/>
              </w:rPr>
              <w:t>km</w:t>
            </w:r>
          </w:p>
        </w:tc>
        <w:tc>
          <w:tcPr>
            <w:tcW w:w="627" w:type="pct"/>
            <w:shd w:val="clear" w:color="auto" w:fill="auto"/>
            <w:vAlign w:val="center"/>
          </w:tcPr>
          <w:p w14:paraId="41992F08" w14:textId="42485769" w:rsidR="00B86E36" w:rsidRPr="003A6407" w:rsidRDefault="00890103" w:rsidP="00AD1DFA">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2CAE27FD" w14:textId="4EC7E71F" w:rsidR="00B86E36" w:rsidRPr="003A6407" w:rsidRDefault="00F971F4" w:rsidP="00AD1DFA">
            <w:pPr>
              <w:spacing w:before="120" w:after="120" w:line="240" w:lineRule="auto"/>
              <w:jc w:val="center"/>
              <w:rPr>
                <w:noProof/>
                <w:sz w:val="16"/>
                <w:szCs w:val="16"/>
              </w:rPr>
            </w:pPr>
            <w:r>
              <w:rPr>
                <w:noProof/>
                <w:sz w:val="16"/>
                <w:szCs w:val="16"/>
              </w:rPr>
              <w:t>223</w:t>
            </w:r>
            <w:r w:rsidR="00AD1DFA" w:rsidRPr="003A6407">
              <w:rPr>
                <w:noProof/>
                <w:sz w:val="16"/>
                <w:szCs w:val="16"/>
              </w:rPr>
              <w:t>,00</w:t>
            </w:r>
          </w:p>
        </w:tc>
      </w:tr>
      <w:bookmarkEnd w:id="136"/>
      <w:tr w:rsidR="00B86E36" w:rsidRPr="003A6407" w14:paraId="28889D9D" w14:textId="77777777" w:rsidTr="00270B09">
        <w:trPr>
          <w:trHeight w:val="340"/>
        </w:trPr>
        <w:tc>
          <w:tcPr>
            <w:tcW w:w="5000" w:type="pct"/>
            <w:gridSpan w:val="8"/>
          </w:tcPr>
          <w:p w14:paraId="44BDFCD0" w14:textId="77777777" w:rsidR="00B86E36" w:rsidRPr="003A6407" w:rsidRDefault="00B86E36" w:rsidP="00B256CA">
            <w:pPr>
              <w:spacing w:before="60" w:after="60" w:line="240" w:lineRule="auto"/>
              <w:jc w:val="both"/>
            </w:pPr>
          </w:p>
          <w:p w14:paraId="479888A3" w14:textId="77777777" w:rsidR="00B86E36" w:rsidRPr="003A6407" w:rsidRDefault="00B86E36" w:rsidP="00B256CA">
            <w:pPr>
              <w:spacing w:before="60" w:after="60" w:line="240" w:lineRule="auto"/>
              <w:jc w:val="both"/>
            </w:pPr>
            <w:r w:rsidRPr="003A6407">
              <w:t>Metodologia:</w:t>
            </w:r>
          </w:p>
          <w:p w14:paraId="41BE9D39" w14:textId="5FDCECA1" w:rsidR="00B86E36" w:rsidRPr="003A6407" w:rsidRDefault="00B86E36" w:rsidP="00EA5984">
            <w:pPr>
              <w:spacing w:before="60" w:after="60" w:line="240" w:lineRule="auto"/>
              <w:jc w:val="both"/>
            </w:pPr>
            <w:r w:rsidRPr="003A6407">
              <w:t xml:space="preserve">Łączna alokacja na gospodarkę wodno-kanalizacyjną wynosi </w:t>
            </w:r>
            <w:r w:rsidR="007B5D18">
              <w:t>73</w:t>
            </w:r>
            <w:r w:rsidRPr="003A6407">
              <w:t> 949 313,00 EUR. Wskaźnik realizuje 80% alokacji kodu interwencji 065 Odprowadzanie i oczyszczanie ścieków</w:t>
            </w:r>
            <w:r w:rsidR="00EA5984">
              <w:t xml:space="preserve"> oraz kodu 066 Odprowadzanie i </w:t>
            </w:r>
            <w:r w:rsidR="00EA5984">
              <w:lastRenderedPageBreak/>
              <w:t>oczyszczanie ścieków zgodne z kryteriami efektywności energetycznej, tj.</w:t>
            </w:r>
            <w:r w:rsidRPr="003A6407">
              <w:t xml:space="preserve"> </w:t>
            </w:r>
            <w:r w:rsidR="007B5D18">
              <w:t>59</w:t>
            </w:r>
            <w:r w:rsidRPr="003A6407">
              <w:t xml:space="preserve"> 159 450,40 EUR Uwzględniając (odejmując) koszty uproszczone na poziomie 7%, wartość alokacji realizującej dany wskaźnik wynosi </w:t>
            </w:r>
            <w:r w:rsidR="007B5D18">
              <w:t>55 018 288,90</w:t>
            </w:r>
            <w:r w:rsidRPr="003A6407">
              <w:t xml:space="preserve"> EUR. </w:t>
            </w:r>
          </w:p>
          <w:p w14:paraId="48A25C8A" w14:textId="77777777" w:rsidR="00B86E36" w:rsidRPr="003A6407" w:rsidRDefault="00B86E36" w:rsidP="00B256CA">
            <w:pPr>
              <w:spacing w:before="60" w:after="60" w:line="240" w:lineRule="auto"/>
              <w:jc w:val="both"/>
            </w:pPr>
            <w:r w:rsidRPr="003A6407">
              <w:t>W ramach kodu będą realizowane następujące działania:</w:t>
            </w:r>
          </w:p>
          <w:p w14:paraId="17C4E2E4" w14:textId="2158BF8C" w:rsidR="00B86E36" w:rsidRPr="003A6407" w:rsidRDefault="00B86E36" w:rsidP="00B256CA">
            <w:pPr>
              <w:spacing w:before="60" w:after="60" w:line="240" w:lineRule="auto"/>
              <w:jc w:val="both"/>
            </w:pPr>
            <w:r w:rsidRPr="003A6407">
              <w:t>-</w:t>
            </w:r>
            <w:r w:rsidR="001F6E00">
              <w:t>5</w:t>
            </w:r>
            <w:r w:rsidR="005C26F5">
              <w:t>0</w:t>
            </w:r>
            <w:r w:rsidRPr="003A6407">
              <w:t>% sieci kanalizacyjne,</w:t>
            </w:r>
          </w:p>
          <w:p w14:paraId="7741069D" w14:textId="64B926D6" w:rsidR="00B86E36" w:rsidRPr="003A6407" w:rsidRDefault="00B86E36" w:rsidP="00B256CA">
            <w:pPr>
              <w:spacing w:before="60" w:after="60" w:line="240" w:lineRule="auto"/>
              <w:jc w:val="both"/>
            </w:pPr>
            <w:r w:rsidRPr="003A6407">
              <w:t>-</w:t>
            </w:r>
            <w:r w:rsidR="001F6E00">
              <w:t>2</w:t>
            </w:r>
            <w:r w:rsidR="005C26F5">
              <w:t>5</w:t>
            </w:r>
            <w:r w:rsidRPr="003A6407">
              <w:t>% oczyszczalnie ścieków,</w:t>
            </w:r>
          </w:p>
          <w:p w14:paraId="14A7A14F" w14:textId="4B0A5E04" w:rsidR="00B86E36" w:rsidRPr="003A6407" w:rsidRDefault="00B86E36" w:rsidP="00B256CA">
            <w:pPr>
              <w:spacing w:before="60" w:after="60" w:line="240" w:lineRule="auto"/>
              <w:jc w:val="both"/>
            </w:pPr>
            <w:r w:rsidRPr="003A6407">
              <w:t>-</w:t>
            </w:r>
            <w:r w:rsidR="00442B3E">
              <w:t>25</w:t>
            </w:r>
            <w:r w:rsidRPr="003A6407">
              <w:t xml:space="preserve"> sieci wodociągowe (jako element uzupełniający).</w:t>
            </w:r>
          </w:p>
          <w:p w14:paraId="7DE4194E" w14:textId="77777777" w:rsidR="00B86E36" w:rsidRPr="003A6407" w:rsidRDefault="00B86E36" w:rsidP="00B256CA">
            <w:pPr>
              <w:spacing w:before="60" w:after="60" w:line="240" w:lineRule="auto"/>
              <w:jc w:val="both"/>
            </w:pPr>
          </w:p>
          <w:p w14:paraId="32ABBBB9" w14:textId="257682D0" w:rsidR="00B86E36" w:rsidRPr="003A6407" w:rsidRDefault="00B86E36" w:rsidP="00B256CA">
            <w:pPr>
              <w:spacing w:before="60" w:after="60" w:line="240" w:lineRule="auto"/>
              <w:jc w:val="both"/>
            </w:pPr>
            <w:r w:rsidRPr="003A6407">
              <w:t xml:space="preserve">Alokacja w zakresie działań na sieci kanalizacyjne stanowi </w:t>
            </w:r>
            <w:r w:rsidR="00DA05BD">
              <w:t>50</w:t>
            </w:r>
            <w:r w:rsidRPr="003A6407">
              <w:t xml:space="preserve">% alokacji, co wynosi </w:t>
            </w:r>
            <w:r w:rsidR="007B5D18">
              <w:t>27 509 144,40</w:t>
            </w:r>
            <w:r w:rsidR="005C26F5">
              <w:t>0</w:t>
            </w:r>
            <w:r w:rsidRPr="003A6407">
              <w:t xml:space="preserve"> EUR. </w:t>
            </w:r>
          </w:p>
          <w:p w14:paraId="014D81C0" w14:textId="1F98EB44" w:rsidR="00B86E36" w:rsidRPr="003A6407" w:rsidRDefault="00B86E36" w:rsidP="00B256CA">
            <w:pPr>
              <w:spacing w:before="60" w:after="60" w:line="240" w:lineRule="auto"/>
              <w:jc w:val="both"/>
            </w:pPr>
            <w:r w:rsidRPr="003A6407">
              <w:t xml:space="preserve">Historyczny kwalifikowalny koszt jednostkowy na bazie doświadczeń z perspektywy 2014-2020 wynosi 694 875,45 PLN. Koszt jednostkowy został skorygowany w oparciu o wartość inflacji na poziomie 15% i wynosi 799 106,77 PLN, a uwzględniając dofinansowanie na poziomie 70% wynosi 559 374,74 PLN; biorąc pod uwagę kurs EUR na poziomie 4,45 koszt jednostkowy wynosi 125 702,19 EUR; na podstawie tych danych wyliczono wartość wskaźnika. </w:t>
            </w:r>
          </w:p>
          <w:p w14:paraId="1577588D" w14:textId="77777777" w:rsidR="00B86E36" w:rsidRPr="003A6407" w:rsidRDefault="00B86E36" w:rsidP="00B256CA">
            <w:pPr>
              <w:spacing w:before="60" w:after="60" w:line="240" w:lineRule="auto"/>
              <w:jc w:val="both"/>
            </w:pPr>
            <w:r w:rsidRPr="003A6407">
              <w:t xml:space="preserve">Jednocześnie na podstawie </w:t>
            </w:r>
            <w:proofErr w:type="spellStart"/>
            <w:r w:rsidRPr="003A6407">
              <w:t>ryzyk</w:t>
            </w:r>
            <w:proofErr w:type="spellEnd"/>
            <w:r w:rsidRPr="003A6407">
              <w:t xml:space="preserve"> związanych z realizacją tego typu projektów określono wskaźnik kompensacji: </w:t>
            </w:r>
          </w:p>
          <w:p w14:paraId="1E8CDCBD" w14:textId="77777777" w:rsidR="00B86E36" w:rsidRPr="003A6407" w:rsidRDefault="00B86E36" w:rsidP="00B256CA">
            <w:pPr>
              <w:spacing w:before="60" w:after="60" w:line="240" w:lineRule="auto"/>
              <w:jc w:val="both"/>
            </w:pPr>
          </w:p>
          <w:p w14:paraId="1CFCF087" w14:textId="77777777" w:rsidR="00B86E36" w:rsidRPr="003A6407" w:rsidRDefault="00B86E36" w:rsidP="00B256CA">
            <w:pPr>
              <w:spacing w:before="60" w:after="60" w:line="240" w:lineRule="auto"/>
              <w:jc w:val="both"/>
            </w:pPr>
            <w:r w:rsidRPr="003A6407">
              <w:t>R: [(5*25)+(2*68)]/7 = 44,4%</w:t>
            </w:r>
          </w:p>
          <w:p w14:paraId="6B659CB4" w14:textId="77777777" w:rsidR="00B86E36" w:rsidRPr="003A6407" w:rsidRDefault="00B86E36" w:rsidP="00B256CA">
            <w:pPr>
              <w:spacing w:before="60" w:after="60" w:line="240" w:lineRule="auto"/>
              <w:jc w:val="both"/>
            </w:pPr>
          </w:p>
          <w:p w14:paraId="343991ED" w14:textId="77777777" w:rsidR="00B86E36" w:rsidRPr="003A6407" w:rsidRDefault="00B86E36" w:rsidP="00B256CA">
            <w:pPr>
              <w:spacing w:before="60" w:after="60" w:line="240" w:lineRule="auto"/>
              <w:jc w:val="both"/>
            </w:pPr>
            <w:r w:rsidRPr="003A6407">
              <w:t>Wyliczenie:</w:t>
            </w:r>
          </w:p>
          <w:p w14:paraId="1F9FFBF4" w14:textId="510B0064" w:rsidR="00B86E36" w:rsidRPr="003A6407" w:rsidRDefault="00DA05BD" w:rsidP="00B256CA">
            <w:pPr>
              <w:spacing w:before="60" w:after="60" w:line="240" w:lineRule="auto"/>
              <w:jc w:val="both"/>
            </w:pPr>
            <w:r>
              <w:t>2</w:t>
            </w:r>
            <w:r w:rsidR="007B5D18">
              <w:t>7 509 144,4</w:t>
            </w:r>
            <w:r w:rsidR="00B86E36" w:rsidRPr="003A6407">
              <w:t xml:space="preserve"> / 125 702,19 * (1-0,444) = </w:t>
            </w:r>
            <w:r>
              <w:t>1</w:t>
            </w:r>
            <w:r w:rsidR="007B5D18">
              <w:t>22</w:t>
            </w:r>
            <w:r w:rsidR="00B86E36" w:rsidRPr="003A6407">
              <w:t> </w:t>
            </w:r>
          </w:p>
          <w:p w14:paraId="579184B9" w14:textId="77777777" w:rsidR="00B86E36" w:rsidRPr="003A6407" w:rsidRDefault="00B86E36" w:rsidP="00B256CA">
            <w:pPr>
              <w:spacing w:before="60" w:after="60" w:line="240" w:lineRule="auto"/>
              <w:jc w:val="both"/>
            </w:pPr>
            <w:r w:rsidRPr="003A6407">
              <w:t xml:space="preserve"> </w:t>
            </w:r>
          </w:p>
          <w:p w14:paraId="049D992F" w14:textId="5763181C" w:rsidR="00B86E36" w:rsidRPr="003A6407" w:rsidRDefault="00B86E36" w:rsidP="00B256CA">
            <w:pPr>
              <w:spacing w:before="60" w:after="60" w:line="240" w:lineRule="auto"/>
              <w:jc w:val="both"/>
            </w:pPr>
            <w:r w:rsidRPr="003A6407">
              <w:t xml:space="preserve">Alokacja w zakresie działań na oczyszczalnie ścieków stanowi </w:t>
            </w:r>
            <w:r w:rsidR="00343A89">
              <w:t>25</w:t>
            </w:r>
            <w:r w:rsidRPr="003A6407">
              <w:t xml:space="preserve">% alokacji, co wynosi </w:t>
            </w:r>
            <w:r w:rsidR="00343A89">
              <w:t>1</w:t>
            </w:r>
            <w:r w:rsidR="007B5D18">
              <w:t>3 754 572,20</w:t>
            </w:r>
            <w:r w:rsidRPr="003A6407">
              <w:t xml:space="preserve"> EUR. Historyczny jednostkowy koszt oparty na rzeczywistych kosztach robót budowlanych w działaniach inwestycyjnych na oczyszczalniach ścieków w projektach dofinansowanych w RPO 2014-2020 wynosił 7,5 mln PLN. Przeliczając historyczny koszt jednostkowy dla oczyszczalni ścieków, wartość wskaźnika wynosi 1 685 393,26 EUR; Koszt jednostkowy został skorygowany w oparciu o wartość inflacji na poziomie 15% </w:t>
            </w:r>
            <w:r w:rsidRPr="003A6407">
              <w:br/>
              <w:t>i wynosi 1 938 202,25 PLN a uwzględniając dofinansowanie na poziomie 70% wynosi 1 356 741,57 PLN; biorąc pod uwagę kurs EUR na poziomie 4,45 koszt jednostkowy wynosi 304 885,75 EUR; na podstawie tych danych wyliczono wartość wskaźnika.</w:t>
            </w:r>
          </w:p>
          <w:p w14:paraId="2D0A49BC" w14:textId="77777777" w:rsidR="00B86E36" w:rsidRPr="003A6407" w:rsidRDefault="00B86E36" w:rsidP="00B256CA">
            <w:pPr>
              <w:spacing w:before="60" w:after="60" w:line="240" w:lineRule="auto"/>
              <w:jc w:val="both"/>
            </w:pPr>
            <w:r w:rsidRPr="003A6407">
              <w:t xml:space="preserve">Jednocześnie na podstawie </w:t>
            </w:r>
            <w:proofErr w:type="spellStart"/>
            <w:r w:rsidRPr="003A6407">
              <w:t>ryzyk</w:t>
            </w:r>
            <w:proofErr w:type="spellEnd"/>
            <w:r w:rsidRPr="003A6407">
              <w:t xml:space="preserve"> związanych z realizacją tego typu projektów określono wskaźnik kompensacji: </w:t>
            </w:r>
          </w:p>
          <w:p w14:paraId="7EBB8AD5" w14:textId="77777777" w:rsidR="00B86E36" w:rsidRPr="003A6407" w:rsidRDefault="00B86E36" w:rsidP="00B256CA">
            <w:pPr>
              <w:spacing w:before="60" w:after="60" w:line="240" w:lineRule="auto"/>
              <w:jc w:val="both"/>
            </w:pPr>
          </w:p>
          <w:p w14:paraId="7BCA0FE7" w14:textId="77777777" w:rsidR="00B86E36" w:rsidRPr="003A6407" w:rsidRDefault="00B86E36" w:rsidP="00B256CA">
            <w:pPr>
              <w:spacing w:before="60" w:after="60" w:line="240" w:lineRule="auto"/>
              <w:jc w:val="both"/>
            </w:pPr>
            <w:r w:rsidRPr="003A6407">
              <w:t>R: [(5*25)+(2*68)]/7 = 44,4%</w:t>
            </w:r>
          </w:p>
          <w:p w14:paraId="11D0FAF2" w14:textId="77777777" w:rsidR="00B86E36" w:rsidRPr="003A6407" w:rsidRDefault="00B86E36" w:rsidP="00B256CA">
            <w:pPr>
              <w:spacing w:before="60" w:after="60" w:line="240" w:lineRule="auto"/>
              <w:jc w:val="both"/>
            </w:pPr>
          </w:p>
          <w:p w14:paraId="1937CA4B" w14:textId="77777777" w:rsidR="00B86E36" w:rsidRPr="003A6407" w:rsidRDefault="00B86E36" w:rsidP="00B256CA">
            <w:pPr>
              <w:spacing w:before="60" w:after="60" w:line="240" w:lineRule="auto"/>
              <w:jc w:val="both"/>
            </w:pPr>
            <w:r w:rsidRPr="003A6407">
              <w:t>Wyliczenie:</w:t>
            </w:r>
          </w:p>
          <w:p w14:paraId="0C585174" w14:textId="27A040D7" w:rsidR="00B86E36" w:rsidRPr="003A6407" w:rsidRDefault="00343A89" w:rsidP="00B256CA">
            <w:pPr>
              <w:spacing w:before="60" w:after="60" w:line="240" w:lineRule="auto"/>
              <w:jc w:val="both"/>
            </w:pPr>
            <w:r>
              <w:t>1</w:t>
            </w:r>
            <w:r w:rsidR="008F7721">
              <w:t>3 754 572,20</w:t>
            </w:r>
            <w:r w:rsidR="00B86E36" w:rsidRPr="003A6407">
              <w:t xml:space="preserve"> / 304 885,75 * (1-0,444) = </w:t>
            </w:r>
            <w:r>
              <w:t>2</w:t>
            </w:r>
            <w:r w:rsidR="008F7721">
              <w:t>5</w:t>
            </w:r>
          </w:p>
          <w:p w14:paraId="33397714" w14:textId="77777777" w:rsidR="00B86E36" w:rsidRPr="003A6407" w:rsidRDefault="00B86E36" w:rsidP="00B256CA">
            <w:pPr>
              <w:spacing w:before="60" w:after="60" w:line="240" w:lineRule="auto"/>
              <w:jc w:val="both"/>
            </w:pPr>
          </w:p>
          <w:p w14:paraId="3E9A0CFD" w14:textId="52125D2B" w:rsidR="00B86E36" w:rsidRPr="003A6407" w:rsidRDefault="00B86E36" w:rsidP="00B256CA">
            <w:pPr>
              <w:spacing w:before="60" w:after="60" w:line="240" w:lineRule="auto"/>
              <w:jc w:val="both"/>
            </w:pPr>
            <w:r w:rsidRPr="003A6407">
              <w:t xml:space="preserve">Alokacja w zakresie działań na sieci wodociągowe stanowi </w:t>
            </w:r>
            <w:r w:rsidR="005C26F5">
              <w:t>25</w:t>
            </w:r>
            <w:r w:rsidRPr="003A6407">
              <w:t xml:space="preserve">% alokacji, co wynosi </w:t>
            </w:r>
            <w:r w:rsidR="00D74283">
              <w:t>1</w:t>
            </w:r>
            <w:r w:rsidR="00F971F4">
              <w:t>3 754 572,20</w:t>
            </w:r>
            <w:r w:rsidRPr="003A6407">
              <w:t xml:space="preserve"> EUR. Historyczny kwalifikowalny koszt jednostkowy na bazie doświadczeń z perspektywy 2014-2020 wynosi 558 016,55 EUR. Koszt jednostkowy został skorygowany w oparciu o wartość inflacji na poziomie 15% i wynosi 641 719,03 PLN, a uwzględniając dofinansowanie na poziomie 70% wynosi 449 203,32 PLN; biorąc pod uwagę kurs EUR na poziomie 4,45 koszt jednostkowy wynosi 100 944,57 EUR; na podstawie tych danych wyliczono wartość wskaźnika.</w:t>
            </w:r>
          </w:p>
          <w:p w14:paraId="36F10DC4" w14:textId="77777777" w:rsidR="00B86E36" w:rsidRPr="003A6407" w:rsidRDefault="00B86E36" w:rsidP="00B256CA">
            <w:pPr>
              <w:spacing w:before="60" w:after="60" w:line="240" w:lineRule="auto"/>
              <w:jc w:val="both"/>
            </w:pPr>
          </w:p>
          <w:p w14:paraId="58A9F975" w14:textId="77777777" w:rsidR="00B86E36" w:rsidRPr="003A6407" w:rsidRDefault="00B86E36" w:rsidP="00B256CA">
            <w:pPr>
              <w:spacing w:before="60" w:after="60" w:line="240" w:lineRule="auto"/>
              <w:jc w:val="both"/>
            </w:pPr>
            <w:r w:rsidRPr="003A6407">
              <w:t xml:space="preserve">Jednocześnie na podstawie </w:t>
            </w:r>
            <w:proofErr w:type="spellStart"/>
            <w:r w:rsidRPr="003A6407">
              <w:t>ryzyk</w:t>
            </w:r>
            <w:proofErr w:type="spellEnd"/>
            <w:r w:rsidRPr="003A6407">
              <w:t xml:space="preserve"> związanych z realizacją tego typu projektów określono wskaźnik kompensacji: </w:t>
            </w:r>
          </w:p>
          <w:p w14:paraId="0BD3F4DE" w14:textId="77777777" w:rsidR="00B86E36" w:rsidRPr="003A6407" w:rsidRDefault="00B86E36" w:rsidP="00B256CA">
            <w:pPr>
              <w:spacing w:before="60" w:after="60" w:line="240" w:lineRule="auto"/>
              <w:jc w:val="both"/>
              <w:rPr>
                <w:color w:val="FF0000"/>
              </w:rPr>
            </w:pPr>
          </w:p>
          <w:p w14:paraId="5D65A9AF" w14:textId="77777777" w:rsidR="00B86E36" w:rsidRPr="003A6407" w:rsidRDefault="00B86E36" w:rsidP="00B256CA">
            <w:pPr>
              <w:spacing w:before="60" w:after="60" w:line="240" w:lineRule="auto"/>
              <w:jc w:val="both"/>
            </w:pPr>
            <w:r w:rsidRPr="003A6407">
              <w:t>R: [(5*25)+(2*68)]/7 = 44,4%</w:t>
            </w:r>
          </w:p>
          <w:p w14:paraId="202B91E4" w14:textId="77777777" w:rsidR="00B86E36" w:rsidRPr="003A6407" w:rsidRDefault="00B86E36" w:rsidP="00B256CA">
            <w:pPr>
              <w:spacing w:before="60" w:after="60" w:line="240" w:lineRule="auto"/>
              <w:jc w:val="both"/>
            </w:pPr>
          </w:p>
          <w:p w14:paraId="4288A036" w14:textId="77777777" w:rsidR="00B86E36" w:rsidRPr="003A6407" w:rsidRDefault="00B86E36" w:rsidP="00B256CA">
            <w:pPr>
              <w:spacing w:before="60" w:after="60" w:line="240" w:lineRule="auto"/>
              <w:jc w:val="both"/>
            </w:pPr>
            <w:r w:rsidRPr="003A6407">
              <w:t>Wyliczenie:</w:t>
            </w:r>
          </w:p>
          <w:p w14:paraId="0E76FCEE" w14:textId="3413F979" w:rsidR="00B86E36" w:rsidRPr="003A6407" w:rsidRDefault="00D74283" w:rsidP="00B256CA">
            <w:pPr>
              <w:spacing w:before="60" w:after="60" w:line="240" w:lineRule="auto"/>
              <w:jc w:val="both"/>
            </w:pPr>
            <w:r>
              <w:t>1</w:t>
            </w:r>
            <w:r w:rsidR="00F971F4">
              <w:t>3 754 572,20</w:t>
            </w:r>
            <w:r w:rsidR="00B86E36" w:rsidRPr="003A6407">
              <w:t xml:space="preserve"> / 100 944,57 * (1-0,444) = </w:t>
            </w:r>
            <w:r w:rsidR="00F971F4">
              <w:t>76</w:t>
            </w:r>
          </w:p>
          <w:p w14:paraId="05D1EA9D" w14:textId="77777777" w:rsidR="00B86E36" w:rsidRPr="003A6407" w:rsidRDefault="00B86E36" w:rsidP="00B256CA">
            <w:pPr>
              <w:spacing w:before="60" w:after="60" w:line="240" w:lineRule="auto"/>
              <w:jc w:val="both"/>
            </w:pPr>
          </w:p>
          <w:p w14:paraId="61224CB2" w14:textId="473A7609" w:rsidR="00B86E36" w:rsidRPr="003A6407" w:rsidRDefault="00B86E36" w:rsidP="00B256CA">
            <w:pPr>
              <w:spacing w:before="60" w:after="60" w:line="240" w:lineRule="auto"/>
              <w:jc w:val="both"/>
            </w:pPr>
            <w:r w:rsidRPr="003A6407">
              <w:t xml:space="preserve">Łączna wartość wskaźnika wynosi zatem </w:t>
            </w:r>
            <w:r w:rsidR="00F971F4">
              <w:t>223</w:t>
            </w:r>
            <w:r w:rsidRPr="003A6407">
              <w:t xml:space="preserve"> km (</w:t>
            </w:r>
            <w:r w:rsidR="00DA05BD">
              <w:t>1</w:t>
            </w:r>
            <w:r w:rsidR="007B5D18">
              <w:t>22</w:t>
            </w:r>
            <w:r w:rsidRPr="003A6407">
              <w:t xml:space="preserve"> km + </w:t>
            </w:r>
            <w:r w:rsidR="005C26F5">
              <w:t>2</w:t>
            </w:r>
            <w:r w:rsidR="008F7721">
              <w:t>5</w:t>
            </w:r>
            <w:r w:rsidRPr="003A6407">
              <w:t xml:space="preserve"> km + </w:t>
            </w:r>
            <w:r w:rsidR="00F971F4">
              <w:t>7</w:t>
            </w:r>
            <w:r w:rsidR="00D74283">
              <w:t>6</w:t>
            </w:r>
            <w:r w:rsidRPr="003A6407">
              <w:t xml:space="preserve"> km)</w:t>
            </w:r>
          </w:p>
          <w:p w14:paraId="7BE52353" w14:textId="77777777" w:rsidR="00B86E36" w:rsidRPr="003A6407" w:rsidRDefault="00B86E36" w:rsidP="00B256CA">
            <w:pPr>
              <w:spacing w:before="60" w:after="60" w:line="240" w:lineRule="auto"/>
              <w:jc w:val="both"/>
            </w:pPr>
          </w:p>
          <w:p w14:paraId="20891F1D"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477B6E08" w14:textId="77777777" w:rsidR="00B86E36" w:rsidRPr="003A6407" w:rsidRDefault="00B86E36" w:rsidP="00B256CA">
            <w:pPr>
              <w:spacing w:before="60" w:after="60" w:line="240" w:lineRule="auto"/>
              <w:jc w:val="both"/>
            </w:pPr>
            <w:r w:rsidRPr="003A6407">
              <w:t>•</w:t>
            </w:r>
            <w:r w:rsidRPr="003A6407">
              <w:rPr>
                <w:b/>
              </w:rPr>
              <w:t>ryzyko wzrostu cen</w:t>
            </w:r>
            <w:r w:rsidRPr="003A6407">
              <w:t xml:space="preserve"> - ryzyko związane ze wzrostem cen gazu, energii, materiałów, sprzętu i usług; ryzyko związane z poziomem inflacji; (istotność: poważna)</w:t>
            </w:r>
          </w:p>
          <w:p w14:paraId="65390238" w14:textId="77777777" w:rsidR="00B86E36" w:rsidRPr="003A6407" w:rsidRDefault="00B86E36" w:rsidP="00B256CA">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57170BF6"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2A32D29B" w14:textId="77777777" w:rsidR="00B86E36" w:rsidRPr="003A6407" w:rsidRDefault="00B86E36" w:rsidP="00B256CA">
            <w:pPr>
              <w:spacing w:before="60" w:after="60" w:line="240" w:lineRule="auto"/>
              <w:jc w:val="both"/>
            </w:pPr>
            <w:r w:rsidRPr="003A6407">
              <w:t>•</w:t>
            </w:r>
            <w:r w:rsidRPr="003A6407">
              <w:rPr>
                <w:b/>
                <w:bCs/>
              </w:rPr>
              <w:t xml:space="preserve">czynniki które mogą wpłynąć na harmonogram realizacji planów działania dot. spełnienia warunków wstępnych (ex </w:t>
            </w:r>
            <w:proofErr w:type="spellStart"/>
            <w:r w:rsidRPr="003A6407">
              <w:rPr>
                <w:b/>
                <w:bCs/>
              </w:rPr>
              <w:t>ante</w:t>
            </w:r>
            <w:proofErr w:type="spellEnd"/>
            <w:r w:rsidRPr="003A6407">
              <w:rPr>
                <w:b/>
                <w:bCs/>
              </w:rPr>
              <w:t>),</w:t>
            </w:r>
            <w:r w:rsidRPr="003A6407">
              <w:t xml:space="preserve"> a które są poza kompetencjami IZ oraz instytucji odpowiedzialnych za spełnienie tych warunków; (istotność: umiarkowana)</w:t>
            </w:r>
          </w:p>
          <w:p w14:paraId="7AC64FE8"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umiarkowana)</w:t>
            </w:r>
          </w:p>
          <w:p w14:paraId="24F4820D" w14:textId="77777777" w:rsidR="00B86E36" w:rsidRPr="003A6407" w:rsidRDefault="00B86E36" w:rsidP="00B256CA">
            <w:pPr>
              <w:spacing w:before="60" w:after="60" w:line="240" w:lineRule="auto"/>
              <w:jc w:val="both"/>
              <w:rPr>
                <w:b/>
              </w:rPr>
            </w:pPr>
            <w:r w:rsidRPr="003A6407">
              <w:rPr>
                <w:b/>
              </w:rPr>
              <w:t xml:space="preserve">•opóźnienia, </w:t>
            </w:r>
            <w:r w:rsidRPr="003A6407">
              <w:rPr>
                <w:bCs/>
              </w:rPr>
              <w:t>bądź niewykonanie projektu związane z procedurami wynikającymi z zamówień publicznych; (istotność: poważna)</w:t>
            </w:r>
          </w:p>
          <w:p w14:paraId="532DEF7C" w14:textId="7BC016B2" w:rsidR="00B86E36" w:rsidRPr="003A6407" w:rsidRDefault="00B86E36" w:rsidP="00B256CA">
            <w:pPr>
              <w:spacing w:before="60" w:after="60" w:line="240" w:lineRule="auto"/>
              <w:jc w:val="both"/>
              <w:rPr>
                <w:bCs/>
              </w:rPr>
            </w:pPr>
            <w:r w:rsidRPr="003A6407">
              <w:rPr>
                <w:b/>
              </w:rPr>
              <w:t xml:space="preserve">•zmiany w uwarunkowaniach prawnych mające wpływ na planowanie i realizację projektu; </w:t>
            </w:r>
            <w:r w:rsidRPr="003A6407">
              <w:rPr>
                <w:bCs/>
              </w:rPr>
              <w:t>(istotność: umiarkowana)</w:t>
            </w:r>
            <w:r w:rsidR="004E5602" w:rsidRPr="003A6407">
              <w:rPr>
                <w:bCs/>
              </w:rPr>
              <w:t>.</w:t>
            </w:r>
          </w:p>
          <w:p w14:paraId="1333943E" w14:textId="55E2D753" w:rsidR="004E5602" w:rsidRPr="003A6407" w:rsidRDefault="004E5602" w:rsidP="00B256CA">
            <w:pPr>
              <w:spacing w:before="60" w:after="60" w:line="240" w:lineRule="auto"/>
              <w:jc w:val="both"/>
            </w:pPr>
          </w:p>
          <w:p w14:paraId="7A6B6C2E" w14:textId="3F688F1A" w:rsidR="008C17E3" w:rsidRPr="003A6407" w:rsidRDefault="008C17E3" w:rsidP="00B256CA">
            <w:pPr>
              <w:spacing w:before="60" w:after="60" w:line="240" w:lineRule="auto"/>
              <w:jc w:val="both"/>
              <w:rPr>
                <w:b/>
                <w:bCs/>
              </w:rPr>
            </w:pPr>
            <w:r w:rsidRPr="003A6407">
              <w:rPr>
                <w:b/>
                <w:bCs/>
              </w:rPr>
              <w:t>Uzasadnienie dla celu pośredniego:</w:t>
            </w:r>
          </w:p>
          <w:p w14:paraId="76C1741C" w14:textId="369ECAFC" w:rsidR="004E5602" w:rsidRPr="003A6407" w:rsidRDefault="008C17E3" w:rsidP="00B256CA">
            <w:pPr>
              <w:spacing w:before="60" w:after="60" w:line="240" w:lineRule="auto"/>
              <w:jc w:val="both"/>
              <w:rPr>
                <w:b/>
                <w:bCs/>
              </w:rPr>
            </w:pPr>
            <w:r w:rsidRPr="003A6407">
              <w:rPr>
                <w:b/>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6b</w:t>
            </w:r>
            <w:r w:rsidR="00C122CE">
              <w:rPr>
                <w:b/>
                <w:bCs/>
              </w:rPr>
              <w:t>)</w:t>
            </w:r>
            <w:r w:rsidRPr="003A6407">
              <w:rPr>
                <w:b/>
                <w:bCs/>
              </w:rPr>
              <w:t xml:space="preserve"> na podstawie sprawozdania rocznego z 2021 r. - wskaźnik pn. </w:t>
            </w:r>
            <w:r w:rsidR="00C122CE" w:rsidRPr="00C122CE">
              <w:rPr>
                <w:b/>
                <w:bCs/>
              </w:rPr>
              <w:t xml:space="preserve">Długość sieci kanalizacji sanitarnej  </w:t>
            </w:r>
            <w:r w:rsidRPr="003A6407">
              <w:rPr>
                <w:b/>
                <w:bCs/>
              </w:rPr>
              <w:t>w 2017 r., który był 4 rokiem wdrażania miał wykonanie na poziomie 0</w:t>
            </w:r>
            <w:r w:rsidR="00C122CE">
              <w:rPr>
                <w:b/>
                <w:bCs/>
              </w:rPr>
              <w:t>,48</w:t>
            </w:r>
            <w:r w:rsidRPr="003A6407">
              <w:rPr>
                <w:b/>
                <w:bCs/>
              </w:rPr>
              <w:t xml:space="preserve">. Wobec </w:t>
            </w:r>
            <w:r w:rsidR="00C122CE" w:rsidRPr="00C122CE">
              <w:rPr>
                <w:b/>
                <w:bCs/>
              </w:rPr>
              <w:t xml:space="preserve">tak niskiej realizacji inwestycji w RPO WD 2014-2020, </w:t>
            </w:r>
            <w:proofErr w:type="spellStart"/>
            <w:r w:rsidRPr="003A6407">
              <w:rPr>
                <w:b/>
                <w:bCs/>
              </w:rPr>
              <w:t>powyżsego</w:t>
            </w:r>
            <w:proofErr w:type="spellEnd"/>
            <w:r w:rsidRPr="003A6407">
              <w:rPr>
                <w:b/>
                <w:bCs/>
              </w:rPr>
              <w:t xml:space="preserve"> w ramach FEDS wartość pośrednią ustalono jako 0.</w:t>
            </w:r>
            <w:r w:rsidR="008F5077">
              <w:rPr>
                <w:b/>
                <w:bCs/>
              </w:rPr>
              <w:t xml:space="preserve"> Takie postępowanie potwierdzają trudności realizacyjne tego typów projektów w perspektywie 2014-2020 oraz zmiany wartości pośrednich przed przeglądem śródokresowym w minionej perspektywie.</w:t>
            </w:r>
          </w:p>
          <w:p w14:paraId="24493BD2" w14:textId="77777777" w:rsidR="00B86E36" w:rsidRPr="003A6407" w:rsidRDefault="00B86E36" w:rsidP="00B256CA">
            <w:pPr>
              <w:spacing w:before="60" w:after="60" w:line="240" w:lineRule="auto"/>
              <w:jc w:val="both"/>
              <w:rPr>
                <w:b/>
              </w:rPr>
            </w:pPr>
          </w:p>
        </w:tc>
      </w:tr>
    </w:tbl>
    <w:p w14:paraId="1C135DF7" w14:textId="39820E4F" w:rsidR="00B86E36" w:rsidRDefault="00B86E36" w:rsidP="00B256CA"/>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95"/>
        <w:gridCol w:w="1011"/>
        <w:gridCol w:w="794"/>
        <w:gridCol w:w="2415"/>
        <w:gridCol w:w="995"/>
        <w:gridCol w:w="1136"/>
        <w:gridCol w:w="997"/>
      </w:tblGrid>
      <w:tr w:rsidR="00FE3D08" w:rsidRPr="003A6407" w14:paraId="3E9C22F5" w14:textId="77777777" w:rsidTr="00E66D78">
        <w:trPr>
          <w:cantSplit/>
          <w:trHeight w:val="1647"/>
        </w:trPr>
        <w:tc>
          <w:tcPr>
            <w:tcW w:w="439" w:type="pct"/>
            <w:vAlign w:val="center"/>
          </w:tcPr>
          <w:p w14:paraId="24BE6472"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CP 2</w:t>
            </w:r>
          </w:p>
          <w:p w14:paraId="37202DF9"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Cel szczegółowy</w:t>
            </w:r>
          </w:p>
        </w:tc>
        <w:tc>
          <w:tcPr>
            <w:tcW w:w="481" w:type="pct"/>
            <w:vAlign w:val="center"/>
          </w:tcPr>
          <w:p w14:paraId="68908B03"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Fundusz</w:t>
            </w:r>
          </w:p>
        </w:tc>
        <w:tc>
          <w:tcPr>
            <w:tcW w:w="543" w:type="pct"/>
            <w:vAlign w:val="center"/>
          </w:tcPr>
          <w:p w14:paraId="0C31DEF7"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Kategoria regionu</w:t>
            </w:r>
          </w:p>
        </w:tc>
        <w:tc>
          <w:tcPr>
            <w:tcW w:w="426" w:type="pct"/>
            <w:textDirection w:val="btLr"/>
            <w:vAlign w:val="center"/>
          </w:tcPr>
          <w:p w14:paraId="70435A48" w14:textId="77777777" w:rsidR="00FE3D08" w:rsidRPr="003A6407" w:rsidRDefault="00FE3D08" w:rsidP="00100102">
            <w:pPr>
              <w:spacing w:before="120" w:after="120" w:line="240" w:lineRule="auto"/>
              <w:ind w:left="113" w:right="113"/>
              <w:jc w:val="center"/>
              <w:rPr>
                <w:b/>
                <w:noProof/>
                <w:sz w:val="16"/>
                <w:szCs w:val="16"/>
              </w:rPr>
            </w:pPr>
            <w:r w:rsidRPr="003A6407">
              <w:rPr>
                <w:b/>
                <w:noProof/>
                <w:sz w:val="16"/>
                <w:szCs w:val="16"/>
              </w:rPr>
              <w:t>Nr identyfikacyjny [5]</w:t>
            </w:r>
          </w:p>
        </w:tc>
        <w:tc>
          <w:tcPr>
            <w:tcW w:w="1297" w:type="pct"/>
            <w:shd w:val="clear" w:color="auto" w:fill="auto"/>
            <w:vAlign w:val="center"/>
          </w:tcPr>
          <w:p w14:paraId="62EB70F8"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Wskaźnik [255]</w:t>
            </w:r>
          </w:p>
        </w:tc>
        <w:tc>
          <w:tcPr>
            <w:tcW w:w="534" w:type="pct"/>
            <w:vAlign w:val="center"/>
          </w:tcPr>
          <w:p w14:paraId="7D59BAD3"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Jednostka miary</w:t>
            </w:r>
          </w:p>
        </w:tc>
        <w:tc>
          <w:tcPr>
            <w:tcW w:w="610" w:type="pct"/>
            <w:shd w:val="clear" w:color="auto" w:fill="auto"/>
            <w:vAlign w:val="center"/>
          </w:tcPr>
          <w:p w14:paraId="76611D98"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Cel pośredni (2024)</w:t>
            </w:r>
          </w:p>
          <w:p w14:paraId="06B9549F" w14:textId="77777777" w:rsidR="00FE3D08" w:rsidRPr="003A6407" w:rsidRDefault="00FE3D08" w:rsidP="00100102">
            <w:pPr>
              <w:spacing w:before="120" w:after="120" w:line="240" w:lineRule="auto"/>
              <w:jc w:val="center"/>
              <w:rPr>
                <w:b/>
                <w:noProof/>
                <w:sz w:val="16"/>
                <w:szCs w:val="16"/>
              </w:rPr>
            </w:pPr>
          </w:p>
        </w:tc>
        <w:tc>
          <w:tcPr>
            <w:tcW w:w="535" w:type="pct"/>
            <w:shd w:val="clear" w:color="auto" w:fill="auto"/>
            <w:vAlign w:val="center"/>
          </w:tcPr>
          <w:p w14:paraId="0EF009BE" w14:textId="77777777" w:rsidR="00FE3D08" w:rsidRPr="003A6407" w:rsidRDefault="00FE3D08" w:rsidP="00100102">
            <w:pPr>
              <w:spacing w:before="120" w:after="120" w:line="240" w:lineRule="auto"/>
              <w:jc w:val="center"/>
              <w:rPr>
                <w:b/>
                <w:noProof/>
                <w:sz w:val="16"/>
                <w:szCs w:val="16"/>
              </w:rPr>
            </w:pPr>
            <w:r w:rsidRPr="003A6407">
              <w:rPr>
                <w:b/>
                <w:noProof/>
                <w:sz w:val="16"/>
                <w:szCs w:val="16"/>
              </w:rPr>
              <w:t>Cel (2029)</w:t>
            </w:r>
          </w:p>
          <w:p w14:paraId="29B2776C" w14:textId="77777777" w:rsidR="00FE3D08" w:rsidRPr="003A6407" w:rsidRDefault="00FE3D08" w:rsidP="00100102">
            <w:pPr>
              <w:spacing w:before="120" w:after="120" w:line="240" w:lineRule="auto"/>
              <w:jc w:val="center"/>
              <w:rPr>
                <w:b/>
                <w:noProof/>
                <w:sz w:val="16"/>
                <w:szCs w:val="16"/>
              </w:rPr>
            </w:pPr>
          </w:p>
        </w:tc>
      </w:tr>
      <w:tr w:rsidR="00FE3D08" w:rsidRPr="003A6407" w14:paraId="5F55F764" w14:textId="77777777" w:rsidTr="00E66D78">
        <w:trPr>
          <w:trHeight w:val="340"/>
        </w:trPr>
        <w:tc>
          <w:tcPr>
            <w:tcW w:w="439" w:type="pct"/>
            <w:vAlign w:val="center"/>
          </w:tcPr>
          <w:p w14:paraId="6DD9889F" w14:textId="77777777" w:rsidR="00FE3D08" w:rsidRDefault="00FE3D08" w:rsidP="00FE3D08">
            <w:pPr>
              <w:spacing w:before="120" w:after="120" w:line="240" w:lineRule="auto"/>
              <w:jc w:val="center"/>
              <w:rPr>
                <w:noProof/>
                <w:sz w:val="16"/>
                <w:szCs w:val="16"/>
              </w:rPr>
            </w:pPr>
            <w:r w:rsidRPr="003A6407">
              <w:rPr>
                <w:noProof/>
                <w:sz w:val="16"/>
                <w:szCs w:val="16"/>
              </w:rPr>
              <w:t>2 (v)</w:t>
            </w:r>
          </w:p>
          <w:p w14:paraId="06F5D7BD" w14:textId="1D691161" w:rsidR="00980C2E" w:rsidRPr="003A6407" w:rsidRDefault="00980C2E" w:rsidP="00FE3D08">
            <w:pPr>
              <w:spacing w:before="120" w:after="120" w:line="240" w:lineRule="auto"/>
              <w:jc w:val="center"/>
              <w:rPr>
                <w:noProof/>
                <w:sz w:val="16"/>
                <w:szCs w:val="16"/>
              </w:rPr>
            </w:pPr>
            <w:r>
              <w:rPr>
                <w:noProof/>
                <w:sz w:val="16"/>
                <w:szCs w:val="16"/>
              </w:rPr>
              <w:t>2.5</w:t>
            </w:r>
          </w:p>
        </w:tc>
        <w:tc>
          <w:tcPr>
            <w:tcW w:w="481" w:type="pct"/>
            <w:vAlign w:val="center"/>
          </w:tcPr>
          <w:p w14:paraId="2062331F" w14:textId="18235C4A" w:rsidR="00FE3D08" w:rsidRPr="003A6407" w:rsidRDefault="00FE3D08" w:rsidP="00FE3D08">
            <w:pPr>
              <w:spacing w:before="120" w:after="120" w:line="240" w:lineRule="auto"/>
              <w:jc w:val="center"/>
              <w:rPr>
                <w:noProof/>
                <w:sz w:val="16"/>
                <w:szCs w:val="16"/>
              </w:rPr>
            </w:pPr>
            <w:r w:rsidRPr="003A6407">
              <w:rPr>
                <w:noProof/>
                <w:sz w:val="16"/>
                <w:szCs w:val="16"/>
              </w:rPr>
              <w:t>EFRR</w:t>
            </w:r>
          </w:p>
        </w:tc>
        <w:tc>
          <w:tcPr>
            <w:tcW w:w="543" w:type="pct"/>
            <w:vAlign w:val="center"/>
          </w:tcPr>
          <w:p w14:paraId="724FEE59" w14:textId="2F55C2FB" w:rsidR="00FE3D08" w:rsidRPr="003A6407" w:rsidRDefault="00FE3D08" w:rsidP="00FE3D08">
            <w:pPr>
              <w:spacing w:before="120" w:after="120" w:line="240" w:lineRule="auto"/>
              <w:jc w:val="center"/>
              <w:rPr>
                <w:noProof/>
                <w:sz w:val="16"/>
                <w:szCs w:val="16"/>
              </w:rPr>
            </w:pPr>
            <w:r w:rsidRPr="003A6407">
              <w:rPr>
                <w:noProof/>
                <w:sz w:val="16"/>
                <w:szCs w:val="16"/>
              </w:rPr>
              <w:t>przejściowy</w:t>
            </w:r>
          </w:p>
        </w:tc>
        <w:tc>
          <w:tcPr>
            <w:tcW w:w="426" w:type="pct"/>
            <w:vAlign w:val="center"/>
          </w:tcPr>
          <w:p w14:paraId="7F77AE1C" w14:textId="30678FE8" w:rsidR="00FE3D08" w:rsidRPr="003A6407" w:rsidRDefault="00FE3D08" w:rsidP="00FE3D08">
            <w:pPr>
              <w:spacing w:before="120" w:after="120" w:line="240" w:lineRule="auto"/>
              <w:jc w:val="center"/>
              <w:rPr>
                <w:noProof/>
                <w:sz w:val="16"/>
                <w:szCs w:val="16"/>
              </w:rPr>
            </w:pPr>
            <w:r w:rsidRPr="003A6407">
              <w:rPr>
                <w:noProof/>
                <w:sz w:val="16"/>
                <w:szCs w:val="16"/>
              </w:rPr>
              <w:t>RCO32</w:t>
            </w:r>
          </w:p>
        </w:tc>
        <w:tc>
          <w:tcPr>
            <w:tcW w:w="1297" w:type="pct"/>
            <w:shd w:val="clear" w:color="auto" w:fill="auto"/>
            <w:vAlign w:val="center"/>
          </w:tcPr>
          <w:p w14:paraId="2D5F6A06" w14:textId="32C81F73" w:rsidR="00FE3D08" w:rsidRPr="003A6407" w:rsidRDefault="00FE3D08" w:rsidP="00FE3D08">
            <w:pPr>
              <w:keepNext/>
              <w:keepLines/>
              <w:spacing w:before="200" w:after="0"/>
              <w:jc w:val="center"/>
              <w:outlineLvl w:val="2"/>
              <w:rPr>
                <w:rFonts w:eastAsiaTheme="majorEastAsia" w:cstheme="majorBidi"/>
                <w:b/>
                <w:bCs/>
                <w:noProof/>
                <w:sz w:val="16"/>
                <w:szCs w:val="16"/>
              </w:rPr>
            </w:pPr>
            <w:bookmarkStart w:id="139" w:name="_Toc120464398"/>
            <w:r w:rsidRPr="003A6407">
              <w:rPr>
                <w:rFonts w:asciiTheme="minorHAnsi" w:eastAsia="Times New Roman" w:hAnsiTheme="minorHAnsi" w:cstheme="minorHAnsi"/>
                <w:bCs/>
                <w:noProof/>
                <w:sz w:val="16"/>
                <w:szCs w:val="16"/>
              </w:rPr>
              <w:t xml:space="preserve">Wydajność nowo wybudowanych lub zmoderniozowanych </w:t>
            </w:r>
            <w:r w:rsidR="00D544BC">
              <w:rPr>
                <w:rFonts w:asciiTheme="minorHAnsi" w:eastAsia="Times New Roman" w:hAnsiTheme="minorHAnsi" w:cstheme="minorHAnsi"/>
                <w:bCs/>
                <w:noProof/>
                <w:sz w:val="16"/>
                <w:szCs w:val="16"/>
              </w:rPr>
              <w:t xml:space="preserve">instalacji </w:t>
            </w:r>
            <w:r w:rsidRPr="003A6407">
              <w:rPr>
                <w:rFonts w:asciiTheme="minorHAnsi" w:eastAsia="Times New Roman" w:hAnsiTheme="minorHAnsi" w:cstheme="minorHAnsi"/>
                <w:bCs/>
                <w:noProof/>
                <w:sz w:val="16"/>
                <w:szCs w:val="16"/>
              </w:rPr>
              <w:t>oczyszczani</w:t>
            </w:r>
            <w:r w:rsidR="00D544BC">
              <w:rPr>
                <w:rFonts w:asciiTheme="minorHAnsi" w:eastAsia="Times New Roman" w:hAnsiTheme="minorHAnsi" w:cstheme="minorHAnsi"/>
                <w:bCs/>
                <w:noProof/>
                <w:sz w:val="16"/>
                <w:szCs w:val="16"/>
              </w:rPr>
              <w:t>a</w:t>
            </w:r>
            <w:r w:rsidRPr="003A6407">
              <w:rPr>
                <w:rFonts w:asciiTheme="minorHAnsi" w:eastAsia="Times New Roman" w:hAnsiTheme="minorHAnsi" w:cstheme="minorHAnsi"/>
                <w:bCs/>
                <w:noProof/>
                <w:sz w:val="16"/>
                <w:szCs w:val="16"/>
              </w:rPr>
              <w:t xml:space="preserve"> ścieków</w:t>
            </w:r>
            <w:bookmarkEnd w:id="139"/>
          </w:p>
        </w:tc>
        <w:tc>
          <w:tcPr>
            <w:tcW w:w="534" w:type="pct"/>
            <w:vAlign w:val="center"/>
          </w:tcPr>
          <w:p w14:paraId="407339C7" w14:textId="079D1E5E" w:rsidR="00FE3D08" w:rsidRPr="003A6407" w:rsidRDefault="00FE3D08" w:rsidP="00FE3D08">
            <w:pPr>
              <w:spacing w:before="120" w:after="120" w:line="240" w:lineRule="auto"/>
              <w:jc w:val="center"/>
              <w:rPr>
                <w:noProof/>
                <w:sz w:val="16"/>
                <w:szCs w:val="16"/>
              </w:rPr>
            </w:pPr>
            <w:r w:rsidRPr="003A6407">
              <w:rPr>
                <w:noProof/>
                <w:sz w:val="16"/>
                <w:szCs w:val="16"/>
              </w:rPr>
              <w:t>RLM</w:t>
            </w:r>
          </w:p>
        </w:tc>
        <w:tc>
          <w:tcPr>
            <w:tcW w:w="610" w:type="pct"/>
            <w:shd w:val="clear" w:color="auto" w:fill="auto"/>
            <w:vAlign w:val="center"/>
          </w:tcPr>
          <w:p w14:paraId="1F7C59B7" w14:textId="0AC41D0B" w:rsidR="00FE3D08" w:rsidRPr="003A6407" w:rsidRDefault="00FE3D08" w:rsidP="00FE3D08">
            <w:pPr>
              <w:spacing w:before="120" w:after="120" w:line="240" w:lineRule="auto"/>
              <w:jc w:val="center"/>
              <w:rPr>
                <w:noProof/>
                <w:sz w:val="16"/>
                <w:szCs w:val="16"/>
              </w:rPr>
            </w:pPr>
            <w:r w:rsidRPr="003A6407">
              <w:rPr>
                <w:noProof/>
                <w:sz w:val="16"/>
                <w:szCs w:val="16"/>
              </w:rPr>
              <w:t>0,00</w:t>
            </w:r>
          </w:p>
        </w:tc>
        <w:tc>
          <w:tcPr>
            <w:tcW w:w="535" w:type="pct"/>
            <w:shd w:val="clear" w:color="auto" w:fill="auto"/>
            <w:vAlign w:val="center"/>
          </w:tcPr>
          <w:p w14:paraId="008A93D5" w14:textId="28CF24F7" w:rsidR="00FE3D08" w:rsidRPr="003A6407" w:rsidRDefault="00FE3D08" w:rsidP="00FE3D08">
            <w:pPr>
              <w:spacing w:before="120" w:after="120" w:line="240" w:lineRule="auto"/>
              <w:jc w:val="center"/>
              <w:rPr>
                <w:noProof/>
                <w:sz w:val="16"/>
                <w:szCs w:val="16"/>
              </w:rPr>
            </w:pPr>
            <w:r w:rsidRPr="003A6407">
              <w:rPr>
                <w:noProof/>
                <w:sz w:val="16"/>
                <w:szCs w:val="16"/>
              </w:rPr>
              <w:t>6 452</w:t>
            </w:r>
          </w:p>
        </w:tc>
      </w:tr>
    </w:tbl>
    <w:tbl>
      <w:tblPr>
        <w:tblpPr w:leftFromText="141" w:rightFromText="141" w:vertAnchor="text" w:horzAnchor="margin" w:tblpY="16"/>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0"/>
      </w:tblGrid>
      <w:tr w:rsidR="00E66D78" w:rsidRPr="003A6407" w14:paraId="4709A617" w14:textId="77777777" w:rsidTr="00E66D78">
        <w:trPr>
          <w:trHeight w:val="340"/>
        </w:trPr>
        <w:tc>
          <w:tcPr>
            <w:tcW w:w="5000" w:type="pct"/>
          </w:tcPr>
          <w:p w14:paraId="0D079864" w14:textId="77777777" w:rsidR="00E66D78" w:rsidRPr="003A6407" w:rsidRDefault="00E66D78" w:rsidP="00E66D78">
            <w:pPr>
              <w:spacing w:before="60" w:after="60" w:line="240" w:lineRule="auto"/>
              <w:jc w:val="both"/>
            </w:pPr>
          </w:p>
          <w:p w14:paraId="776DDBD0" w14:textId="77777777" w:rsidR="00E66D78" w:rsidRPr="003A6407" w:rsidRDefault="00E66D78" w:rsidP="00E66D78">
            <w:pPr>
              <w:spacing w:before="60" w:after="60" w:line="240" w:lineRule="auto"/>
              <w:jc w:val="both"/>
            </w:pPr>
            <w:r w:rsidRPr="003A6407">
              <w:t>Metodologia:</w:t>
            </w:r>
          </w:p>
          <w:p w14:paraId="4C96B033" w14:textId="77777777" w:rsidR="00E66D78" w:rsidRPr="003A6407" w:rsidRDefault="00E66D78" w:rsidP="00E66D78">
            <w:pPr>
              <w:pStyle w:val="Tekstkomentarza"/>
            </w:pPr>
            <w:r w:rsidRPr="003A6407">
              <w:lastRenderedPageBreak/>
              <w:t>Zmodernizowana wydajność odnosi się do znacznych ulepszeń w metodzie oczyszczania ścieków.  W przedziale 10-15 RLM jedynie 3 aglomeracje chcą przeprowadzić inwestycje na oczyszczalniach ścieków. W dodatku w wyniku tych inwestycji nie zmieni się wydajność. Z uwagi na fakt, że w aglomeracjach będziemy wspierać jedynie inwestycje wynikającego z KPOŚK, to wskaźnik ten w aglomeracjach w zakresie 10-15 tys. RLM będzie zerowy. Do wyliczenia wskaźnika wzięto zatem zakres 2-10 tys. RLM. Łączna wydajność oczyszczalni po realizacji inwestycji w zakresie 2-10 tys. RLM wynosi 163 230, natomiast suma projektowej maksymalnej wydajności oczyszczalni ścieków w tymże zakresie wynosi 156 778. W celu wyliczenia wskaźnika wartości te zostały odjęte.</w:t>
            </w:r>
          </w:p>
          <w:p w14:paraId="4BF27542" w14:textId="77777777" w:rsidR="00E66D78" w:rsidRPr="003A6407" w:rsidRDefault="00E66D78" w:rsidP="00E66D78">
            <w:pPr>
              <w:spacing w:before="60" w:after="60" w:line="240" w:lineRule="auto"/>
              <w:jc w:val="both"/>
            </w:pPr>
          </w:p>
          <w:p w14:paraId="2F8951EC" w14:textId="77777777" w:rsidR="00E66D78" w:rsidRPr="003A6407" w:rsidRDefault="00E66D78" w:rsidP="00E66D78">
            <w:pPr>
              <w:spacing w:before="60" w:after="60" w:line="240" w:lineRule="auto"/>
              <w:jc w:val="both"/>
            </w:pPr>
            <w:r w:rsidRPr="003A6407">
              <w:t>Wyliczenie:</w:t>
            </w:r>
          </w:p>
          <w:p w14:paraId="4AB2FB15" w14:textId="04DDFF04" w:rsidR="00E66D78" w:rsidRDefault="00E66D78" w:rsidP="00E66D78">
            <w:pPr>
              <w:spacing w:before="60" w:after="60" w:line="240" w:lineRule="auto"/>
              <w:jc w:val="both"/>
            </w:pPr>
            <w:r w:rsidRPr="003A6407">
              <w:t>163 230 – 156 778 = 6</w:t>
            </w:r>
            <w:r w:rsidR="008F5077">
              <w:t> </w:t>
            </w:r>
            <w:r w:rsidRPr="003A6407">
              <w:t>452</w:t>
            </w:r>
          </w:p>
          <w:p w14:paraId="2F14281D" w14:textId="77777777" w:rsidR="008F5077" w:rsidRDefault="008F5077" w:rsidP="00E66D78">
            <w:pPr>
              <w:spacing w:before="60" w:after="60" w:line="240" w:lineRule="auto"/>
              <w:jc w:val="both"/>
            </w:pPr>
          </w:p>
          <w:p w14:paraId="579976B3" w14:textId="77777777" w:rsidR="008F5077" w:rsidRPr="008F5077" w:rsidRDefault="008F5077" w:rsidP="008F5077">
            <w:pPr>
              <w:spacing w:before="60" w:after="60" w:line="240" w:lineRule="auto"/>
              <w:jc w:val="both"/>
              <w:rPr>
                <w:b/>
                <w:bCs/>
              </w:rPr>
            </w:pPr>
            <w:r w:rsidRPr="008F5077">
              <w:rPr>
                <w:b/>
                <w:bCs/>
              </w:rPr>
              <w:t>Uzasadnienie dla celu pośredniego:</w:t>
            </w:r>
          </w:p>
          <w:p w14:paraId="4218A89F" w14:textId="300E67E2" w:rsidR="008F5077" w:rsidRPr="003A6407" w:rsidRDefault="008F5077" w:rsidP="008F5077">
            <w:pPr>
              <w:spacing w:before="60" w:after="60" w:line="240" w:lineRule="auto"/>
              <w:jc w:val="both"/>
            </w:pPr>
            <w:r w:rsidRPr="008F5077">
              <w:rPr>
                <w:b/>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6b</w:t>
            </w:r>
            <w:r w:rsidR="00C122CE">
              <w:rPr>
                <w:b/>
                <w:bCs/>
              </w:rPr>
              <w:t>)</w:t>
            </w:r>
            <w:r w:rsidRPr="008F5077">
              <w:rPr>
                <w:b/>
                <w:bCs/>
              </w:rPr>
              <w:t xml:space="preserve"> na podstawie </w:t>
            </w:r>
            <w:r w:rsidR="00C122CE">
              <w:rPr>
                <w:b/>
                <w:bCs/>
              </w:rPr>
              <w:t xml:space="preserve">danych monitoringowych </w:t>
            </w:r>
            <w:r w:rsidRPr="008F5077">
              <w:rPr>
                <w:b/>
                <w:bCs/>
              </w:rPr>
              <w:t>z 2021 r.</w:t>
            </w:r>
            <w:r w:rsidR="00C122CE">
              <w:rPr>
                <w:b/>
                <w:bCs/>
              </w:rPr>
              <w:t xml:space="preserve"> ustalono, że </w:t>
            </w:r>
            <w:r w:rsidRPr="008F5077">
              <w:rPr>
                <w:b/>
                <w:bCs/>
              </w:rPr>
              <w:t>wskaźnik pn.</w:t>
            </w:r>
            <w:r w:rsidR="00C122CE">
              <w:rPr>
                <w:b/>
                <w:bCs/>
              </w:rPr>
              <w:t xml:space="preserve"> Wielkość ładunku ścieków poddanych ulepszonemu oczyszczaniu (RLM)</w:t>
            </w:r>
            <w:r w:rsidRPr="008F5077">
              <w:rPr>
                <w:b/>
                <w:bCs/>
              </w:rPr>
              <w:t xml:space="preserve"> w 2017 r., który był 4 rokiem wdrażania miał wykonanie na poziomie 0. Wobec powyższego w ramach FEDS wartość pośrednią ustalono jako 0. Takie postępowanie potwierdzają trudności realizacyjne tego typów projektów w perspektywie 2014-2020 oraz zmiany wartości pośrednich przed przeglądem śródokresowym w minionej perspektywie.</w:t>
            </w:r>
            <w:r w:rsidR="00D75222">
              <w:rPr>
                <w:b/>
                <w:bCs/>
              </w:rPr>
              <w:t xml:space="preserve"> </w:t>
            </w:r>
            <w:r w:rsidR="00D75222" w:rsidRPr="00D75222">
              <w:rPr>
                <w:b/>
                <w:bCs/>
              </w:rPr>
              <w:t xml:space="preserve">Z uwagi na fakt, iż przewidujemy wsparcie całego </w:t>
            </w:r>
            <w:proofErr w:type="spellStart"/>
            <w:r w:rsidR="00D75222" w:rsidRPr="00D75222">
              <w:rPr>
                <w:b/>
                <w:bCs/>
              </w:rPr>
              <w:t>cs</w:t>
            </w:r>
            <w:proofErr w:type="spellEnd"/>
            <w:r w:rsidR="00D75222" w:rsidRPr="00D75222">
              <w:rPr>
                <w:b/>
                <w:bCs/>
              </w:rPr>
              <w:t>. poprzez instrumenty terytorialne, konieczne jest zatwierdzenie poszczególnych strategii ZIT/IIT aby określić wartość pośrednią wskaźnika.</w:t>
            </w:r>
          </w:p>
        </w:tc>
      </w:tr>
    </w:tbl>
    <w:p w14:paraId="4D6BBA66" w14:textId="77777777" w:rsidR="00FE3D08" w:rsidRPr="003A6407" w:rsidRDefault="00FE3D08" w:rsidP="00B256CA"/>
    <w:p w14:paraId="2E087C9C" w14:textId="77777777" w:rsidR="00B86E36" w:rsidRPr="003A6407" w:rsidRDefault="00B86E36" w:rsidP="00072712">
      <w:pPr>
        <w:pStyle w:val="Nagwek2"/>
        <w:spacing w:after="200"/>
      </w:pPr>
      <w:bookmarkStart w:id="140" w:name="_Toc120464399"/>
      <w:r w:rsidRPr="003A6407">
        <w:t>Wskaźniki rezultatu</w:t>
      </w:r>
      <w:bookmarkEnd w:id="140"/>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844"/>
        <w:gridCol w:w="844"/>
        <w:gridCol w:w="739"/>
        <w:gridCol w:w="737"/>
        <w:gridCol w:w="736"/>
      </w:tblGrid>
      <w:tr w:rsidR="00191FE2" w:rsidRPr="003A6407" w14:paraId="727AF59C" w14:textId="77777777" w:rsidTr="00AB4F91">
        <w:trPr>
          <w:cantSplit/>
          <w:trHeight w:val="1735"/>
        </w:trPr>
        <w:tc>
          <w:tcPr>
            <w:tcW w:w="338" w:type="pct"/>
            <w:vAlign w:val="center"/>
          </w:tcPr>
          <w:p w14:paraId="6B291A07"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CP 2</w:t>
            </w:r>
          </w:p>
          <w:p w14:paraId="22D86A38" w14:textId="5E73971E" w:rsidR="00B86E36" w:rsidRPr="003A6407" w:rsidRDefault="00B86E36" w:rsidP="00AB4F91">
            <w:pPr>
              <w:spacing w:before="120" w:after="120" w:line="240" w:lineRule="auto"/>
              <w:jc w:val="center"/>
              <w:rPr>
                <w:b/>
                <w:noProof/>
                <w:sz w:val="16"/>
                <w:szCs w:val="16"/>
              </w:rPr>
            </w:pPr>
            <w:r w:rsidRPr="003A6407">
              <w:rPr>
                <w:b/>
                <w:noProof/>
                <w:sz w:val="16"/>
                <w:szCs w:val="16"/>
              </w:rPr>
              <w:t>Cel szczegółowy</w:t>
            </w:r>
          </w:p>
        </w:tc>
        <w:tc>
          <w:tcPr>
            <w:tcW w:w="367" w:type="pct"/>
            <w:vAlign w:val="center"/>
          </w:tcPr>
          <w:p w14:paraId="636F9A91"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Fundusz</w:t>
            </w:r>
          </w:p>
        </w:tc>
        <w:tc>
          <w:tcPr>
            <w:tcW w:w="415" w:type="pct"/>
            <w:vAlign w:val="center"/>
          </w:tcPr>
          <w:p w14:paraId="4B899DAB"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Kategoria regionu</w:t>
            </w:r>
          </w:p>
        </w:tc>
        <w:tc>
          <w:tcPr>
            <w:tcW w:w="268" w:type="pct"/>
            <w:textDirection w:val="btLr"/>
            <w:vAlign w:val="center"/>
          </w:tcPr>
          <w:p w14:paraId="79727FA9"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Nr identyfikacyjny [5]</w:t>
            </w:r>
          </w:p>
        </w:tc>
        <w:tc>
          <w:tcPr>
            <w:tcW w:w="1050" w:type="pct"/>
            <w:shd w:val="clear" w:color="auto" w:fill="auto"/>
            <w:vAlign w:val="center"/>
          </w:tcPr>
          <w:p w14:paraId="38986EBB" w14:textId="13794D37" w:rsidR="00B86E36" w:rsidRPr="003A6407" w:rsidRDefault="00B86E36" w:rsidP="00AB4F91">
            <w:pPr>
              <w:spacing w:before="120" w:after="120" w:line="240" w:lineRule="auto"/>
              <w:jc w:val="center"/>
              <w:rPr>
                <w:b/>
                <w:noProof/>
                <w:sz w:val="16"/>
                <w:szCs w:val="16"/>
              </w:rPr>
            </w:pPr>
            <w:r w:rsidRPr="003A6407">
              <w:rPr>
                <w:b/>
                <w:noProof/>
                <w:sz w:val="16"/>
                <w:szCs w:val="16"/>
              </w:rPr>
              <w:t>Wskaźnik [255]</w:t>
            </w:r>
          </w:p>
        </w:tc>
        <w:tc>
          <w:tcPr>
            <w:tcW w:w="409" w:type="pct"/>
            <w:textDirection w:val="btLr"/>
            <w:vAlign w:val="center"/>
          </w:tcPr>
          <w:p w14:paraId="4ADCCAFC"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Jednostka miary</w:t>
            </w:r>
          </w:p>
        </w:tc>
        <w:tc>
          <w:tcPr>
            <w:tcW w:w="466" w:type="pct"/>
            <w:textDirection w:val="btLr"/>
            <w:vAlign w:val="center"/>
          </w:tcPr>
          <w:p w14:paraId="1363F13A"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Wartość bazowa lub wartość odniesienia</w:t>
            </w:r>
          </w:p>
        </w:tc>
        <w:tc>
          <w:tcPr>
            <w:tcW w:w="466" w:type="pct"/>
            <w:textDirection w:val="btLr"/>
            <w:vAlign w:val="center"/>
          </w:tcPr>
          <w:p w14:paraId="7C2A0313"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Rok referencyjny</w:t>
            </w:r>
          </w:p>
        </w:tc>
        <w:tc>
          <w:tcPr>
            <w:tcW w:w="408" w:type="pct"/>
            <w:shd w:val="clear" w:color="auto" w:fill="auto"/>
            <w:vAlign w:val="center"/>
          </w:tcPr>
          <w:p w14:paraId="72C4FB44" w14:textId="77777777" w:rsidR="00B86E36" w:rsidRPr="003A6407" w:rsidRDefault="00B86E36" w:rsidP="00AB4F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09E85A37" w14:textId="77777777" w:rsidR="00B86E36" w:rsidRPr="003A6407" w:rsidRDefault="00B86E36" w:rsidP="00AB4F91">
            <w:pPr>
              <w:spacing w:before="120" w:after="120" w:line="240" w:lineRule="auto"/>
              <w:jc w:val="center"/>
              <w:rPr>
                <w:b/>
                <w:noProof/>
                <w:sz w:val="16"/>
                <w:szCs w:val="16"/>
              </w:rPr>
            </w:pPr>
          </w:p>
        </w:tc>
        <w:tc>
          <w:tcPr>
            <w:tcW w:w="407" w:type="pct"/>
            <w:shd w:val="clear" w:color="auto" w:fill="auto"/>
            <w:vAlign w:val="center"/>
          </w:tcPr>
          <w:p w14:paraId="31D9A2DC" w14:textId="77777777" w:rsidR="00B86E36" w:rsidRPr="003A6407" w:rsidRDefault="00B86E36" w:rsidP="00AB4F91">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406" w:type="pct"/>
            <w:vAlign w:val="center"/>
          </w:tcPr>
          <w:p w14:paraId="05499237" w14:textId="77777777" w:rsidR="00B86E36" w:rsidRPr="003A6407" w:rsidRDefault="00B86E36" w:rsidP="00AB4F91">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B86E36" w:rsidRPr="003A6407" w14:paraId="3D05B456" w14:textId="77777777" w:rsidTr="00AB4F91">
        <w:trPr>
          <w:trHeight w:val="340"/>
        </w:trPr>
        <w:tc>
          <w:tcPr>
            <w:tcW w:w="338" w:type="pct"/>
            <w:vAlign w:val="center"/>
          </w:tcPr>
          <w:p w14:paraId="06FDA5FC" w14:textId="77777777" w:rsidR="00B86E36" w:rsidRDefault="00B86E36" w:rsidP="00AB4F91">
            <w:pPr>
              <w:spacing w:before="120" w:after="120" w:line="240" w:lineRule="auto"/>
              <w:jc w:val="center"/>
              <w:rPr>
                <w:noProof/>
                <w:sz w:val="16"/>
                <w:szCs w:val="16"/>
              </w:rPr>
            </w:pPr>
            <w:r w:rsidRPr="003A6407">
              <w:rPr>
                <w:noProof/>
                <w:sz w:val="16"/>
                <w:szCs w:val="16"/>
              </w:rPr>
              <w:t>2 (v)</w:t>
            </w:r>
          </w:p>
          <w:p w14:paraId="722D5343" w14:textId="6CACFF95" w:rsidR="00980C2E" w:rsidRPr="003A6407" w:rsidRDefault="00980C2E" w:rsidP="00AB4F91">
            <w:pPr>
              <w:spacing w:before="120" w:after="120" w:line="240" w:lineRule="auto"/>
              <w:jc w:val="center"/>
              <w:rPr>
                <w:noProof/>
                <w:sz w:val="16"/>
                <w:szCs w:val="16"/>
              </w:rPr>
            </w:pPr>
            <w:r>
              <w:rPr>
                <w:noProof/>
                <w:sz w:val="16"/>
                <w:szCs w:val="16"/>
              </w:rPr>
              <w:t>2.5</w:t>
            </w:r>
          </w:p>
        </w:tc>
        <w:tc>
          <w:tcPr>
            <w:tcW w:w="367" w:type="pct"/>
            <w:vAlign w:val="center"/>
          </w:tcPr>
          <w:p w14:paraId="4FE01944" w14:textId="77777777" w:rsidR="00B86E36" w:rsidRPr="003A6407" w:rsidRDefault="00B86E36" w:rsidP="00AB4F91">
            <w:pPr>
              <w:spacing w:before="120" w:after="120" w:line="240" w:lineRule="auto"/>
              <w:jc w:val="center"/>
              <w:rPr>
                <w:noProof/>
                <w:sz w:val="16"/>
                <w:szCs w:val="16"/>
              </w:rPr>
            </w:pPr>
            <w:r w:rsidRPr="003A6407">
              <w:rPr>
                <w:noProof/>
                <w:sz w:val="16"/>
                <w:szCs w:val="16"/>
              </w:rPr>
              <w:t>EFRR</w:t>
            </w:r>
          </w:p>
        </w:tc>
        <w:tc>
          <w:tcPr>
            <w:tcW w:w="415" w:type="pct"/>
            <w:vAlign w:val="center"/>
          </w:tcPr>
          <w:p w14:paraId="63361D25" w14:textId="77777777" w:rsidR="00B86E36" w:rsidRPr="003A6407" w:rsidRDefault="00B86E36" w:rsidP="00AB4F91">
            <w:pPr>
              <w:spacing w:before="120" w:after="120" w:line="240" w:lineRule="auto"/>
              <w:jc w:val="center"/>
              <w:rPr>
                <w:noProof/>
                <w:sz w:val="16"/>
                <w:szCs w:val="16"/>
              </w:rPr>
            </w:pPr>
            <w:r w:rsidRPr="003A6407">
              <w:rPr>
                <w:noProof/>
                <w:sz w:val="16"/>
                <w:szCs w:val="16"/>
              </w:rPr>
              <w:t>przejściowy</w:t>
            </w:r>
          </w:p>
        </w:tc>
        <w:tc>
          <w:tcPr>
            <w:tcW w:w="268" w:type="pct"/>
            <w:vAlign w:val="center"/>
          </w:tcPr>
          <w:p w14:paraId="2E08ED4F" w14:textId="33B420B2" w:rsidR="00B86E36" w:rsidRPr="003A6407" w:rsidRDefault="00B86E36" w:rsidP="00AB4F91">
            <w:pPr>
              <w:spacing w:before="120" w:after="120" w:line="240" w:lineRule="auto"/>
              <w:jc w:val="center"/>
              <w:rPr>
                <w:noProof/>
                <w:sz w:val="16"/>
                <w:szCs w:val="16"/>
              </w:rPr>
            </w:pPr>
            <w:r w:rsidRPr="003A6407">
              <w:rPr>
                <w:noProof/>
                <w:sz w:val="16"/>
                <w:szCs w:val="16"/>
              </w:rPr>
              <w:t>RCR42</w:t>
            </w:r>
          </w:p>
        </w:tc>
        <w:tc>
          <w:tcPr>
            <w:tcW w:w="1050" w:type="pct"/>
            <w:shd w:val="clear" w:color="auto" w:fill="auto"/>
            <w:vAlign w:val="center"/>
          </w:tcPr>
          <w:p w14:paraId="2784B383" w14:textId="77777777" w:rsidR="00B86E36" w:rsidRPr="003A6407" w:rsidRDefault="00B86E36" w:rsidP="00AB4F91">
            <w:pPr>
              <w:keepNext/>
              <w:keepLines/>
              <w:spacing w:before="200" w:after="0"/>
              <w:jc w:val="center"/>
              <w:outlineLvl w:val="2"/>
              <w:rPr>
                <w:rFonts w:eastAsiaTheme="majorEastAsia" w:cstheme="majorBidi"/>
                <w:b/>
                <w:bCs/>
                <w:noProof/>
                <w:sz w:val="16"/>
                <w:szCs w:val="16"/>
              </w:rPr>
            </w:pPr>
            <w:bookmarkStart w:id="141" w:name="_Toc97792260"/>
            <w:bookmarkStart w:id="142" w:name="_Toc120464400"/>
            <w:r w:rsidRPr="003A6407">
              <w:rPr>
                <w:rFonts w:asciiTheme="minorHAnsi" w:eastAsia="Times New Roman" w:hAnsiTheme="minorHAnsi" w:cstheme="minorHAnsi"/>
                <w:bCs/>
                <w:noProof/>
                <w:sz w:val="16"/>
                <w:szCs w:val="16"/>
              </w:rPr>
              <w:t>Ludność przyłączona do zbiorowych systemów oczyszczania ścieków co najmniej II stopnia</w:t>
            </w:r>
            <w:bookmarkEnd w:id="141"/>
            <w:bookmarkEnd w:id="142"/>
          </w:p>
        </w:tc>
        <w:tc>
          <w:tcPr>
            <w:tcW w:w="409" w:type="pct"/>
            <w:vAlign w:val="center"/>
          </w:tcPr>
          <w:p w14:paraId="28E76AD4" w14:textId="77777777" w:rsidR="00B86E36" w:rsidRPr="003A6407" w:rsidRDefault="00B86E36" w:rsidP="00AB4F91">
            <w:pPr>
              <w:spacing w:before="120" w:after="120" w:line="240" w:lineRule="auto"/>
              <w:jc w:val="center"/>
              <w:rPr>
                <w:noProof/>
                <w:sz w:val="16"/>
                <w:szCs w:val="16"/>
              </w:rPr>
            </w:pPr>
            <w:r w:rsidRPr="003A6407">
              <w:rPr>
                <w:noProof/>
                <w:sz w:val="16"/>
                <w:szCs w:val="16"/>
              </w:rPr>
              <w:t>osoby</w:t>
            </w:r>
          </w:p>
        </w:tc>
        <w:tc>
          <w:tcPr>
            <w:tcW w:w="466" w:type="pct"/>
            <w:vAlign w:val="center"/>
          </w:tcPr>
          <w:p w14:paraId="50FA105F" w14:textId="6CB2C6A4" w:rsidR="00B86E36" w:rsidRPr="003A6407" w:rsidRDefault="00890103" w:rsidP="00AB4F91">
            <w:pPr>
              <w:spacing w:before="120" w:after="120" w:line="240" w:lineRule="auto"/>
              <w:jc w:val="center"/>
              <w:rPr>
                <w:noProof/>
                <w:sz w:val="16"/>
                <w:szCs w:val="16"/>
              </w:rPr>
            </w:pPr>
            <w:r w:rsidRPr="003A6407">
              <w:rPr>
                <w:noProof/>
                <w:sz w:val="16"/>
                <w:szCs w:val="16"/>
              </w:rPr>
              <w:t>0,00</w:t>
            </w:r>
          </w:p>
        </w:tc>
        <w:tc>
          <w:tcPr>
            <w:tcW w:w="466" w:type="pct"/>
            <w:shd w:val="clear" w:color="auto" w:fill="auto"/>
            <w:vAlign w:val="center"/>
          </w:tcPr>
          <w:p w14:paraId="2452DFAF" w14:textId="6E7B8FF8" w:rsidR="00B86E36" w:rsidRPr="003A6407" w:rsidRDefault="00890103" w:rsidP="00AB4F91">
            <w:pPr>
              <w:spacing w:before="120" w:after="120" w:line="240" w:lineRule="auto"/>
              <w:jc w:val="center"/>
              <w:rPr>
                <w:noProof/>
                <w:sz w:val="16"/>
                <w:szCs w:val="16"/>
              </w:rPr>
            </w:pPr>
            <w:r w:rsidRPr="003A6407">
              <w:rPr>
                <w:noProof/>
                <w:sz w:val="16"/>
                <w:szCs w:val="16"/>
              </w:rPr>
              <w:t>2022</w:t>
            </w:r>
          </w:p>
        </w:tc>
        <w:tc>
          <w:tcPr>
            <w:tcW w:w="408" w:type="pct"/>
            <w:shd w:val="clear" w:color="auto" w:fill="auto"/>
            <w:vAlign w:val="center"/>
          </w:tcPr>
          <w:p w14:paraId="1A5C07E1" w14:textId="2DC9EE93" w:rsidR="00B86E36" w:rsidRPr="003A6407" w:rsidRDefault="00E53E67" w:rsidP="00AB4F91">
            <w:pPr>
              <w:spacing w:before="120" w:after="120" w:line="240" w:lineRule="auto"/>
              <w:jc w:val="center"/>
              <w:rPr>
                <w:noProof/>
                <w:sz w:val="16"/>
                <w:szCs w:val="16"/>
              </w:rPr>
            </w:pPr>
            <w:r>
              <w:rPr>
                <w:noProof/>
                <w:sz w:val="16"/>
                <w:szCs w:val="16"/>
              </w:rPr>
              <w:t>19 936</w:t>
            </w:r>
          </w:p>
        </w:tc>
        <w:tc>
          <w:tcPr>
            <w:tcW w:w="407" w:type="pct"/>
            <w:vAlign w:val="center"/>
          </w:tcPr>
          <w:p w14:paraId="57A70B45" w14:textId="4B74006D" w:rsidR="00B86E36" w:rsidRPr="003A6407" w:rsidRDefault="00890103" w:rsidP="00AB4F91">
            <w:pPr>
              <w:spacing w:before="120" w:after="120" w:line="240" w:lineRule="auto"/>
              <w:jc w:val="center"/>
              <w:rPr>
                <w:noProof/>
                <w:sz w:val="16"/>
                <w:szCs w:val="16"/>
              </w:rPr>
            </w:pPr>
            <w:r w:rsidRPr="003A6407">
              <w:rPr>
                <w:noProof/>
                <w:sz w:val="16"/>
                <w:szCs w:val="16"/>
              </w:rPr>
              <w:t>SL</w:t>
            </w:r>
          </w:p>
        </w:tc>
        <w:tc>
          <w:tcPr>
            <w:tcW w:w="406" w:type="pct"/>
            <w:vAlign w:val="center"/>
          </w:tcPr>
          <w:p w14:paraId="3E682950" w14:textId="77777777" w:rsidR="00B86E36" w:rsidRPr="003A6407" w:rsidRDefault="00B86E36" w:rsidP="00AB4F91">
            <w:pPr>
              <w:spacing w:before="120" w:after="120" w:line="240" w:lineRule="auto"/>
              <w:jc w:val="center"/>
              <w:rPr>
                <w:noProof/>
                <w:sz w:val="16"/>
                <w:szCs w:val="16"/>
              </w:rPr>
            </w:pPr>
          </w:p>
        </w:tc>
      </w:tr>
      <w:tr w:rsidR="00C27055" w:rsidRPr="003A6407" w14:paraId="062AE1F0" w14:textId="77777777" w:rsidTr="00C27055">
        <w:trPr>
          <w:trHeight w:val="340"/>
        </w:trPr>
        <w:tc>
          <w:tcPr>
            <w:tcW w:w="5000" w:type="pct"/>
            <w:gridSpan w:val="11"/>
            <w:vAlign w:val="center"/>
          </w:tcPr>
          <w:p w14:paraId="352F75A5" w14:textId="77777777" w:rsidR="00C27055" w:rsidRPr="00C27055" w:rsidRDefault="00C27055" w:rsidP="00C27055">
            <w:pPr>
              <w:spacing w:before="120" w:after="120" w:line="240" w:lineRule="auto"/>
              <w:jc w:val="both"/>
              <w:rPr>
                <w:noProof/>
              </w:rPr>
            </w:pPr>
            <w:r w:rsidRPr="00C27055">
              <w:rPr>
                <w:noProof/>
              </w:rPr>
              <w:t>Metodologia:</w:t>
            </w:r>
          </w:p>
          <w:p w14:paraId="78C103FE" w14:textId="77777777" w:rsidR="00C27055" w:rsidRPr="00C27055" w:rsidRDefault="00C27055" w:rsidP="00C27055">
            <w:pPr>
              <w:spacing w:before="120" w:after="120" w:line="240" w:lineRule="auto"/>
              <w:jc w:val="both"/>
              <w:rPr>
                <w:noProof/>
              </w:rPr>
            </w:pPr>
            <w:r w:rsidRPr="00C27055">
              <w:rPr>
                <w:noProof/>
              </w:rPr>
              <w:t>Wskaźnik dotyczy dodatkowej ludności przyłączonej do zbiorowych systemów oczyszczania ścieków co najmniej II stopnia w wyniku projektów objętych wsparciem (w zakresie oczyszczalni i rozbudowy ścieków). Dane do wyliczenia wskaźnika pochodzą z KPOŚK tj. zsumowano liczbę mieszkańców planowanych do podłączenia do istniejącej kanalizacji, która wynosi 685 z całkowitym przyrostem liczby rzeczywistych mieszkańców, którzy skorzystają z usług kanalizacyjnych w wyniku wybudowania sieci w przedziale 2-15 tys. RLM o wartości 20 607. Łączna długość sieci kanalizacyjnej planowanej do budowy w zakresie 2-15 tys. RLM wynosi 177,99 km. W celu określenia wartości koniecznej do wyliczenia wskaźnika zsumowano długość sieci kanalizacyjnej planowanej do budowy, która wynosi 177,99 km z długością sieci kanalizacyjnej planowanej do modernizacji, która wynosi 12,70 km. W celu wyliczenia średniej liczy osób na km długości sieci kanalizacyjnej została podzielona wartość 21 292 przez otrzymaną wartość 190,69 i dzięki temu otrzymano wynik, który w zaokrągleniu wynosi 112 km. Mnożąc łączną długość sieci kanalizacyjnej planowanej do budowy w zakresie 2-</w:t>
            </w:r>
            <w:r w:rsidRPr="00C27055">
              <w:rPr>
                <w:noProof/>
              </w:rPr>
              <w:lastRenderedPageBreak/>
              <w:t>15 tys., która w zaokrągleniu wynosi 178 przez liczbę osób na km długości sieci kanalizacyjnej, która w zaokrągleniu wynosi 112, wyliczono wskaźnik, który wynosi 19 936 osób.</w:t>
            </w:r>
          </w:p>
          <w:p w14:paraId="1FC32B4D" w14:textId="77777777" w:rsidR="00C27055" w:rsidRPr="00C27055" w:rsidRDefault="00C27055" w:rsidP="00C27055">
            <w:pPr>
              <w:spacing w:before="120" w:after="120" w:line="240" w:lineRule="auto"/>
              <w:jc w:val="both"/>
              <w:rPr>
                <w:noProof/>
              </w:rPr>
            </w:pPr>
          </w:p>
          <w:p w14:paraId="1D60DE8C" w14:textId="77777777" w:rsidR="00C27055" w:rsidRPr="00C27055" w:rsidRDefault="00C27055" w:rsidP="00C27055">
            <w:pPr>
              <w:spacing w:before="120" w:after="120" w:line="240" w:lineRule="auto"/>
              <w:jc w:val="both"/>
              <w:rPr>
                <w:noProof/>
              </w:rPr>
            </w:pPr>
            <w:r w:rsidRPr="00C27055">
              <w:rPr>
                <w:noProof/>
              </w:rPr>
              <w:t>Wyliczenie:</w:t>
            </w:r>
          </w:p>
          <w:p w14:paraId="284675D4" w14:textId="77777777" w:rsidR="00C27055" w:rsidRPr="00C27055" w:rsidRDefault="00C27055" w:rsidP="00C27055">
            <w:pPr>
              <w:spacing w:before="120" w:after="120" w:line="240" w:lineRule="auto"/>
              <w:jc w:val="both"/>
              <w:rPr>
                <w:noProof/>
              </w:rPr>
            </w:pPr>
            <w:r w:rsidRPr="00C27055">
              <w:rPr>
                <w:noProof/>
              </w:rPr>
              <w:t>685 + 20 607 = 21 292</w:t>
            </w:r>
          </w:p>
          <w:p w14:paraId="32231F1B" w14:textId="77777777" w:rsidR="00C27055" w:rsidRPr="00C27055" w:rsidRDefault="00C27055" w:rsidP="00C27055">
            <w:pPr>
              <w:spacing w:before="120" w:after="120" w:line="240" w:lineRule="auto"/>
              <w:jc w:val="both"/>
              <w:rPr>
                <w:noProof/>
              </w:rPr>
            </w:pPr>
            <w:r w:rsidRPr="00C27055">
              <w:rPr>
                <w:noProof/>
              </w:rPr>
              <w:t>177,99 + 12,70 = 190,69</w:t>
            </w:r>
          </w:p>
          <w:p w14:paraId="086D2787" w14:textId="77777777" w:rsidR="00C27055" w:rsidRPr="00C27055" w:rsidRDefault="00C27055" w:rsidP="00C27055">
            <w:pPr>
              <w:spacing w:before="120" w:after="120" w:line="240" w:lineRule="auto"/>
              <w:jc w:val="both"/>
              <w:rPr>
                <w:noProof/>
              </w:rPr>
            </w:pPr>
            <w:r w:rsidRPr="00C27055">
              <w:rPr>
                <w:noProof/>
              </w:rPr>
              <w:t>21 292 / 190,69 = 111,65</w:t>
            </w:r>
          </w:p>
          <w:p w14:paraId="3C9A4A8D" w14:textId="5E921BEA" w:rsidR="00C27055" w:rsidRPr="003A6407" w:rsidRDefault="00C27055" w:rsidP="00C27055">
            <w:pPr>
              <w:spacing w:before="120" w:after="120" w:line="240" w:lineRule="auto"/>
              <w:jc w:val="both"/>
              <w:rPr>
                <w:noProof/>
                <w:sz w:val="16"/>
                <w:szCs w:val="16"/>
              </w:rPr>
            </w:pPr>
            <w:r w:rsidRPr="00C27055">
              <w:rPr>
                <w:noProof/>
              </w:rPr>
              <w:t>178 * 112 = 19 936</w:t>
            </w:r>
          </w:p>
        </w:tc>
      </w:tr>
    </w:tbl>
    <w:p w14:paraId="5C66AA0D" w14:textId="77777777" w:rsidR="00B86E36" w:rsidRPr="003A6407" w:rsidRDefault="00B86E36" w:rsidP="00FA66D9">
      <w:pPr>
        <w:pStyle w:val="Nagwek2"/>
      </w:pPr>
    </w:p>
    <w:p w14:paraId="69968D83" w14:textId="36D244E3" w:rsidR="00B86E36" w:rsidRPr="003A6407" w:rsidRDefault="00B86E36" w:rsidP="00FA66D9">
      <w:pPr>
        <w:pStyle w:val="Nagwek2"/>
        <w:spacing w:after="200"/>
      </w:pPr>
      <w:bookmarkStart w:id="143" w:name="_Toc120464401"/>
      <w:r w:rsidRPr="003A6407">
        <w:t xml:space="preserve">CEL SZCZEGÓŁOWY: </w:t>
      </w:r>
      <w:bookmarkStart w:id="144" w:name="_Toc97792261"/>
      <w:r w:rsidR="00980C2E" w:rsidRPr="00980C2E">
        <w:t>RSO2.7. Wzmacnianie ochrony i zachowania przyrody, różnorodności biologicznej oraz zielonej infrastruktury, w tym na obszarach miejskich, oraz ograniczanie wszelkich rodzajów zanieczyszczenia (EFRR)</w:t>
      </w:r>
      <w:bookmarkEnd w:id="143"/>
      <w:bookmarkEnd w:id="144"/>
    </w:p>
    <w:p w14:paraId="4FBFBDCB" w14:textId="6F218473" w:rsidR="00B86E36" w:rsidRDefault="00B86E36" w:rsidP="00FA66D9">
      <w:pPr>
        <w:pStyle w:val="Nagwek2"/>
        <w:spacing w:after="200"/>
      </w:pPr>
      <w:bookmarkStart w:id="145" w:name="_Toc120464402"/>
      <w:r w:rsidRPr="003A6407">
        <w:t>Wskaźniki produktu</w:t>
      </w:r>
      <w:bookmarkEnd w:id="145"/>
    </w:p>
    <w:p w14:paraId="438821F4"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5058BBD1"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88B6EE5" w14:textId="65ED539F"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2</w:t>
            </w:r>
          </w:p>
          <w:p w14:paraId="782A3E8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7AE8EA1"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EA25D1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D990A5"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68EF59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71628C"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9DE7EE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07B67ED8"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F2CD6AB"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763452C8"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4E440056"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72A0FD2" w14:textId="4A9D3D45"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w:t>
            </w:r>
          </w:p>
          <w:p w14:paraId="23ADF5C2" w14:textId="44B0C9A9"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3B9E0BA"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EFRR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CEF23D2"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3E30D7" w14:textId="20570D1B" w:rsidR="00EE0C5C" w:rsidRPr="00B44649"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B44649">
              <w:rPr>
                <w:rFonts w:eastAsia="Calibri" w:cs="Times New Roman"/>
                <w:b/>
                <w:noProof/>
                <w:sz w:val="16"/>
                <w:szCs w:val="16"/>
              </w:rPr>
              <w:t>RCO7</w:t>
            </w:r>
            <w:r>
              <w:rPr>
                <w:rFonts w:eastAsia="Calibri" w:cs="Times New Roman"/>
                <w:b/>
                <w:noProof/>
                <w:sz w:val="16"/>
                <w:szCs w:val="16"/>
              </w:rPr>
              <w:t>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45E48431"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B02EB4"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3FCA69B" w14:textId="59A57F05" w:rsidR="00EE0C5C" w:rsidRPr="00B44649" w:rsidRDefault="007655CA"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7D1D83"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E903B6A" w14:textId="26A72B2B"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EE0C5C">
              <w:rPr>
                <w:rFonts w:eastAsia="Calibri" w:cs="Times New Roman"/>
                <w:b/>
                <w:noProof/>
                <w:sz w:val="16"/>
                <w:szCs w:val="16"/>
              </w:rPr>
              <w:t>288</w:t>
            </w:r>
            <w:r w:rsidR="00263BE7">
              <w:rPr>
                <w:rFonts w:eastAsia="Calibri" w:cs="Times New Roman"/>
                <w:b/>
                <w:noProof/>
                <w:sz w:val="16"/>
                <w:szCs w:val="16"/>
              </w:rPr>
              <w:t xml:space="preserve"> </w:t>
            </w:r>
            <w:r w:rsidRPr="00EE0C5C">
              <w:rPr>
                <w:rFonts w:eastAsia="Calibri" w:cs="Times New Roman"/>
                <w:b/>
                <w:noProof/>
                <w:sz w:val="16"/>
                <w:szCs w:val="16"/>
              </w:rPr>
              <w:t>043</w:t>
            </w:r>
          </w:p>
        </w:tc>
      </w:tr>
      <w:tr w:rsidR="00EE0C5C" w:rsidRPr="003A6407" w14:paraId="75DB193F" w14:textId="77777777" w:rsidTr="002A48C3">
        <w:trPr>
          <w:trHeight w:val="340"/>
        </w:trPr>
        <w:tc>
          <w:tcPr>
            <w:tcW w:w="5000" w:type="pct"/>
            <w:gridSpan w:val="8"/>
            <w:shd w:val="clear" w:color="auto" w:fill="auto"/>
          </w:tcPr>
          <w:p w14:paraId="21CDD13D"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6FE0DD82" w14:textId="012C3CF1"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209EC7F4"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06699BB5" w14:textId="77777777" w:rsidR="00EE0C5C" w:rsidRPr="003A6407" w:rsidRDefault="00EE0C5C" w:rsidP="002A48C3">
            <w:pPr>
              <w:rPr>
                <w:rFonts w:eastAsia="Calibri"/>
              </w:rPr>
            </w:pPr>
            <w:r w:rsidRPr="003A6407">
              <w:rPr>
                <w:rFonts w:eastAsia="Calibri"/>
              </w:rPr>
              <w:t>- 6 Zintegrowanych Inwestycji Terytorialnych;</w:t>
            </w:r>
          </w:p>
          <w:p w14:paraId="1C872DD9" w14:textId="77777777" w:rsidR="00EE0C5C" w:rsidRPr="003A6407" w:rsidRDefault="00EE0C5C" w:rsidP="002A48C3">
            <w:pPr>
              <w:rPr>
                <w:rFonts w:eastAsia="Calibri"/>
              </w:rPr>
            </w:pPr>
            <w:r w:rsidRPr="003A6407">
              <w:rPr>
                <w:rFonts w:eastAsia="Calibri"/>
              </w:rPr>
              <w:t>- 1 Inny Instrument Terytorialny;</w:t>
            </w:r>
          </w:p>
          <w:p w14:paraId="7212ED16" w14:textId="77777777" w:rsidR="00D30AFB" w:rsidRPr="00D30AFB" w:rsidRDefault="00D30AFB" w:rsidP="00D30AFB">
            <w:pPr>
              <w:rPr>
                <w:rFonts w:eastAsia="Calibri"/>
              </w:rPr>
            </w:pPr>
            <w:r w:rsidRPr="00D30AFB">
              <w:rPr>
                <w:rFonts w:eastAsia="Calibri"/>
              </w:rPr>
              <w:lastRenderedPageBreak/>
              <w:t>Wobec powyższego a także biorąc uwagę definicję składnika, która odnosi się do projektów zintegrowanych, zakłada się w ramach metodologii, że wartość docelowa wskaźnika będzie równa 10% liczbie osób zamieszkujących objęte wsparciem instrumenty rozwoju terytorialnego (7).</w:t>
            </w:r>
          </w:p>
          <w:p w14:paraId="32DC69FC" w14:textId="77777777" w:rsidR="00EE0C5C" w:rsidRDefault="00D30AFB" w:rsidP="00D30AFB">
            <w:pPr>
              <w:rPr>
                <w:rFonts w:eastAsia="Calibri"/>
              </w:rPr>
            </w:pPr>
            <w:r w:rsidRPr="00D30AFB">
              <w:rPr>
                <w:rFonts w:eastAsia="Calibri"/>
              </w:rPr>
              <w:t>Ponadto wartość wskaźnika zostanie zrewidowana po zatwierdzeniu poszczególnych strategii ZIT/IIT.</w:t>
            </w:r>
          </w:p>
          <w:p w14:paraId="08F68F10" w14:textId="4E72E7D2" w:rsidR="00FD3DE2" w:rsidRPr="003A6407" w:rsidRDefault="00FD3DE2" w:rsidP="00D30AFB">
            <w:pPr>
              <w:rPr>
                <w:rFonts w:eastAsia="Calibri" w:cs="Times New Roman"/>
                <w:color w:val="000000"/>
              </w:rPr>
            </w:pPr>
            <w:r w:rsidRPr="00FD3DE2">
              <w:rPr>
                <w:rFonts w:eastAsia="Calibri" w:cs="Times New Roman"/>
                <w:color w:val="000000"/>
              </w:rPr>
              <w:t>W przypadku realizacji różnych projektów na tym samym obszarze liczba ludności będzie się multiplikować, stąd konieczność monitorowania tego wskaźnika na poziomie Strategii ZIT.</w:t>
            </w:r>
          </w:p>
        </w:tc>
      </w:tr>
    </w:tbl>
    <w:p w14:paraId="71648E2E" w14:textId="77777777" w:rsidR="00EE0C5C" w:rsidRDefault="00EE0C5C" w:rsidP="00EE0C5C"/>
    <w:p w14:paraId="39AF6423" w14:textId="77777777" w:rsid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1312F584" w14:textId="77777777" w:rsidTr="002A48C3">
        <w:trPr>
          <w:cantSplit/>
          <w:trHeight w:val="1647"/>
        </w:trPr>
        <w:tc>
          <w:tcPr>
            <w:tcW w:w="451" w:type="pct"/>
            <w:shd w:val="clear" w:color="auto" w:fill="auto"/>
            <w:vAlign w:val="center"/>
          </w:tcPr>
          <w:p w14:paraId="18A15C13" w14:textId="4EE5890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2</w:t>
            </w:r>
          </w:p>
          <w:p w14:paraId="0155F1B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59269E6B"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39985DC4"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255206EA"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56E0094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6BD0296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2BD13AF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14D115B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343BC9FB"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74C05F3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3C4A716A" w14:textId="77777777" w:rsidTr="002A48C3">
        <w:trPr>
          <w:trHeight w:val="340"/>
        </w:trPr>
        <w:tc>
          <w:tcPr>
            <w:tcW w:w="451" w:type="pct"/>
            <w:shd w:val="clear" w:color="auto" w:fill="auto"/>
            <w:vAlign w:val="center"/>
          </w:tcPr>
          <w:p w14:paraId="596185B8" w14:textId="6423EBD9" w:rsidR="00EE0C5C"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w:t>
            </w:r>
          </w:p>
          <w:p w14:paraId="0D53C99A" w14:textId="12251806"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2.7</w:t>
            </w:r>
          </w:p>
        </w:tc>
        <w:tc>
          <w:tcPr>
            <w:tcW w:w="494" w:type="pct"/>
            <w:shd w:val="clear" w:color="auto" w:fill="auto"/>
            <w:vAlign w:val="center"/>
          </w:tcPr>
          <w:p w14:paraId="6269BFAE"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0DEB72E5"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1CA37843" w14:textId="469E8060"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RCO75</w:t>
            </w:r>
          </w:p>
        </w:tc>
        <w:tc>
          <w:tcPr>
            <w:tcW w:w="1348" w:type="pct"/>
            <w:shd w:val="clear" w:color="auto" w:fill="auto"/>
            <w:vAlign w:val="center"/>
          </w:tcPr>
          <w:p w14:paraId="4649573D" w14:textId="77777777" w:rsidR="00EE0C5C" w:rsidRPr="003A6407" w:rsidRDefault="00EE0C5C" w:rsidP="002A48C3">
            <w:pPr>
              <w:keepNext/>
              <w:keepLines/>
              <w:spacing w:before="200" w:after="0"/>
              <w:jc w:val="center"/>
              <w:outlineLvl w:val="2"/>
              <w:rPr>
                <w:rFonts w:eastAsia="Calibri" w:cs="Times New Roman"/>
                <w:noProof/>
                <w:sz w:val="16"/>
                <w:szCs w:val="16"/>
              </w:rPr>
            </w:pPr>
            <w:bookmarkStart w:id="146" w:name="_Toc120464403"/>
            <w:r w:rsidRPr="003A6407">
              <w:rPr>
                <w:rFonts w:eastAsia="Times New Roman" w:cs="Calibri"/>
                <w:bCs/>
                <w:noProof/>
                <w:sz w:val="16"/>
                <w:szCs w:val="16"/>
              </w:rPr>
              <w:t>Wspierane strategie zintegrowanego rozwoju terytorialnego</w:t>
            </w:r>
            <w:bookmarkEnd w:id="146"/>
          </w:p>
        </w:tc>
        <w:tc>
          <w:tcPr>
            <w:tcW w:w="549" w:type="pct"/>
            <w:shd w:val="clear" w:color="auto" w:fill="auto"/>
            <w:vAlign w:val="center"/>
          </w:tcPr>
          <w:p w14:paraId="06A4A225" w14:textId="69B907ED" w:rsidR="00EE0C5C" w:rsidRPr="003A6407" w:rsidRDefault="00735F02"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wkłady na rzecz strategii</w:t>
            </w:r>
          </w:p>
        </w:tc>
        <w:tc>
          <w:tcPr>
            <w:tcW w:w="627" w:type="pct"/>
            <w:shd w:val="clear" w:color="auto" w:fill="auto"/>
            <w:vAlign w:val="center"/>
          </w:tcPr>
          <w:p w14:paraId="74ED16E4" w14:textId="60A64E22" w:rsidR="00EE0C5C" w:rsidRPr="003A6407" w:rsidRDefault="00D30AFB"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EE0C5C" w:rsidRPr="003A6407">
              <w:rPr>
                <w:rFonts w:eastAsia="Calibri" w:cs="Times New Roman"/>
                <w:noProof/>
                <w:sz w:val="16"/>
                <w:szCs w:val="16"/>
              </w:rPr>
              <w:t>,00</w:t>
            </w:r>
          </w:p>
        </w:tc>
        <w:tc>
          <w:tcPr>
            <w:tcW w:w="550" w:type="pct"/>
            <w:shd w:val="clear" w:color="auto" w:fill="auto"/>
            <w:vAlign w:val="center"/>
          </w:tcPr>
          <w:p w14:paraId="46942489"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7,00</w:t>
            </w:r>
          </w:p>
        </w:tc>
      </w:tr>
      <w:tr w:rsidR="00EE0C5C" w:rsidRPr="003A6407" w14:paraId="24EEE341" w14:textId="77777777" w:rsidTr="002A48C3">
        <w:trPr>
          <w:trHeight w:val="340"/>
        </w:trPr>
        <w:tc>
          <w:tcPr>
            <w:tcW w:w="5000" w:type="pct"/>
            <w:gridSpan w:val="8"/>
            <w:shd w:val="clear" w:color="auto" w:fill="auto"/>
          </w:tcPr>
          <w:p w14:paraId="0EEDBA97"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511BE67B" w14:textId="13F65A49"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3665DC4B"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7CC0FA64" w14:textId="77777777" w:rsidR="00EE0C5C" w:rsidRPr="003A6407" w:rsidRDefault="00EE0C5C" w:rsidP="002A48C3">
            <w:pPr>
              <w:rPr>
                <w:rFonts w:eastAsia="Calibri"/>
              </w:rPr>
            </w:pPr>
            <w:r w:rsidRPr="003A6407">
              <w:rPr>
                <w:rFonts w:eastAsia="Calibri"/>
              </w:rPr>
              <w:t>- 6 Zintegrowanych Inwestycji Terytorialnych;</w:t>
            </w:r>
          </w:p>
          <w:p w14:paraId="1252C3AB" w14:textId="77777777" w:rsidR="00EE0C5C" w:rsidRPr="003A6407" w:rsidRDefault="00EE0C5C" w:rsidP="002A48C3">
            <w:pPr>
              <w:rPr>
                <w:rFonts w:eastAsia="Calibri"/>
              </w:rPr>
            </w:pPr>
            <w:r w:rsidRPr="003A6407">
              <w:rPr>
                <w:rFonts w:eastAsia="Calibri"/>
              </w:rPr>
              <w:t>- 1 Inny Instrument Terytorialny;</w:t>
            </w:r>
          </w:p>
          <w:p w14:paraId="1D5AC1EE" w14:textId="77777777" w:rsidR="00EE0C5C" w:rsidRDefault="00EE0C5C" w:rsidP="002A48C3">
            <w:pPr>
              <w:rPr>
                <w:rFonts w:eastAsia="Calibri"/>
              </w:rPr>
            </w:pPr>
            <w:r w:rsidRPr="003A6407">
              <w:rPr>
                <w:rFonts w:eastAsia="Calibri"/>
              </w:rPr>
              <w:t>Wobec powyższego zakłada się w ramach metodologii, że wartość docelowa wskaźnika będzie równa liczbie utworzonych instrumentów rozwoju terytorialnego (7).</w:t>
            </w:r>
          </w:p>
          <w:p w14:paraId="0C293BFC" w14:textId="1547C693" w:rsidR="00D30AFB" w:rsidRPr="003A6407"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tc>
      </w:tr>
    </w:tbl>
    <w:p w14:paraId="73E32257"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2301D0F" w14:textId="77777777" w:rsidTr="00AB4F91">
        <w:trPr>
          <w:cantSplit/>
          <w:trHeight w:val="1647"/>
        </w:trPr>
        <w:tc>
          <w:tcPr>
            <w:tcW w:w="451" w:type="pct"/>
            <w:vAlign w:val="center"/>
          </w:tcPr>
          <w:p w14:paraId="09E10178"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CP 2</w:t>
            </w:r>
          </w:p>
          <w:p w14:paraId="18022194" w14:textId="3AC233D6" w:rsidR="00B86E36" w:rsidRPr="003A6407" w:rsidRDefault="00B86E36" w:rsidP="00AB4F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24CEDB19"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2EB807A1"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65097225"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366CDA4C" w14:textId="474B6A30" w:rsidR="00B86E36" w:rsidRPr="003A6407" w:rsidRDefault="00B86E36" w:rsidP="00AB4F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08FF5BD2"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47724255"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Cel pośredni (2024)</w:t>
            </w:r>
          </w:p>
          <w:p w14:paraId="056795D1" w14:textId="77777777" w:rsidR="00B86E36" w:rsidRPr="003A6407" w:rsidRDefault="00B86E36" w:rsidP="00AB4F91">
            <w:pPr>
              <w:spacing w:before="120" w:after="120" w:line="240" w:lineRule="auto"/>
              <w:jc w:val="center"/>
              <w:rPr>
                <w:b/>
                <w:noProof/>
                <w:sz w:val="16"/>
                <w:szCs w:val="16"/>
              </w:rPr>
            </w:pPr>
          </w:p>
        </w:tc>
        <w:tc>
          <w:tcPr>
            <w:tcW w:w="550" w:type="pct"/>
            <w:shd w:val="clear" w:color="auto" w:fill="auto"/>
            <w:vAlign w:val="center"/>
          </w:tcPr>
          <w:p w14:paraId="71EB2BB8"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Cel (2029)</w:t>
            </w:r>
          </w:p>
          <w:p w14:paraId="65F925E8" w14:textId="77777777" w:rsidR="00B86E36" w:rsidRPr="003A6407" w:rsidRDefault="00B86E36" w:rsidP="00AB4F91">
            <w:pPr>
              <w:spacing w:before="120" w:after="120" w:line="240" w:lineRule="auto"/>
              <w:jc w:val="center"/>
              <w:rPr>
                <w:b/>
                <w:noProof/>
                <w:sz w:val="16"/>
                <w:szCs w:val="16"/>
              </w:rPr>
            </w:pPr>
          </w:p>
        </w:tc>
      </w:tr>
      <w:tr w:rsidR="00191FE2" w:rsidRPr="003A6407" w14:paraId="5AD7AF3D" w14:textId="77777777" w:rsidTr="00AB4F91">
        <w:trPr>
          <w:trHeight w:val="340"/>
        </w:trPr>
        <w:tc>
          <w:tcPr>
            <w:tcW w:w="451" w:type="pct"/>
            <w:vAlign w:val="center"/>
          </w:tcPr>
          <w:p w14:paraId="68A6E7DC" w14:textId="77777777" w:rsidR="00B86E36" w:rsidRDefault="00B86E36" w:rsidP="00AB4F91">
            <w:pPr>
              <w:spacing w:before="120" w:after="120" w:line="240" w:lineRule="auto"/>
              <w:jc w:val="center"/>
              <w:rPr>
                <w:noProof/>
                <w:sz w:val="16"/>
                <w:szCs w:val="16"/>
              </w:rPr>
            </w:pPr>
            <w:r w:rsidRPr="003A6407">
              <w:rPr>
                <w:noProof/>
                <w:sz w:val="16"/>
                <w:szCs w:val="16"/>
              </w:rPr>
              <w:lastRenderedPageBreak/>
              <w:t>2 (vii)</w:t>
            </w:r>
          </w:p>
          <w:p w14:paraId="2AD791E1" w14:textId="50E02116" w:rsidR="00980C2E" w:rsidRPr="003A6407" w:rsidRDefault="00980C2E" w:rsidP="00AB4F91">
            <w:pPr>
              <w:spacing w:before="120" w:after="120" w:line="240" w:lineRule="auto"/>
              <w:jc w:val="center"/>
              <w:rPr>
                <w:noProof/>
                <w:sz w:val="16"/>
                <w:szCs w:val="16"/>
              </w:rPr>
            </w:pPr>
            <w:r>
              <w:rPr>
                <w:noProof/>
                <w:sz w:val="16"/>
                <w:szCs w:val="16"/>
              </w:rPr>
              <w:t>2.7</w:t>
            </w:r>
          </w:p>
        </w:tc>
        <w:tc>
          <w:tcPr>
            <w:tcW w:w="494" w:type="pct"/>
            <w:vAlign w:val="center"/>
          </w:tcPr>
          <w:p w14:paraId="2B043EE1" w14:textId="77777777" w:rsidR="00B86E36" w:rsidRPr="003A6407" w:rsidRDefault="00B86E36" w:rsidP="00AB4F91">
            <w:pPr>
              <w:spacing w:before="120" w:after="120" w:line="240" w:lineRule="auto"/>
              <w:jc w:val="center"/>
              <w:rPr>
                <w:noProof/>
                <w:sz w:val="16"/>
                <w:szCs w:val="16"/>
              </w:rPr>
            </w:pPr>
            <w:r w:rsidRPr="003A6407">
              <w:rPr>
                <w:noProof/>
                <w:sz w:val="16"/>
                <w:szCs w:val="16"/>
              </w:rPr>
              <w:t>EFRR</w:t>
            </w:r>
          </w:p>
        </w:tc>
        <w:tc>
          <w:tcPr>
            <w:tcW w:w="558" w:type="pct"/>
            <w:vAlign w:val="center"/>
          </w:tcPr>
          <w:p w14:paraId="5CED04EB" w14:textId="77777777" w:rsidR="00B86E36" w:rsidRPr="003A6407" w:rsidRDefault="00B86E36" w:rsidP="00AB4F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0BE29AA5" w14:textId="77777777" w:rsidR="00B86E36" w:rsidRPr="003A6407" w:rsidRDefault="00B86E36" w:rsidP="00AB4F91">
            <w:pPr>
              <w:spacing w:before="120" w:after="120" w:line="240" w:lineRule="auto"/>
              <w:jc w:val="center"/>
              <w:rPr>
                <w:noProof/>
                <w:sz w:val="16"/>
                <w:szCs w:val="16"/>
              </w:rPr>
            </w:pPr>
            <w:r w:rsidRPr="003A6407">
              <w:rPr>
                <w:noProof/>
                <w:sz w:val="16"/>
                <w:szCs w:val="16"/>
              </w:rPr>
              <w:t>PLRO071</w:t>
            </w:r>
          </w:p>
        </w:tc>
        <w:tc>
          <w:tcPr>
            <w:tcW w:w="1411" w:type="pct"/>
            <w:shd w:val="clear" w:color="auto" w:fill="auto"/>
            <w:vAlign w:val="center"/>
          </w:tcPr>
          <w:p w14:paraId="0F53554E" w14:textId="77777777" w:rsidR="00B86E36" w:rsidRPr="003A6407" w:rsidRDefault="00B86E36" w:rsidP="00AB4F91">
            <w:pPr>
              <w:keepNext/>
              <w:keepLines/>
              <w:spacing w:before="200" w:after="0"/>
              <w:jc w:val="center"/>
              <w:outlineLvl w:val="2"/>
              <w:rPr>
                <w:rFonts w:eastAsiaTheme="majorEastAsia" w:cstheme="majorBidi"/>
                <w:b/>
                <w:bCs/>
                <w:noProof/>
                <w:sz w:val="16"/>
                <w:szCs w:val="16"/>
              </w:rPr>
            </w:pPr>
            <w:bookmarkStart w:id="147" w:name="_Toc97792262"/>
            <w:bookmarkStart w:id="148" w:name="_Toc120464404"/>
            <w:r w:rsidRPr="003A6407">
              <w:rPr>
                <w:rFonts w:asciiTheme="minorHAnsi" w:eastAsia="Times New Roman" w:hAnsiTheme="minorHAnsi" w:cstheme="minorHAnsi"/>
                <w:bCs/>
                <w:noProof/>
                <w:sz w:val="16"/>
                <w:szCs w:val="16"/>
              </w:rPr>
              <w:t>Liczba wspartych form ochrony przyrody</w:t>
            </w:r>
            <w:bookmarkEnd w:id="147"/>
            <w:bookmarkEnd w:id="148"/>
          </w:p>
        </w:tc>
        <w:tc>
          <w:tcPr>
            <w:tcW w:w="549" w:type="pct"/>
            <w:vAlign w:val="center"/>
          </w:tcPr>
          <w:p w14:paraId="0AFC4F01" w14:textId="77777777" w:rsidR="00B86E36" w:rsidRPr="003A6407" w:rsidRDefault="00B86E36" w:rsidP="00AB4F91">
            <w:pPr>
              <w:spacing w:before="120" w:after="120" w:line="240" w:lineRule="auto"/>
              <w:jc w:val="center"/>
              <w:rPr>
                <w:noProof/>
                <w:sz w:val="16"/>
                <w:szCs w:val="16"/>
              </w:rPr>
            </w:pPr>
            <w:r w:rsidRPr="003A6407">
              <w:rPr>
                <w:noProof/>
                <w:sz w:val="16"/>
                <w:szCs w:val="16"/>
              </w:rPr>
              <w:t>szt.</w:t>
            </w:r>
          </w:p>
        </w:tc>
        <w:tc>
          <w:tcPr>
            <w:tcW w:w="627" w:type="pct"/>
            <w:shd w:val="clear" w:color="auto" w:fill="auto"/>
            <w:vAlign w:val="center"/>
          </w:tcPr>
          <w:p w14:paraId="0C6F9FA6" w14:textId="679100DC" w:rsidR="00B86E36" w:rsidRPr="003A6407" w:rsidRDefault="00AB4F91" w:rsidP="00AB4F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314C6551" w14:textId="7A71F020" w:rsidR="00B86E36" w:rsidRPr="003A6407" w:rsidRDefault="00092A1E" w:rsidP="00AB4F91">
            <w:pPr>
              <w:spacing w:before="120" w:after="120" w:line="240" w:lineRule="auto"/>
              <w:jc w:val="center"/>
              <w:rPr>
                <w:noProof/>
                <w:sz w:val="16"/>
                <w:szCs w:val="16"/>
              </w:rPr>
            </w:pPr>
            <w:r>
              <w:rPr>
                <w:noProof/>
                <w:sz w:val="16"/>
                <w:szCs w:val="16"/>
              </w:rPr>
              <w:t>215</w:t>
            </w:r>
            <w:r w:rsidR="00AB4F91" w:rsidRPr="003A6407">
              <w:rPr>
                <w:noProof/>
                <w:sz w:val="16"/>
                <w:szCs w:val="16"/>
              </w:rPr>
              <w:t>,00</w:t>
            </w:r>
          </w:p>
        </w:tc>
      </w:tr>
      <w:tr w:rsidR="00B86E36" w:rsidRPr="003A6407" w14:paraId="5E6475D5" w14:textId="77777777" w:rsidTr="002B58A1">
        <w:trPr>
          <w:trHeight w:val="340"/>
        </w:trPr>
        <w:tc>
          <w:tcPr>
            <w:tcW w:w="5000" w:type="pct"/>
            <w:gridSpan w:val="8"/>
          </w:tcPr>
          <w:p w14:paraId="1F6A96B2" w14:textId="77777777" w:rsidR="00B86E36" w:rsidRPr="003A6407" w:rsidRDefault="00B86E36" w:rsidP="00B256CA">
            <w:pPr>
              <w:spacing w:before="60" w:after="60" w:line="240" w:lineRule="auto"/>
              <w:jc w:val="both"/>
            </w:pPr>
          </w:p>
          <w:p w14:paraId="5723F4D8" w14:textId="77777777" w:rsidR="00B86E36" w:rsidRPr="003A6407" w:rsidRDefault="00B86E36" w:rsidP="00B256CA">
            <w:pPr>
              <w:spacing w:before="60" w:after="60" w:line="240" w:lineRule="auto"/>
              <w:jc w:val="both"/>
            </w:pPr>
            <w:bookmarkStart w:id="149" w:name="_Hlk97294238"/>
            <w:r w:rsidRPr="003A6407">
              <w:t>Metodologia:</w:t>
            </w:r>
          </w:p>
          <w:p w14:paraId="3E6B9FBE" w14:textId="0DFECD5A" w:rsidR="00B86E36" w:rsidRPr="003A6407" w:rsidRDefault="00B86E36" w:rsidP="0070626C">
            <w:pPr>
              <w:jc w:val="both"/>
            </w:pPr>
            <w:r w:rsidRPr="003A6407">
              <w:t xml:space="preserve">Wskaźnik realizuje kod interwencji 079 Ochrona przyrody i różnorodności biologicznej, dziedzictwo naturalne i zasoby naturalne, zielona i niebieska infrastruktura w kwocie </w:t>
            </w:r>
            <w:r w:rsidR="00092A1E" w:rsidRPr="00092A1E">
              <w:t>113 531 427</w:t>
            </w:r>
            <w:r w:rsidRPr="003A6407">
              <w:t xml:space="preserve">EUR. Uwzględniając (odejmując) koszty uproszczone na poziomie 7%, wartość alokacji realizującej dany wskaźnik wynosi </w:t>
            </w:r>
            <w:r w:rsidR="00092A1E" w:rsidRPr="00092A1E">
              <w:t xml:space="preserve">105 584 227 </w:t>
            </w:r>
            <w:r w:rsidRPr="003A6407">
              <w:t xml:space="preserve">EUR. Założono, że 70% alokacji będzie dotyczyło bezpośrednio przedmiotowego wskaźnika, natomiast pozostałe 30% będzie dotyczyć interwencji w zakresie m.in. zielonej i niebieskiej infrastruktury rozumianej jako naturalne i półnaturalne obszary, dostarczające szerokiego wachlarza usług ekosystemowych (w tym np. zielone dachy, przystanki, ściany i fasady, rozwój terenów zielonych, w tym parki i lasy, naturalne zbiorniki wodne, stawy, niecki, rowy, likwidacja powierzchni nieprzepuszczalnych) na terenach miejskich i ich obszarach funkcjonalnych. W związku z powyższym alokacja wynosi </w:t>
            </w:r>
            <w:r w:rsidR="00092A1E" w:rsidRPr="00092A1E">
              <w:t>73 908 959</w:t>
            </w:r>
            <w:r w:rsidRPr="003A6407">
              <w:t xml:space="preserve">EUR. Historyczny koszt jednostkowy na bazie doświadczeń z perspektywy 2014-2020 wynosi 931 657,37 PLN. Koszt jednostkowy został skorygowany w oparciu o wartość inflacji na poziomie 15% i wynosi 1 071 405,98 PLN, a wartość dofinansowania na poziomie 70% wynosi 749 984,18 PLN; biorąc pod uwagę kurs EUR na poziomie 4,45 koszt jednostkowy wynosi 168 535,77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w:t>
            </w:r>
          </w:p>
          <w:p w14:paraId="32343CFC" w14:textId="77777777" w:rsidR="00B86E36" w:rsidRPr="003A6407" w:rsidRDefault="00B86E36" w:rsidP="00B256CA">
            <w:pPr>
              <w:spacing w:before="60" w:after="60" w:line="240" w:lineRule="auto"/>
              <w:jc w:val="both"/>
            </w:pPr>
            <w:r w:rsidRPr="003A6407">
              <w:t>R: [(2*25)+(3*68)]/5 = 50,8%</w:t>
            </w:r>
          </w:p>
          <w:p w14:paraId="19146890" w14:textId="77777777" w:rsidR="00B86E36" w:rsidRPr="003A6407" w:rsidRDefault="00B86E36" w:rsidP="00B256CA">
            <w:pPr>
              <w:spacing w:before="60" w:after="60" w:line="240" w:lineRule="auto"/>
              <w:jc w:val="both"/>
            </w:pPr>
          </w:p>
          <w:p w14:paraId="3EFC2E0F" w14:textId="77777777" w:rsidR="00B86E36" w:rsidRPr="003A6407" w:rsidRDefault="00B86E36" w:rsidP="00B256CA">
            <w:pPr>
              <w:spacing w:before="60" w:after="60" w:line="240" w:lineRule="auto"/>
              <w:jc w:val="both"/>
            </w:pPr>
            <w:r w:rsidRPr="003A6407">
              <w:t>Wyliczenie:</w:t>
            </w:r>
          </w:p>
          <w:p w14:paraId="6B7FD5CE" w14:textId="419B2A53" w:rsidR="00B86E36" w:rsidRPr="003A6407" w:rsidRDefault="00092A1E" w:rsidP="00B256CA">
            <w:pPr>
              <w:spacing w:before="60" w:after="60" w:line="240" w:lineRule="auto"/>
              <w:jc w:val="both"/>
            </w:pPr>
            <w:r w:rsidRPr="00092A1E">
              <w:t>73 908 959</w:t>
            </w:r>
            <w:r w:rsidR="00B86E36" w:rsidRPr="003A6407">
              <w:t xml:space="preserve">/ 168 535,77 * (1-0,508) = </w:t>
            </w:r>
            <w:r>
              <w:t>215</w:t>
            </w:r>
            <w:r w:rsidR="00B86E36" w:rsidRPr="003A6407">
              <w:t xml:space="preserve"> szt.</w:t>
            </w:r>
          </w:p>
          <w:bookmarkEnd w:id="149"/>
          <w:p w14:paraId="6623CB6F" w14:textId="77777777" w:rsidR="00B86E36" w:rsidRPr="003A6407" w:rsidRDefault="00B86E36" w:rsidP="00B256CA">
            <w:pPr>
              <w:spacing w:before="60" w:after="60" w:line="240" w:lineRule="auto"/>
              <w:jc w:val="both"/>
            </w:pPr>
          </w:p>
          <w:p w14:paraId="06403E50"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69A3467F" w14:textId="77777777" w:rsidR="00B86E36" w:rsidRPr="003A6407" w:rsidRDefault="00B86E36" w:rsidP="00B256CA">
            <w:pPr>
              <w:spacing w:before="60" w:after="60" w:line="240" w:lineRule="auto"/>
              <w:jc w:val="both"/>
            </w:pPr>
            <w:r w:rsidRPr="003A6407">
              <w:t>•</w:t>
            </w:r>
            <w:r w:rsidRPr="003A6407">
              <w:rPr>
                <w:b/>
              </w:rPr>
              <w:t>ryzyko zmieniającej się ceny</w:t>
            </w:r>
            <w:r w:rsidRPr="003A6407">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poważna)</w:t>
            </w:r>
          </w:p>
          <w:p w14:paraId="37D46242" w14:textId="77777777" w:rsidR="00B86E36" w:rsidRPr="003A6407" w:rsidRDefault="00B86E36" w:rsidP="00B256CA">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umiarkowana)</w:t>
            </w:r>
          </w:p>
          <w:p w14:paraId="69CA5BEF"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1335D77D"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poważna)</w:t>
            </w:r>
          </w:p>
          <w:p w14:paraId="4964E4B4" w14:textId="77777777" w:rsidR="00B86E36" w:rsidRPr="003A6407" w:rsidRDefault="00B86E36" w:rsidP="00B256CA">
            <w:pPr>
              <w:spacing w:before="60" w:after="60" w:line="240" w:lineRule="auto"/>
              <w:jc w:val="both"/>
              <w:rPr>
                <w:bCs/>
              </w:rPr>
            </w:pPr>
            <w:r w:rsidRPr="003A6407">
              <w:rPr>
                <w:b/>
              </w:rPr>
              <w:t xml:space="preserve">•opóźnienia, </w:t>
            </w:r>
            <w:r w:rsidRPr="003A6407">
              <w:rPr>
                <w:bCs/>
              </w:rPr>
              <w:t>bądź niewykonanie projektu związane z procedurami wynikającymi z zamówień publicznych oraz z przygotowania projektu do realizacji inwestycji; (istotność: poważna)</w:t>
            </w:r>
            <w:r w:rsidR="00B55483" w:rsidRPr="003A6407">
              <w:rPr>
                <w:bCs/>
              </w:rPr>
              <w:t>.</w:t>
            </w:r>
          </w:p>
          <w:p w14:paraId="4329482C" w14:textId="01D21602" w:rsidR="00B55483" w:rsidRPr="003A6407" w:rsidRDefault="00B55483" w:rsidP="00B256CA">
            <w:pPr>
              <w:spacing w:before="60" w:after="60" w:line="240" w:lineRule="auto"/>
              <w:jc w:val="both"/>
            </w:pPr>
          </w:p>
          <w:p w14:paraId="73A30385" w14:textId="2E319EDD" w:rsidR="00B55483" w:rsidRPr="003A6407" w:rsidRDefault="00B55483" w:rsidP="00B256CA">
            <w:pPr>
              <w:spacing w:before="60" w:after="60" w:line="240" w:lineRule="auto"/>
              <w:jc w:val="both"/>
              <w:rPr>
                <w:b/>
                <w:bCs/>
              </w:rPr>
            </w:pPr>
            <w:r w:rsidRPr="003A6407">
              <w:rPr>
                <w:b/>
                <w:bCs/>
              </w:rPr>
              <w:t>Uzasadnienie dla celu pośredniego:</w:t>
            </w:r>
          </w:p>
          <w:p w14:paraId="2D67841F" w14:textId="2952BFCC" w:rsidR="00B55483" w:rsidRPr="003A6407" w:rsidRDefault="00B55483" w:rsidP="00B55483">
            <w:pPr>
              <w:spacing w:before="60" w:after="60" w:line="240" w:lineRule="auto"/>
              <w:jc w:val="both"/>
              <w:rPr>
                <w:b/>
                <w:bCs/>
              </w:rPr>
            </w:pPr>
            <w:r w:rsidRPr="003A6407">
              <w:rPr>
                <w:b/>
                <w:bCs/>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6d ), na podstawie Sprawozdania rocznego z 2021 r. - </w:t>
            </w:r>
            <w:r w:rsidRPr="003A6407">
              <w:rPr>
                <w:b/>
                <w:bCs/>
              </w:rPr>
              <w:lastRenderedPageBreak/>
              <w:t>wskaźnik pn. Liczba wspartych form ochrony przyrody w 2017 r. osiągnął wartość 0, co wobec wartości z wykonania na 2021 r. (103) stanowi 0</w:t>
            </w:r>
            <w:r w:rsidR="00412D9C" w:rsidRPr="003A6407">
              <w:rPr>
                <w:b/>
                <w:bCs/>
              </w:rPr>
              <w:t>%</w:t>
            </w:r>
            <w:r w:rsidRPr="003A6407">
              <w:rPr>
                <w:b/>
                <w:bCs/>
              </w:rPr>
              <w:t xml:space="preserve">. </w:t>
            </w:r>
          </w:p>
          <w:p w14:paraId="13988CF6" w14:textId="62AC6D91" w:rsidR="00B55483" w:rsidRPr="003A6407" w:rsidRDefault="00B55483" w:rsidP="00B55483">
            <w:pPr>
              <w:spacing w:before="60" w:after="60" w:line="240" w:lineRule="auto"/>
              <w:jc w:val="both"/>
              <w:rPr>
                <w:b/>
              </w:rPr>
            </w:pPr>
            <w:r w:rsidRPr="003A6407">
              <w:rPr>
                <w:b/>
                <w:bCs/>
              </w:rPr>
              <w:t>Mając na uwadze, że 2017 r. był już czwartym rokiem wdrażania programu RPO WD 2014-2020, a rok 2024 będzie de facto dopiero drugim rokiem wdrażania FEDS, wartość pośrednią dla tego wskaźnika ustalono jako 0.</w:t>
            </w:r>
          </w:p>
        </w:tc>
      </w:tr>
    </w:tbl>
    <w:p w14:paraId="180D8C85" w14:textId="77777777" w:rsidR="00C97916" w:rsidRDefault="00C97916"/>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C97916" w:rsidRPr="003A6407" w14:paraId="33F03EF6" w14:textId="77777777" w:rsidTr="00B94214">
        <w:trPr>
          <w:cantSplit/>
          <w:trHeight w:val="1647"/>
        </w:trPr>
        <w:tc>
          <w:tcPr>
            <w:tcW w:w="451" w:type="pct"/>
            <w:vAlign w:val="center"/>
          </w:tcPr>
          <w:p w14:paraId="2CFBD5D7"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CP 2</w:t>
            </w:r>
          </w:p>
          <w:p w14:paraId="544758DE"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0292C97"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6A084EE"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671883C3" w14:textId="77777777" w:rsidR="00C97916" w:rsidRPr="003A6407" w:rsidRDefault="00C97916" w:rsidP="00B94214">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3283BFDC"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0364239B"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33B6AC21"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Cel pośredni (2024)</w:t>
            </w:r>
          </w:p>
          <w:p w14:paraId="01F63806" w14:textId="77777777" w:rsidR="00C97916" w:rsidRPr="003A6407" w:rsidRDefault="00C97916" w:rsidP="00B94214">
            <w:pPr>
              <w:spacing w:before="120" w:after="120" w:line="240" w:lineRule="auto"/>
              <w:jc w:val="center"/>
              <w:rPr>
                <w:b/>
                <w:noProof/>
                <w:sz w:val="16"/>
                <w:szCs w:val="16"/>
              </w:rPr>
            </w:pPr>
          </w:p>
        </w:tc>
        <w:tc>
          <w:tcPr>
            <w:tcW w:w="550" w:type="pct"/>
            <w:shd w:val="clear" w:color="auto" w:fill="auto"/>
            <w:vAlign w:val="center"/>
          </w:tcPr>
          <w:p w14:paraId="5DCFDCF9" w14:textId="77777777" w:rsidR="00C97916" w:rsidRPr="003A6407" w:rsidRDefault="00C97916" w:rsidP="00B94214">
            <w:pPr>
              <w:spacing w:before="120" w:after="120" w:line="240" w:lineRule="auto"/>
              <w:jc w:val="center"/>
              <w:rPr>
                <w:b/>
                <w:noProof/>
                <w:sz w:val="16"/>
                <w:szCs w:val="16"/>
              </w:rPr>
            </w:pPr>
            <w:r w:rsidRPr="003A6407">
              <w:rPr>
                <w:b/>
                <w:noProof/>
                <w:sz w:val="16"/>
                <w:szCs w:val="16"/>
              </w:rPr>
              <w:t>Cel (2029)</w:t>
            </w:r>
          </w:p>
          <w:p w14:paraId="0A5D2F67" w14:textId="77777777" w:rsidR="00C97916" w:rsidRPr="003A6407" w:rsidRDefault="00C97916" w:rsidP="00B94214">
            <w:pPr>
              <w:spacing w:before="120" w:after="120" w:line="240" w:lineRule="auto"/>
              <w:jc w:val="center"/>
              <w:rPr>
                <w:b/>
                <w:noProof/>
                <w:sz w:val="16"/>
                <w:szCs w:val="16"/>
              </w:rPr>
            </w:pPr>
          </w:p>
        </w:tc>
      </w:tr>
      <w:tr w:rsidR="00C97916" w:rsidRPr="003A6407" w14:paraId="6E2FADDF" w14:textId="77777777" w:rsidTr="00B94214">
        <w:trPr>
          <w:trHeight w:val="340"/>
        </w:trPr>
        <w:tc>
          <w:tcPr>
            <w:tcW w:w="451" w:type="pct"/>
            <w:vAlign w:val="center"/>
          </w:tcPr>
          <w:p w14:paraId="22AC3438" w14:textId="77777777" w:rsidR="00C97916" w:rsidRDefault="00C97916" w:rsidP="00B94214">
            <w:pPr>
              <w:spacing w:before="120" w:after="120" w:line="240" w:lineRule="auto"/>
              <w:jc w:val="center"/>
              <w:rPr>
                <w:noProof/>
                <w:sz w:val="16"/>
                <w:szCs w:val="16"/>
              </w:rPr>
            </w:pPr>
            <w:r w:rsidRPr="003A6407">
              <w:rPr>
                <w:noProof/>
                <w:sz w:val="16"/>
                <w:szCs w:val="16"/>
              </w:rPr>
              <w:t>2 (vii)</w:t>
            </w:r>
          </w:p>
          <w:p w14:paraId="435BFB72" w14:textId="77777777" w:rsidR="00C97916" w:rsidRPr="003A6407" w:rsidRDefault="00C97916" w:rsidP="00B94214">
            <w:pPr>
              <w:spacing w:before="120" w:after="120" w:line="240" w:lineRule="auto"/>
              <w:jc w:val="center"/>
              <w:rPr>
                <w:noProof/>
                <w:sz w:val="16"/>
                <w:szCs w:val="16"/>
              </w:rPr>
            </w:pPr>
            <w:r>
              <w:rPr>
                <w:noProof/>
                <w:sz w:val="16"/>
                <w:szCs w:val="16"/>
              </w:rPr>
              <w:t>2.7</w:t>
            </w:r>
          </w:p>
        </w:tc>
        <w:tc>
          <w:tcPr>
            <w:tcW w:w="494" w:type="pct"/>
            <w:vAlign w:val="center"/>
          </w:tcPr>
          <w:p w14:paraId="3ACA199C" w14:textId="77777777" w:rsidR="00C97916" w:rsidRPr="003A6407" w:rsidRDefault="00C97916" w:rsidP="00B94214">
            <w:pPr>
              <w:spacing w:before="120" w:after="120" w:line="240" w:lineRule="auto"/>
              <w:jc w:val="center"/>
              <w:rPr>
                <w:noProof/>
                <w:sz w:val="16"/>
                <w:szCs w:val="16"/>
              </w:rPr>
            </w:pPr>
            <w:r w:rsidRPr="003A6407">
              <w:rPr>
                <w:noProof/>
                <w:sz w:val="16"/>
                <w:szCs w:val="16"/>
              </w:rPr>
              <w:t>EFRR</w:t>
            </w:r>
          </w:p>
        </w:tc>
        <w:tc>
          <w:tcPr>
            <w:tcW w:w="558" w:type="pct"/>
            <w:vAlign w:val="center"/>
          </w:tcPr>
          <w:p w14:paraId="76453D4D" w14:textId="77777777" w:rsidR="00C97916" w:rsidRPr="003A6407" w:rsidRDefault="00C97916" w:rsidP="00B94214">
            <w:pPr>
              <w:spacing w:before="120" w:after="120" w:line="240" w:lineRule="auto"/>
              <w:jc w:val="center"/>
              <w:rPr>
                <w:noProof/>
                <w:sz w:val="16"/>
                <w:szCs w:val="16"/>
              </w:rPr>
            </w:pPr>
            <w:r w:rsidRPr="003A6407">
              <w:rPr>
                <w:noProof/>
                <w:sz w:val="16"/>
                <w:szCs w:val="16"/>
              </w:rPr>
              <w:t>przejściowy</w:t>
            </w:r>
          </w:p>
        </w:tc>
        <w:tc>
          <w:tcPr>
            <w:tcW w:w="360" w:type="pct"/>
            <w:vAlign w:val="center"/>
          </w:tcPr>
          <w:p w14:paraId="594DA5B0" w14:textId="11FDD540" w:rsidR="00C97916" w:rsidRPr="003A6407" w:rsidRDefault="00C97916" w:rsidP="00B94214">
            <w:pPr>
              <w:spacing w:before="120" w:after="120" w:line="240" w:lineRule="auto"/>
              <w:jc w:val="center"/>
              <w:rPr>
                <w:noProof/>
                <w:sz w:val="16"/>
                <w:szCs w:val="16"/>
              </w:rPr>
            </w:pPr>
            <w:r>
              <w:rPr>
                <w:noProof/>
                <w:sz w:val="16"/>
                <w:szCs w:val="16"/>
              </w:rPr>
              <w:t>RCO 26</w:t>
            </w:r>
          </w:p>
        </w:tc>
        <w:tc>
          <w:tcPr>
            <w:tcW w:w="1411" w:type="pct"/>
            <w:shd w:val="clear" w:color="auto" w:fill="auto"/>
            <w:vAlign w:val="center"/>
          </w:tcPr>
          <w:p w14:paraId="12DA2E60" w14:textId="6CF18768" w:rsidR="00C97916" w:rsidRPr="003A6407" w:rsidRDefault="00C97916" w:rsidP="00B94214">
            <w:pPr>
              <w:keepNext/>
              <w:keepLines/>
              <w:spacing w:before="200" w:after="0"/>
              <w:jc w:val="center"/>
              <w:outlineLvl w:val="2"/>
              <w:rPr>
                <w:rFonts w:eastAsiaTheme="majorEastAsia" w:cstheme="majorBidi"/>
                <w:b/>
                <w:bCs/>
                <w:noProof/>
                <w:sz w:val="16"/>
                <w:szCs w:val="16"/>
              </w:rPr>
            </w:pPr>
            <w:bookmarkStart w:id="150" w:name="_Toc120464405"/>
            <w:r w:rsidRPr="00C97916">
              <w:rPr>
                <w:rFonts w:asciiTheme="minorHAnsi" w:eastAsia="Times New Roman" w:hAnsiTheme="minorHAnsi" w:cstheme="minorHAnsi"/>
                <w:bCs/>
                <w:noProof/>
                <w:sz w:val="16"/>
                <w:szCs w:val="16"/>
              </w:rPr>
              <w:t>Zielona infrastruktura wybudowana lub zmodernizowana w celu przystosowania się̨ do zmian klimatu</w:t>
            </w:r>
            <w:bookmarkEnd w:id="150"/>
          </w:p>
        </w:tc>
        <w:tc>
          <w:tcPr>
            <w:tcW w:w="549" w:type="pct"/>
            <w:vAlign w:val="center"/>
          </w:tcPr>
          <w:p w14:paraId="5731DFC2" w14:textId="0BBC4FEA" w:rsidR="00C97916" w:rsidRPr="003A6407" w:rsidRDefault="00C97916" w:rsidP="00B94214">
            <w:pPr>
              <w:spacing w:before="120" w:after="120" w:line="240" w:lineRule="auto"/>
              <w:jc w:val="center"/>
              <w:rPr>
                <w:noProof/>
                <w:sz w:val="16"/>
                <w:szCs w:val="16"/>
              </w:rPr>
            </w:pPr>
            <w:r>
              <w:rPr>
                <w:noProof/>
                <w:sz w:val="16"/>
                <w:szCs w:val="16"/>
              </w:rPr>
              <w:t>h</w:t>
            </w:r>
            <w:r w:rsidR="00D75222">
              <w:rPr>
                <w:noProof/>
                <w:sz w:val="16"/>
                <w:szCs w:val="16"/>
              </w:rPr>
              <w:t>a</w:t>
            </w:r>
          </w:p>
        </w:tc>
        <w:tc>
          <w:tcPr>
            <w:tcW w:w="627" w:type="pct"/>
            <w:shd w:val="clear" w:color="auto" w:fill="auto"/>
            <w:vAlign w:val="center"/>
          </w:tcPr>
          <w:p w14:paraId="2F61E8E0" w14:textId="1E8CCE0F" w:rsidR="00C97916" w:rsidRPr="003A6407" w:rsidRDefault="0057481B" w:rsidP="00B94214">
            <w:pPr>
              <w:spacing w:before="120" w:after="120" w:line="240" w:lineRule="auto"/>
              <w:jc w:val="center"/>
              <w:rPr>
                <w:noProof/>
                <w:sz w:val="16"/>
                <w:szCs w:val="16"/>
              </w:rPr>
            </w:pPr>
            <w:r>
              <w:rPr>
                <w:noProof/>
                <w:sz w:val="16"/>
                <w:szCs w:val="16"/>
              </w:rPr>
              <w:t>0</w:t>
            </w:r>
            <w:r w:rsidR="00C97916" w:rsidRPr="003A6407">
              <w:rPr>
                <w:noProof/>
                <w:sz w:val="16"/>
                <w:szCs w:val="16"/>
              </w:rPr>
              <w:t>,00</w:t>
            </w:r>
          </w:p>
        </w:tc>
        <w:tc>
          <w:tcPr>
            <w:tcW w:w="550" w:type="pct"/>
            <w:shd w:val="clear" w:color="auto" w:fill="auto"/>
            <w:vAlign w:val="center"/>
          </w:tcPr>
          <w:p w14:paraId="5A2F9338" w14:textId="24A39CB9" w:rsidR="00C97916" w:rsidRPr="003A6407" w:rsidRDefault="00C97916" w:rsidP="00B94214">
            <w:pPr>
              <w:spacing w:before="120" w:after="120" w:line="240" w:lineRule="auto"/>
              <w:jc w:val="center"/>
              <w:rPr>
                <w:noProof/>
                <w:sz w:val="16"/>
                <w:szCs w:val="16"/>
              </w:rPr>
            </w:pPr>
            <w:r>
              <w:rPr>
                <w:noProof/>
                <w:sz w:val="16"/>
                <w:szCs w:val="16"/>
              </w:rPr>
              <w:t>66</w:t>
            </w:r>
            <w:r w:rsidRPr="003A6407">
              <w:rPr>
                <w:noProof/>
                <w:sz w:val="16"/>
                <w:szCs w:val="16"/>
              </w:rPr>
              <w:t>,00</w:t>
            </w:r>
          </w:p>
        </w:tc>
      </w:tr>
      <w:tr w:rsidR="00C97916" w:rsidRPr="003A6407" w14:paraId="7F349D15" w14:textId="77777777" w:rsidTr="00B94214">
        <w:trPr>
          <w:trHeight w:val="340"/>
        </w:trPr>
        <w:tc>
          <w:tcPr>
            <w:tcW w:w="5000" w:type="pct"/>
            <w:gridSpan w:val="8"/>
          </w:tcPr>
          <w:p w14:paraId="362E3EBF" w14:textId="77777777" w:rsidR="00C97916" w:rsidRPr="003A6407" w:rsidRDefault="00C97916" w:rsidP="00B94214">
            <w:pPr>
              <w:spacing w:before="60" w:after="60" w:line="240" w:lineRule="auto"/>
              <w:jc w:val="both"/>
            </w:pPr>
          </w:p>
          <w:p w14:paraId="2729ED3F" w14:textId="77777777" w:rsidR="00C97916" w:rsidRPr="003A6407" w:rsidRDefault="00C97916" w:rsidP="00B94214">
            <w:pPr>
              <w:spacing w:before="60" w:after="60" w:line="240" w:lineRule="auto"/>
              <w:jc w:val="both"/>
            </w:pPr>
            <w:r w:rsidRPr="003A6407">
              <w:t>Metodologia:</w:t>
            </w:r>
          </w:p>
          <w:p w14:paraId="38F0CAB1" w14:textId="5C437477" w:rsidR="00C97916" w:rsidRDefault="00C97916" w:rsidP="00C97916">
            <w:pPr>
              <w:jc w:val="both"/>
            </w:pPr>
            <w:r>
              <w:t xml:space="preserve">Wartość kosztu jednostkowego wyznaczona w oparciu dane historyczne dotyczące inwestycji realizowanych w ramach działania 2.5 </w:t>
            </w:r>
            <w:proofErr w:type="spellStart"/>
            <w:r>
              <w:t>POIiŚ</w:t>
            </w:r>
            <w:proofErr w:type="spellEnd"/>
            <w:r>
              <w:t xml:space="preserve"> 2014-2020. W szacunkach wzięto pod uwagę ponad 150 projektów (kwota dofinansowania UE: 678 mln zł, koszt całkowity prawie 1 050 mln zł) dotyczących zieleni miejskiej, w ramach których pracami objęto 2 047 ha terenów zieleni. Założono poziom dofinansowania 85%. Uwzględniając powyższe dane wyznaczono koszt jednostkowy: (678 185 507,03 zł / 2 047 ha = 331 307,04 zł/ha = 74 451 EUR/ha (dane pochodzą z </w:t>
            </w:r>
            <w:r w:rsidRPr="00C97916">
              <w:t>Dokument</w:t>
            </w:r>
            <w:r>
              <w:t>u</w:t>
            </w:r>
            <w:r w:rsidRPr="00C97916">
              <w:t xml:space="preserve"> metodyczn</w:t>
            </w:r>
            <w:r>
              <w:t>ego</w:t>
            </w:r>
            <w:r w:rsidRPr="00C97916">
              <w:t xml:space="preserve"> ram wykonania </w:t>
            </w:r>
            <w:proofErr w:type="spellStart"/>
            <w:r w:rsidRPr="00C97916">
              <w:t>FEnIKS</w:t>
            </w:r>
            <w:proofErr w:type="spellEnd"/>
            <w:r w:rsidRPr="00C97916">
              <w:t xml:space="preserve"> 2021-2027</w:t>
            </w:r>
            <w:r>
              <w:t>).</w:t>
            </w:r>
          </w:p>
          <w:p w14:paraId="1B214410" w14:textId="548B38CB" w:rsidR="00C97916" w:rsidRDefault="00C97916" w:rsidP="00B94214">
            <w:pPr>
              <w:jc w:val="both"/>
            </w:pPr>
            <w:r>
              <w:t xml:space="preserve">Jednocześnie założono że 10 mln EUR z kodu </w:t>
            </w:r>
            <w:r w:rsidRPr="00C97916">
              <w:t>079. Ochrona przyrody i różnorodności biologicznej, dziedzictwo naturalne i zasoby, zielona i błękitna infrastruktura</w:t>
            </w:r>
            <w:r>
              <w:t xml:space="preserve"> będzie realizowało tego typu działania w ramach instrumentów terytorialnych.</w:t>
            </w:r>
          </w:p>
          <w:p w14:paraId="0E7F44C9" w14:textId="075F7703" w:rsidR="00C97916" w:rsidRPr="003A6407" w:rsidRDefault="00C97916" w:rsidP="00B94214">
            <w:pPr>
              <w:jc w:val="both"/>
            </w:pPr>
            <w:r>
              <w:t>Ponadto</w:t>
            </w:r>
            <w:r w:rsidRPr="003A6407">
              <w:t xml:space="preserve"> na podstawie </w:t>
            </w:r>
            <w:proofErr w:type="spellStart"/>
            <w:r w:rsidRPr="003A6407">
              <w:t>ryzyk</w:t>
            </w:r>
            <w:proofErr w:type="spellEnd"/>
            <w:r w:rsidRPr="003A6407">
              <w:t xml:space="preserve"> związanych z realizacją tego typu projektów określono wskaźnik kompensacji:</w:t>
            </w:r>
          </w:p>
          <w:p w14:paraId="437E7DA7" w14:textId="77777777" w:rsidR="00C97916" w:rsidRPr="003A6407" w:rsidRDefault="00C97916" w:rsidP="00B94214">
            <w:pPr>
              <w:spacing w:before="60" w:after="60" w:line="240" w:lineRule="auto"/>
              <w:jc w:val="both"/>
            </w:pPr>
            <w:r w:rsidRPr="003A6407">
              <w:t>R: [(2*25)+(3*68)]/5 = 50,8%</w:t>
            </w:r>
          </w:p>
          <w:p w14:paraId="66A75711" w14:textId="77777777" w:rsidR="00C97916" w:rsidRPr="003A6407" w:rsidRDefault="00C97916" w:rsidP="00B94214">
            <w:pPr>
              <w:spacing w:before="60" w:after="60" w:line="240" w:lineRule="auto"/>
              <w:jc w:val="both"/>
            </w:pPr>
          </w:p>
          <w:p w14:paraId="3CC41A7E" w14:textId="77777777" w:rsidR="00C97916" w:rsidRPr="003A6407" w:rsidRDefault="00C97916" w:rsidP="00B94214">
            <w:pPr>
              <w:spacing w:before="60" w:after="60" w:line="240" w:lineRule="auto"/>
              <w:jc w:val="both"/>
            </w:pPr>
            <w:r w:rsidRPr="003A6407">
              <w:t>Wyliczenie:</w:t>
            </w:r>
          </w:p>
          <w:p w14:paraId="4A391C27" w14:textId="23C880FA" w:rsidR="00C97916" w:rsidRPr="003A6407" w:rsidRDefault="00C97916" w:rsidP="00B94214">
            <w:pPr>
              <w:spacing w:before="60" w:after="60" w:line="240" w:lineRule="auto"/>
              <w:jc w:val="both"/>
            </w:pPr>
            <w:r>
              <w:t>10 000 000</w:t>
            </w:r>
            <w:r w:rsidRPr="003A6407">
              <w:t xml:space="preserve"> / </w:t>
            </w:r>
            <w:r>
              <w:t>74 451</w:t>
            </w:r>
            <w:r w:rsidRPr="003A6407">
              <w:t xml:space="preserve"> * (1-0,508) = </w:t>
            </w:r>
            <w:r>
              <w:t>66</w:t>
            </w:r>
            <w:r w:rsidRPr="003A6407">
              <w:t xml:space="preserve"> </w:t>
            </w:r>
            <w:r>
              <w:t>ha</w:t>
            </w:r>
          </w:p>
          <w:p w14:paraId="0BF9EFD8" w14:textId="77777777" w:rsidR="00C97916" w:rsidRPr="003A6407" w:rsidRDefault="00C97916" w:rsidP="00B94214">
            <w:pPr>
              <w:spacing w:before="60" w:after="60" w:line="240" w:lineRule="auto"/>
              <w:jc w:val="both"/>
            </w:pPr>
          </w:p>
          <w:p w14:paraId="0E72E59F" w14:textId="77777777" w:rsidR="00C97916" w:rsidRPr="003A6407" w:rsidRDefault="00C97916" w:rsidP="00B94214">
            <w:pPr>
              <w:spacing w:before="60" w:after="60" w:line="240" w:lineRule="auto"/>
              <w:jc w:val="both"/>
            </w:pPr>
            <w:r w:rsidRPr="003A6407">
              <w:t>Należy zwrócić szczególną uwagę na następujące czynniki ryzyka, które może mogą mieć wpływ na poziom osiągnięcia założonej wartości docelowej:</w:t>
            </w:r>
          </w:p>
          <w:p w14:paraId="68DFC86B" w14:textId="77777777" w:rsidR="00C97916" w:rsidRPr="003A6407" w:rsidRDefault="00C97916" w:rsidP="00B94214">
            <w:pPr>
              <w:spacing w:before="60" w:after="60" w:line="240" w:lineRule="auto"/>
              <w:jc w:val="both"/>
            </w:pPr>
            <w:r w:rsidRPr="003A6407">
              <w:t>•</w:t>
            </w:r>
            <w:r w:rsidRPr="003A6407">
              <w:rPr>
                <w:b/>
              </w:rPr>
              <w:t>ryzyko zmieniającej się ceny</w:t>
            </w:r>
            <w:r w:rsidRPr="003A6407">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poważna)</w:t>
            </w:r>
          </w:p>
          <w:p w14:paraId="6C18B1E5" w14:textId="77777777" w:rsidR="00C97916" w:rsidRPr="003A6407" w:rsidRDefault="00C97916" w:rsidP="00B94214">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w:t>
            </w:r>
            <w:r w:rsidRPr="003A6407">
              <w:lastRenderedPageBreak/>
              <w:t>jest światowy kryzys gospodarczy mający miejsce na przełomie 2008/2009 w skutek, którego wartość euro w stosunku do złotego znacznie wzrosła; (istotność: umiarkowana)</w:t>
            </w:r>
          </w:p>
          <w:p w14:paraId="0A6D9628" w14:textId="77777777" w:rsidR="00C97916" w:rsidRPr="003A6407" w:rsidRDefault="00C97916" w:rsidP="00B94214">
            <w:pPr>
              <w:spacing w:before="60" w:after="60" w:line="240" w:lineRule="auto"/>
              <w:jc w:val="both"/>
            </w:pPr>
            <w:r w:rsidRPr="003A6407">
              <w:t>•</w:t>
            </w:r>
            <w:r w:rsidRPr="003A6407">
              <w:rPr>
                <w:b/>
              </w:rPr>
              <w:t>zawieszenie płatności przez KE dla danej osi priorytetowej</w:t>
            </w:r>
            <w:r w:rsidRPr="003A6407">
              <w:t>; (istotność: umiarkowana)</w:t>
            </w:r>
          </w:p>
          <w:p w14:paraId="292628AA" w14:textId="77777777" w:rsidR="00C97916" w:rsidRPr="003A6407" w:rsidRDefault="00C97916" w:rsidP="00B94214">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poważna)</w:t>
            </w:r>
          </w:p>
          <w:p w14:paraId="37F2DB13" w14:textId="77777777" w:rsidR="00C97916" w:rsidRPr="003A6407" w:rsidRDefault="00C97916" w:rsidP="00B94214">
            <w:pPr>
              <w:spacing w:before="60" w:after="60" w:line="240" w:lineRule="auto"/>
              <w:jc w:val="both"/>
              <w:rPr>
                <w:bCs/>
              </w:rPr>
            </w:pPr>
            <w:r w:rsidRPr="003A6407">
              <w:rPr>
                <w:b/>
              </w:rPr>
              <w:t xml:space="preserve">•opóźnienia, </w:t>
            </w:r>
            <w:r w:rsidRPr="003A6407">
              <w:rPr>
                <w:bCs/>
              </w:rPr>
              <w:t>bądź niewykonanie projektu związane z procedurami wynikającymi z zamówień publicznych oraz z przygotowania projektu do realizacji inwestycji; (istotność: poważna).</w:t>
            </w:r>
          </w:p>
          <w:p w14:paraId="7ACB2F28" w14:textId="77777777" w:rsidR="00C97916" w:rsidRPr="003A6407" w:rsidRDefault="00C97916" w:rsidP="00B94214">
            <w:pPr>
              <w:spacing w:before="60" w:after="60" w:line="240" w:lineRule="auto"/>
              <w:jc w:val="both"/>
            </w:pPr>
          </w:p>
          <w:p w14:paraId="57322CDC" w14:textId="77777777" w:rsidR="00C97916" w:rsidRPr="00C97916" w:rsidRDefault="00C97916" w:rsidP="00C97916">
            <w:pPr>
              <w:spacing w:before="60" w:after="60" w:line="240" w:lineRule="auto"/>
              <w:jc w:val="both"/>
              <w:rPr>
                <w:b/>
                <w:bCs/>
              </w:rPr>
            </w:pPr>
            <w:r w:rsidRPr="00C97916">
              <w:rPr>
                <w:b/>
                <w:bCs/>
              </w:rPr>
              <w:t>Uzasadnienie dla celu pośredniego:</w:t>
            </w:r>
          </w:p>
          <w:p w14:paraId="6D3401C4" w14:textId="39042CDA" w:rsidR="00C97916" w:rsidRPr="003A6407" w:rsidRDefault="00C97916" w:rsidP="00C97916">
            <w:pPr>
              <w:spacing w:before="60" w:after="60" w:line="240" w:lineRule="auto"/>
              <w:jc w:val="both"/>
              <w:rPr>
                <w:b/>
              </w:rPr>
            </w:pPr>
            <w:r w:rsidRPr="00C97916">
              <w:rPr>
                <w:b/>
                <w:bCs/>
              </w:rPr>
              <w:t>Zaplanowany w ramach FEDS 2021-2027 zakres wsparcia w tym celu szczegółowym jest nowym zakresem, który wcześniej, w poprzednich perspektywach nie był realizowany. Wobec powyższego nie ma możliwości ocenić i oszacować jaką wartość pośrednią będą realizować przedmiotowe projekty. Dlatego też ustanawia się cel pośredni na poziomie 0.</w:t>
            </w:r>
            <w:r w:rsidR="004A4CF0">
              <w:rPr>
                <w:b/>
                <w:bCs/>
              </w:rPr>
              <w:t xml:space="preserve"> Ponadto w ramach tej interwencji wsparcie odbywać się będzie poprzez instrumenty terytorialne, które zobowiązane do przygotowania strategii ZIT/IIT. Dopiero ich zatwierdzenie umożliwi realizację projektów w tym obszarze.</w:t>
            </w:r>
          </w:p>
        </w:tc>
      </w:tr>
    </w:tbl>
    <w:p w14:paraId="5AD47D1E" w14:textId="77777777" w:rsidR="00C97916" w:rsidRDefault="00C97916"/>
    <w:p w14:paraId="7AAC05D1" w14:textId="27ADBFD8" w:rsidR="00700F90" w:rsidRDefault="00700F90" w:rsidP="00700F90">
      <w:pPr>
        <w:pStyle w:val="Nagwek2"/>
      </w:pPr>
      <w:bookmarkStart w:id="151" w:name="_Toc120464406"/>
      <w:r w:rsidRPr="003A6407">
        <w:t>Wskaźniki rezultatu</w:t>
      </w:r>
      <w:bookmarkEnd w:id="151"/>
    </w:p>
    <w:p w14:paraId="4FA58E6B" w14:textId="4071ED25" w:rsidR="005F6ACE" w:rsidRDefault="005F6ACE" w:rsidP="005F6ACE"/>
    <w:tbl>
      <w:tblPr>
        <w:tblW w:w="4846" w:type="pct"/>
        <w:tblInd w:w="1" w:type="dxa"/>
        <w:tblLayout w:type="fixed"/>
        <w:tblCellMar>
          <w:left w:w="10" w:type="dxa"/>
          <w:right w:w="10" w:type="dxa"/>
        </w:tblCellMar>
        <w:tblLook w:val="04A0" w:firstRow="1" w:lastRow="0" w:firstColumn="1" w:lastColumn="0" w:noHBand="0" w:noVBand="1"/>
      </w:tblPr>
      <w:tblGrid>
        <w:gridCol w:w="611"/>
        <w:gridCol w:w="666"/>
        <w:gridCol w:w="752"/>
        <w:gridCol w:w="487"/>
        <w:gridCol w:w="1902"/>
        <w:gridCol w:w="741"/>
        <w:gridCol w:w="845"/>
        <w:gridCol w:w="843"/>
        <w:gridCol w:w="740"/>
        <w:gridCol w:w="738"/>
        <w:gridCol w:w="458"/>
      </w:tblGrid>
      <w:tr w:rsidR="006641B5" w:rsidRPr="006641B5" w14:paraId="6108629B" w14:textId="77777777" w:rsidTr="00483576">
        <w:trPr>
          <w:cantSplit/>
          <w:trHeight w:val="1679"/>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0D58" w14:textId="77777777" w:rsidR="006641B5" w:rsidRPr="006641B5" w:rsidRDefault="006641B5" w:rsidP="006641B5">
            <w:pPr>
              <w:suppressAutoHyphens/>
              <w:autoSpaceDN w:val="0"/>
              <w:spacing w:before="120" w:after="120" w:line="240" w:lineRule="auto"/>
              <w:jc w:val="center"/>
              <w:textAlignment w:val="baseline"/>
              <w:rPr>
                <w:rFonts w:eastAsia="Calibri"/>
                <w:b/>
                <w:sz w:val="16"/>
                <w:szCs w:val="16"/>
              </w:rPr>
            </w:pPr>
            <w:r w:rsidRPr="006641B5">
              <w:rPr>
                <w:rFonts w:eastAsia="Calibri"/>
                <w:b/>
                <w:sz w:val="16"/>
                <w:szCs w:val="16"/>
              </w:rPr>
              <w:t>CP 2</w:t>
            </w:r>
          </w:p>
          <w:p w14:paraId="1118D23F" w14:textId="77777777" w:rsidR="006641B5" w:rsidRPr="006641B5" w:rsidRDefault="006641B5" w:rsidP="006641B5">
            <w:pPr>
              <w:suppressAutoHyphens/>
              <w:autoSpaceDN w:val="0"/>
              <w:spacing w:before="120" w:after="120" w:line="240" w:lineRule="auto"/>
              <w:jc w:val="center"/>
              <w:textAlignment w:val="baseline"/>
              <w:rPr>
                <w:rFonts w:eastAsia="Calibri"/>
                <w:b/>
                <w:sz w:val="16"/>
                <w:szCs w:val="16"/>
              </w:rPr>
            </w:pPr>
            <w:r w:rsidRPr="006641B5">
              <w:rPr>
                <w:rFonts w:eastAsia="Calibri"/>
                <w:b/>
                <w:sz w:val="16"/>
                <w:szCs w:val="16"/>
              </w:rPr>
              <w:t>Cel szczegółowy</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6764F" w14:textId="77777777" w:rsidR="006641B5" w:rsidRPr="006641B5" w:rsidRDefault="006641B5" w:rsidP="006641B5">
            <w:pPr>
              <w:suppressAutoHyphens/>
              <w:autoSpaceDN w:val="0"/>
              <w:spacing w:before="120" w:after="120" w:line="240" w:lineRule="auto"/>
              <w:jc w:val="center"/>
              <w:textAlignment w:val="baseline"/>
              <w:rPr>
                <w:rFonts w:eastAsia="Calibri"/>
                <w:b/>
                <w:sz w:val="16"/>
                <w:szCs w:val="16"/>
              </w:rPr>
            </w:pPr>
            <w:r w:rsidRPr="006641B5">
              <w:rPr>
                <w:rFonts w:eastAsia="Calibri"/>
                <w:b/>
                <w:sz w:val="16"/>
                <w:szCs w:val="16"/>
              </w:rPr>
              <w:t>Fundusz</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69C0" w14:textId="77777777" w:rsidR="006641B5" w:rsidRPr="006641B5" w:rsidRDefault="006641B5" w:rsidP="006641B5">
            <w:pPr>
              <w:suppressAutoHyphens/>
              <w:autoSpaceDN w:val="0"/>
              <w:spacing w:before="120" w:after="120" w:line="240" w:lineRule="auto"/>
              <w:jc w:val="center"/>
              <w:textAlignment w:val="baseline"/>
              <w:rPr>
                <w:rFonts w:eastAsia="Calibri"/>
                <w:b/>
                <w:sz w:val="16"/>
                <w:szCs w:val="16"/>
              </w:rPr>
            </w:pPr>
            <w:r w:rsidRPr="006641B5">
              <w:rPr>
                <w:rFonts w:eastAsia="Calibri"/>
                <w:b/>
                <w:sz w:val="16"/>
                <w:szCs w:val="16"/>
              </w:rPr>
              <w:t>Kategoria regionu</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E26B54E" w14:textId="77777777" w:rsidR="006641B5" w:rsidRPr="006641B5" w:rsidRDefault="006641B5" w:rsidP="006641B5">
            <w:pPr>
              <w:suppressAutoHyphens/>
              <w:autoSpaceDN w:val="0"/>
              <w:spacing w:before="120" w:after="120" w:line="240" w:lineRule="auto"/>
              <w:ind w:left="113" w:right="113"/>
              <w:jc w:val="center"/>
              <w:textAlignment w:val="baseline"/>
              <w:rPr>
                <w:rFonts w:eastAsia="Calibri"/>
                <w:b/>
                <w:sz w:val="16"/>
                <w:szCs w:val="16"/>
              </w:rPr>
            </w:pPr>
            <w:r w:rsidRPr="006641B5">
              <w:rPr>
                <w:rFonts w:eastAsia="Calibri"/>
                <w:b/>
                <w:sz w:val="16"/>
                <w:szCs w:val="16"/>
              </w:rPr>
              <w:t>Nr identyfikacyjny [5]</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64F4D" w14:textId="77777777" w:rsidR="006641B5" w:rsidRPr="006641B5" w:rsidRDefault="006641B5" w:rsidP="006641B5">
            <w:pPr>
              <w:suppressAutoHyphens/>
              <w:autoSpaceDN w:val="0"/>
              <w:spacing w:before="120" w:after="120" w:line="240" w:lineRule="auto"/>
              <w:jc w:val="center"/>
              <w:textAlignment w:val="baseline"/>
              <w:rPr>
                <w:rFonts w:eastAsia="Calibri"/>
                <w:b/>
                <w:sz w:val="16"/>
                <w:szCs w:val="16"/>
              </w:rPr>
            </w:pPr>
            <w:r w:rsidRPr="006641B5">
              <w:rPr>
                <w:rFonts w:eastAsia="Calibri"/>
                <w:b/>
                <w:sz w:val="16"/>
                <w:szCs w:val="16"/>
              </w:rPr>
              <w:t>Wskaźnik [255]</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31CE7E9" w14:textId="77777777" w:rsidR="006641B5" w:rsidRPr="006641B5" w:rsidRDefault="006641B5" w:rsidP="006641B5">
            <w:pPr>
              <w:suppressAutoHyphens/>
              <w:autoSpaceDN w:val="0"/>
              <w:spacing w:before="120" w:after="120" w:line="240" w:lineRule="auto"/>
              <w:ind w:left="113" w:right="113"/>
              <w:jc w:val="center"/>
              <w:textAlignment w:val="baseline"/>
              <w:rPr>
                <w:rFonts w:eastAsia="Calibri"/>
                <w:b/>
                <w:sz w:val="16"/>
                <w:szCs w:val="16"/>
              </w:rPr>
            </w:pPr>
            <w:r w:rsidRPr="006641B5">
              <w:rPr>
                <w:rFonts w:eastAsia="Calibri"/>
                <w:b/>
                <w:sz w:val="16"/>
                <w:szCs w:val="16"/>
              </w:rPr>
              <w:t>Jednostka miary</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6F98C32" w14:textId="77777777" w:rsidR="006641B5" w:rsidRPr="006641B5" w:rsidRDefault="006641B5" w:rsidP="006641B5">
            <w:pPr>
              <w:suppressAutoHyphens/>
              <w:autoSpaceDN w:val="0"/>
              <w:spacing w:before="120" w:after="120" w:line="240" w:lineRule="auto"/>
              <w:ind w:left="113" w:right="113"/>
              <w:jc w:val="center"/>
              <w:textAlignment w:val="baseline"/>
              <w:rPr>
                <w:rFonts w:eastAsia="Calibri"/>
                <w:b/>
                <w:sz w:val="16"/>
                <w:szCs w:val="16"/>
              </w:rPr>
            </w:pPr>
            <w:r w:rsidRPr="006641B5">
              <w:rPr>
                <w:rFonts w:eastAsia="Calibri"/>
                <w:b/>
                <w:sz w:val="16"/>
                <w:szCs w:val="16"/>
              </w:rPr>
              <w:t>Wartość bazowa lub wartość odniesienia</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E8416A1" w14:textId="77777777" w:rsidR="006641B5" w:rsidRPr="006641B5" w:rsidRDefault="006641B5" w:rsidP="006641B5">
            <w:pPr>
              <w:suppressAutoHyphens/>
              <w:autoSpaceDN w:val="0"/>
              <w:spacing w:before="120" w:after="120" w:line="240" w:lineRule="auto"/>
              <w:ind w:left="113" w:right="113"/>
              <w:jc w:val="center"/>
              <w:textAlignment w:val="baseline"/>
              <w:rPr>
                <w:rFonts w:eastAsia="Calibri"/>
                <w:b/>
                <w:sz w:val="16"/>
                <w:szCs w:val="16"/>
              </w:rPr>
            </w:pPr>
            <w:r w:rsidRPr="006641B5">
              <w:rPr>
                <w:rFonts w:eastAsia="Calibri"/>
                <w:b/>
                <w:sz w:val="16"/>
                <w:szCs w:val="16"/>
              </w:rPr>
              <w:t>Rok referencyjny</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50EBB" w14:textId="77777777" w:rsidR="006641B5" w:rsidRPr="006641B5" w:rsidRDefault="006641B5" w:rsidP="006641B5">
            <w:pPr>
              <w:suppressAutoHyphens/>
              <w:autoSpaceDN w:val="0"/>
              <w:spacing w:before="120" w:after="120" w:line="240" w:lineRule="auto"/>
              <w:jc w:val="center"/>
              <w:textAlignment w:val="baseline"/>
              <w:rPr>
                <w:rFonts w:eastAsia="Calibri" w:cs="Times New Roman"/>
                <w:b/>
                <w:sz w:val="16"/>
                <w:szCs w:val="16"/>
                <w:lang w:eastAsia="pl-PL"/>
              </w:rPr>
            </w:pPr>
            <w:r w:rsidRPr="006641B5">
              <w:rPr>
                <w:rFonts w:eastAsia="Calibri" w:cs="Times New Roman"/>
                <w:b/>
                <w:sz w:val="16"/>
                <w:szCs w:val="16"/>
                <w:lang w:eastAsia="pl-PL"/>
              </w:rPr>
              <w:t>Cel (2029)</w:t>
            </w:r>
          </w:p>
          <w:p w14:paraId="0BF2F986" w14:textId="77777777" w:rsidR="006641B5" w:rsidRPr="006641B5" w:rsidRDefault="006641B5" w:rsidP="006641B5">
            <w:pPr>
              <w:suppressAutoHyphens/>
              <w:autoSpaceDN w:val="0"/>
              <w:spacing w:before="120" w:after="120" w:line="240" w:lineRule="auto"/>
              <w:jc w:val="center"/>
              <w:textAlignment w:val="baseline"/>
              <w:rPr>
                <w:rFonts w:eastAsia="Calibri"/>
                <w:b/>
                <w:sz w:val="16"/>
                <w:szCs w:val="16"/>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B3824" w14:textId="77777777" w:rsidR="006641B5" w:rsidRPr="006641B5" w:rsidRDefault="006641B5" w:rsidP="006641B5">
            <w:pPr>
              <w:suppressAutoHyphens/>
              <w:autoSpaceDN w:val="0"/>
              <w:spacing w:before="120" w:after="120" w:line="240" w:lineRule="auto"/>
              <w:jc w:val="center"/>
              <w:textAlignment w:val="baseline"/>
              <w:rPr>
                <w:rFonts w:eastAsia="Calibri"/>
              </w:rPr>
            </w:pPr>
            <w:r w:rsidRPr="006641B5">
              <w:rPr>
                <w:rFonts w:eastAsia="Calibri" w:cs="Times New Roman"/>
                <w:b/>
                <w:sz w:val="16"/>
                <w:szCs w:val="16"/>
                <w:lang w:eastAsia="pl-PL"/>
              </w:rPr>
              <w:t>Źródło danych [200]</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561DE" w14:textId="77777777" w:rsidR="006641B5" w:rsidRPr="006641B5" w:rsidRDefault="006641B5" w:rsidP="006641B5">
            <w:pPr>
              <w:suppressAutoHyphens/>
              <w:autoSpaceDN w:val="0"/>
              <w:spacing w:before="120" w:after="120" w:line="240" w:lineRule="auto"/>
              <w:jc w:val="center"/>
              <w:textAlignment w:val="baseline"/>
              <w:rPr>
                <w:rFonts w:eastAsia="Calibri"/>
              </w:rPr>
            </w:pPr>
            <w:r w:rsidRPr="006641B5">
              <w:rPr>
                <w:rFonts w:eastAsia="Calibri" w:cs="Times New Roman"/>
                <w:b/>
                <w:sz w:val="16"/>
                <w:szCs w:val="16"/>
                <w:lang w:eastAsia="pl-PL"/>
              </w:rPr>
              <w:t>Uwagi [200]</w:t>
            </w:r>
          </w:p>
        </w:tc>
      </w:tr>
      <w:tr w:rsidR="006641B5" w:rsidRPr="006641B5" w14:paraId="5F03B181" w14:textId="77777777" w:rsidTr="00483576">
        <w:trPr>
          <w:trHeight w:val="340"/>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BAFCC"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2 (vii)</w:t>
            </w:r>
          </w:p>
          <w:p w14:paraId="5053F6A1"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2.7</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9704E"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EFRR</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636CE"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przejściowy</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147D7"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RCR95</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DD620" w14:textId="77777777" w:rsidR="006641B5" w:rsidRPr="00FD3041" w:rsidRDefault="006641B5" w:rsidP="006641B5">
            <w:pPr>
              <w:keepNext/>
              <w:keepLines/>
              <w:suppressAutoHyphens/>
              <w:autoSpaceDN w:val="0"/>
              <w:spacing w:before="200" w:after="0"/>
              <w:jc w:val="center"/>
              <w:textAlignment w:val="baseline"/>
              <w:outlineLvl w:val="2"/>
              <w:rPr>
                <w:rFonts w:eastAsia="Times New Roman" w:cs="Times New Roman"/>
                <w:sz w:val="16"/>
                <w:szCs w:val="16"/>
              </w:rPr>
            </w:pPr>
            <w:bookmarkStart w:id="152" w:name="_Toc120464407"/>
            <w:r w:rsidRPr="00FD3041">
              <w:rPr>
                <w:rFonts w:eastAsia="Times New Roman" w:cs="Times New Roman"/>
                <w:sz w:val="16"/>
                <w:szCs w:val="16"/>
              </w:rPr>
              <w:t>Ludność mająca dostęp do nowej lub udoskonalonej zielonej infrastruktury</w:t>
            </w:r>
            <w:bookmarkEnd w:id="152"/>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C6D5C"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osoby</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C0CD4"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0,00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519E1"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2022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E96B1" w14:textId="12FE431C" w:rsidR="006641B5" w:rsidRPr="006641B5" w:rsidRDefault="006641B5" w:rsidP="006641B5">
            <w:pPr>
              <w:suppressAutoHyphens/>
              <w:autoSpaceDN w:val="0"/>
              <w:spacing w:before="120" w:after="120" w:line="240" w:lineRule="auto"/>
              <w:jc w:val="center"/>
              <w:textAlignment w:val="baseline"/>
              <w:rPr>
                <w:rFonts w:eastAsia="Calibri"/>
                <w:sz w:val="16"/>
                <w:szCs w:val="16"/>
              </w:rPr>
            </w:pPr>
            <w:r w:rsidRPr="006641B5">
              <w:rPr>
                <w:rFonts w:eastAsia="Calibri"/>
                <w:sz w:val="16"/>
                <w:szCs w:val="16"/>
              </w:rPr>
              <w:t>272 6</w:t>
            </w:r>
            <w:r w:rsidR="004931E1">
              <w:rPr>
                <w:rFonts w:eastAsia="Calibri"/>
                <w:sz w:val="16"/>
                <w:szCs w:val="16"/>
              </w:rPr>
              <w:t>42</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7E8DC" w14:textId="3F613F45" w:rsidR="006641B5" w:rsidRPr="006641B5" w:rsidRDefault="001C4A6B" w:rsidP="006641B5">
            <w:pPr>
              <w:suppressAutoHyphens/>
              <w:autoSpaceDN w:val="0"/>
              <w:spacing w:before="120" w:after="120" w:line="240" w:lineRule="auto"/>
              <w:jc w:val="center"/>
              <w:textAlignment w:val="baseline"/>
              <w:rPr>
                <w:rFonts w:eastAsia="Calibri"/>
                <w:sz w:val="16"/>
                <w:szCs w:val="16"/>
              </w:rPr>
            </w:pPr>
            <w:r>
              <w:rPr>
                <w:rFonts w:eastAsia="Calibri"/>
                <w:sz w:val="16"/>
                <w:szCs w:val="16"/>
              </w:rPr>
              <w:t>SL</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EA41" w14:textId="77777777" w:rsidR="006641B5" w:rsidRPr="006641B5" w:rsidRDefault="006641B5" w:rsidP="006641B5">
            <w:pPr>
              <w:suppressAutoHyphens/>
              <w:autoSpaceDN w:val="0"/>
              <w:spacing w:before="120" w:after="120" w:line="240" w:lineRule="auto"/>
              <w:jc w:val="center"/>
              <w:textAlignment w:val="baseline"/>
              <w:rPr>
                <w:rFonts w:eastAsia="Calibri"/>
                <w:sz w:val="16"/>
                <w:szCs w:val="16"/>
              </w:rPr>
            </w:pPr>
          </w:p>
        </w:tc>
      </w:tr>
      <w:tr w:rsidR="006641B5" w:rsidRPr="006641B5" w14:paraId="2FDED5CC" w14:textId="77777777" w:rsidTr="00483576">
        <w:trPr>
          <w:trHeight w:val="340"/>
        </w:trPr>
        <w:tc>
          <w:tcPr>
            <w:tcW w:w="878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7F4D"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Metodologia:</w:t>
            </w:r>
          </w:p>
          <w:p w14:paraId="1FC973DB"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 xml:space="preserve">Wskaźnik realizuje kod interwencji 079 Ochrona przyrody i różnorodności biologicznej, dziedzictwo naturalne i zasoby naturalne, zielona i błękitna infrastruktura w kwocie 113 531 427,00 EUR. Uwzględniając (odejmując) koszty uproszczone na poziomie 7%, wartość alokacji realizującej dany wskaźnik wynosi 105 584 227,10 EUR. Założono, że 30% alokacji będzie dotyczyło bezpośrednio przedmiotowego wskaźnika. </w:t>
            </w:r>
            <w:r w:rsidRPr="006641B5">
              <w:rPr>
                <w:rFonts w:eastAsia="Calibri"/>
              </w:rPr>
              <w:br/>
              <w:t>W związku z powyższym alokacja wynosi 31 675 268,10 EUR.</w:t>
            </w:r>
          </w:p>
          <w:p w14:paraId="0E6E6BF5"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 xml:space="preserve">Koszt jednostkowy ustalony został na podstawie dokumentu metodycznego ram wykonania Programu Fundusze Europejskie na Infrastrukturę, Klimat, Środowisko 2021-2027 – </w:t>
            </w:r>
            <w:proofErr w:type="spellStart"/>
            <w:r w:rsidRPr="006641B5">
              <w:rPr>
                <w:rFonts w:eastAsia="Calibri"/>
              </w:rPr>
              <w:t>FEnIKS</w:t>
            </w:r>
            <w:proofErr w:type="spellEnd"/>
            <w:r w:rsidRPr="006641B5">
              <w:rPr>
                <w:rFonts w:eastAsia="Calibri"/>
              </w:rPr>
              <w:t xml:space="preserve"> i wynosi 316 PLN. Koszt jednostkowy został skorygowany w oparciu o wartość inflacji na poziomie 15, co równa się 363,40 PLN, </w:t>
            </w:r>
            <w:r w:rsidRPr="006641B5">
              <w:rPr>
                <w:rFonts w:eastAsia="Calibri"/>
              </w:rPr>
              <w:br/>
              <w:t xml:space="preserve">a wartość dofinansowania na poziomie 70% wynosi 254,38 PLN; biorąc pod uwagę kurs EUR na poziomie 4,45 koszt jednostkowy wynosi 57,16 EUR; na podstawie tych danych wyliczono wartość wskaźnika. Jednocześnie na podstawie </w:t>
            </w:r>
            <w:proofErr w:type="spellStart"/>
            <w:r w:rsidRPr="006641B5">
              <w:rPr>
                <w:rFonts w:eastAsia="Calibri"/>
              </w:rPr>
              <w:t>ryzyk</w:t>
            </w:r>
            <w:proofErr w:type="spellEnd"/>
            <w:r w:rsidRPr="006641B5">
              <w:rPr>
                <w:rFonts w:eastAsia="Calibri"/>
              </w:rPr>
              <w:t xml:space="preserve"> związanych z realizacją tego typu projektów określono wskaźnik kompensacji:</w:t>
            </w:r>
          </w:p>
          <w:p w14:paraId="3D304FD9" w14:textId="77777777" w:rsidR="006641B5" w:rsidRPr="006641B5" w:rsidRDefault="006641B5" w:rsidP="006641B5">
            <w:pPr>
              <w:suppressAutoHyphens/>
              <w:autoSpaceDN w:val="0"/>
              <w:spacing w:before="60" w:after="60" w:line="240" w:lineRule="auto"/>
              <w:jc w:val="both"/>
              <w:textAlignment w:val="baseline"/>
              <w:rPr>
                <w:rFonts w:eastAsia="Calibri"/>
              </w:rPr>
            </w:pPr>
          </w:p>
          <w:p w14:paraId="01741A5E"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R: [(2*25)+(3*68)]/5 = 50,8%</w:t>
            </w:r>
          </w:p>
          <w:p w14:paraId="5E243627" w14:textId="77777777" w:rsidR="006641B5" w:rsidRPr="006641B5" w:rsidRDefault="006641B5" w:rsidP="006641B5">
            <w:pPr>
              <w:suppressAutoHyphens/>
              <w:autoSpaceDN w:val="0"/>
              <w:spacing w:before="60" w:after="60" w:line="240" w:lineRule="auto"/>
              <w:jc w:val="both"/>
              <w:textAlignment w:val="baseline"/>
              <w:rPr>
                <w:rFonts w:eastAsia="Calibri"/>
              </w:rPr>
            </w:pPr>
          </w:p>
          <w:p w14:paraId="2E3E643D"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Wyliczenie:</w:t>
            </w:r>
          </w:p>
          <w:p w14:paraId="2A9856F2" w14:textId="10C51974"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 xml:space="preserve">31 675 268,10 / 57,16 * (1-0,508) = 272 </w:t>
            </w:r>
            <w:r w:rsidR="004931E1">
              <w:rPr>
                <w:rFonts w:eastAsia="Calibri"/>
              </w:rPr>
              <w:t>642</w:t>
            </w:r>
            <w:r w:rsidRPr="006641B5">
              <w:rPr>
                <w:rFonts w:eastAsia="Calibri"/>
              </w:rPr>
              <w:t xml:space="preserve"> osób</w:t>
            </w:r>
          </w:p>
          <w:p w14:paraId="314C5323" w14:textId="77777777" w:rsidR="006641B5" w:rsidRPr="006641B5" w:rsidRDefault="006641B5" w:rsidP="006641B5">
            <w:pPr>
              <w:suppressAutoHyphens/>
              <w:autoSpaceDN w:val="0"/>
              <w:spacing w:before="60" w:after="60" w:line="240" w:lineRule="auto"/>
              <w:jc w:val="both"/>
              <w:textAlignment w:val="baseline"/>
              <w:rPr>
                <w:rFonts w:eastAsia="Calibri"/>
              </w:rPr>
            </w:pPr>
          </w:p>
          <w:p w14:paraId="581E3BA8"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Należy zwrócić szczególną uwagę na następujące czynniki ryzyka, które może mogą mieć wpływ na poziom osiągnięcia założonej wartości docelowej:</w:t>
            </w:r>
          </w:p>
          <w:p w14:paraId="1AE382FC"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lastRenderedPageBreak/>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poważna)</w:t>
            </w:r>
          </w:p>
          <w:p w14:paraId="2524C70E"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umiarkowana)</w:t>
            </w:r>
          </w:p>
          <w:p w14:paraId="0EF51ED5"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•zawieszenie płatności przez KE dla danej osi priorytetowej; (istotność: umiarkowana)</w:t>
            </w:r>
          </w:p>
          <w:p w14:paraId="6CAC9470"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•problemy z zabezpieczeniem wkładu własnego wnioskodawcy; (istotność: poważna)</w:t>
            </w:r>
          </w:p>
          <w:p w14:paraId="33C77C55" w14:textId="77777777" w:rsidR="006641B5" w:rsidRPr="006641B5" w:rsidRDefault="006641B5" w:rsidP="006641B5">
            <w:pPr>
              <w:suppressAutoHyphens/>
              <w:autoSpaceDN w:val="0"/>
              <w:spacing w:before="60" w:after="60" w:line="240" w:lineRule="auto"/>
              <w:jc w:val="both"/>
              <w:textAlignment w:val="baseline"/>
              <w:rPr>
                <w:rFonts w:eastAsia="Calibri"/>
              </w:rPr>
            </w:pPr>
            <w:r w:rsidRPr="006641B5">
              <w:rPr>
                <w:rFonts w:eastAsia="Calibri"/>
              </w:rPr>
              <w:t>•opóźnienia, bądź niewykonanie projektu związane z procedurami wynikającymi z zamówień publicznych oraz z przygotowania projektu do realizacji inwestycji; (istotność: poważna).</w:t>
            </w:r>
          </w:p>
          <w:p w14:paraId="06F9953C" w14:textId="77777777" w:rsidR="006641B5" w:rsidRPr="006641B5" w:rsidRDefault="006641B5" w:rsidP="006641B5">
            <w:pPr>
              <w:suppressAutoHyphens/>
              <w:autoSpaceDN w:val="0"/>
              <w:spacing w:before="60" w:after="60" w:line="240" w:lineRule="auto"/>
              <w:jc w:val="both"/>
              <w:textAlignment w:val="baseline"/>
              <w:rPr>
                <w:rFonts w:eastAsia="Calibri"/>
              </w:rPr>
            </w:pPr>
          </w:p>
        </w:tc>
      </w:tr>
    </w:tbl>
    <w:p w14:paraId="6DA38459" w14:textId="7B38D95D" w:rsidR="006641B5" w:rsidRDefault="006641B5" w:rsidP="005F6ACE"/>
    <w:p w14:paraId="4EF7C673" w14:textId="77777777" w:rsidR="006641B5" w:rsidRDefault="006641B5" w:rsidP="005F6ACE"/>
    <w:tbl>
      <w:tblPr>
        <w:tblW w:w="484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666"/>
        <w:gridCol w:w="752"/>
        <w:gridCol w:w="487"/>
        <w:gridCol w:w="1902"/>
        <w:gridCol w:w="741"/>
        <w:gridCol w:w="845"/>
        <w:gridCol w:w="843"/>
        <w:gridCol w:w="740"/>
        <w:gridCol w:w="738"/>
        <w:gridCol w:w="458"/>
      </w:tblGrid>
      <w:tr w:rsidR="005F6ACE" w:rsidRPr="003A6407" w14:paraId="77CF3FEE" w14:textId="77777777" w:rsidTr="005F6ACE">
        <w:trPr>
          <w:cantSplit/>
          <w:trHeight w:val="1679"/>
        </w:trPr>
        <w:tc>
          <w:tcPr>
            <w:tcW w:w="348" w:type="pct"/>
            <w:vAlign w:val="center"/>
          </w:tcPr>
          <w:p w14:paraId="57D52290" w14:textId="77777777" w:rsidR="005F6ACE" w:rsidRPr="003A6407" w:rsidRDefault="005F6ACE" w:rsidP="006E5757">
            <w:pPr>
              <w:spacing w:before="120" w:after="120" w:line="240" w:lineRule="auto"/>
              <w:jc w:val="center"/>
              <w:rPr>
                <w:b/>
                <w:noProof/>
                <w:sz w:val="16"/>
                <w:szCs w:val="16"/>
              </w:rPr>
            </w:pPr>
            <w:r w:rsidRPr="003A6407">
              <w:rPr>
                <w:b/>
                <w:noProof/>
                <w:sz w:val="16"/>
                <w:szCs w:val="16"/>
              </w:rPr>
              <w:t>CP 2</w:t>
            </w:r>
          </w:p>
          <w:p w14:paraId="269BDDCF" w14:textId="77777777" w:rsidR="005F6ACE" w:rsidRPr="003A6407" w:rsidRDefault="005F6ACE" w:rsidP="006E5757">
            <w:pPr>
              <w:spacing w:before="120" w:after="120" w:line="240" w:lineRule="auto"/>
              <w:jc w:val="center"/>
              <w:rPr>
                <w:b/>
                <w:noProof/>
                <w:sz w:val="16"/>
                <w:szCs w:val="16"/>
              </w:rPr>
            </w:pPr>
            <w:r w:rsidRPr="003A6407">
              <w:rPr>
                <w:b/>
                <w:noProof/>
                <w:sz w:val="16"/>
                <w:szCs w:val="16"/>
              </w:rPr>
              <w:t>Cel szczegółowy</w:t>
            </w:r>
          </w:p>
        </w:tc>
        <w:tc>
          <w:tcPr>
            <w:tcW w:w="379" w:type="pct"/>
            <w:vAlign w:val="center"/>
          </w:tcPr>
          <w:p w14:paraId="44990C77" w14:textId="77777777" w:rsidR="005F6ACE" w:rsidRPr="003A6407" w:rsidRDefault="005F6ACE" w:rsidP="006E5757">
            <w:pPr>
              <w:spacing w:before="120" w:after="120" w:line="240" w:lineRule="auto"/>
              <w:jc w:val="center"/>
              <w:rPr>
                <w:b/>
                <w:noProof/>
                <w:sz w:val="16"/>
                <w:szCs w:val="16"/>
              </w:rPr>
            </w:pPr>
            <w:r w:rsidRPr="003A6407">
              <w:rPr>
                <w:b/>
                <w:noProof/>
                <w:sz w:val="16"/>
                <w:szCs w:val="16"/>
              </w:rPr>
              <w:t>Fundusz</w:t>
            </w:r>
          </w:p>
        </w:tc>
        <w:tc>
          <w:tcPr>
            <w:tcW w:w="428" w:type="pct"/>
            <w:vAlign w:val="center"/>
          </w:tcPr>
          <w:p w14:paraId="3E8008E6" w14:textId="77777777" w:rsidR="005F6ACE" w:rsidRPr="003A6407" w:rsidRDefault="005F6ACE" w:rsidP="006E5757">
            <w:pPr>
              <w:spacing w:before="120" w:after="120" w:line="240" w:lineRule="auto"/>
              <w:jc w:val="center"/>
              <w:rPr>
                <w:b/>
                <w:noProof/>
                <w:sz w:val="16"/>
                <w:szCs w:val="16"/>
              </w:rPr>
            </w:pPr>
            <w:r w:rsidRPr="003A6407">
              <w:rPr>
                <w:b/>
                <w:noProof/>
                <w:sz w:val="16"/>
                <w:szCs w:val="16"/>
              </w:rPr>
              <w:t>Kategoria regionu</w:t>
            </w:r>
          </w:p>
        </w:tc>
        <w:tc>
          <w:tcPr>
            <w:tcW w:w="277" w:type="pct"/>
            <w:textDirection w:val="btLr"/>
            <w:vAlign w:val="center"/>
          </w:tcPr>
          <w:p w14:paraId="50E226F6" w14:textId="77777777" w:rsidR="005F6ACE" w:rsidRPr="003A6407" w:rsidRDefault="005F6ACE" w:rsidP="006E5757">
            <w:pPr>
              <w:spacing w:before="120" w:after="120" w:line="240" w:lineRule="auto"/>
              <w:ind w:left="113" w:right="113"/>
              <w:jc w:val="center"/>
              <w:rPr>
                <w:b/>
                <w:noProof/>
                <w:sz w:val="16"/>
                <w:szCs w:val="16"/>
              </w:rPr>
            </w:pPr>
            <w:r w:rsidRPr="003A6407">
              <w:rPr>
                <w:b/>
                <w:noProof/>
                <w:sz w:val="16"/>
                <w:szCs w:val="16"/>
              </w:rPr>
              <w:t>Nr identyfikacyjny [5]</w:t>
            </w:r>
          </w:p>
        </w:tc>
        <w:tc>
          <w:tcPr>
            <w:tcW w:w="1083" w:type="pct"/>
            <w:shd w:val="clear" w:color="auto" w:fill="auto"/>
            <w:vAlign w:val="center"/>
          </w:tcPr>
          <w:p w14:paraId="0EFD892E" w14:textId="77777777" w:rsidR="005F6ACE" w:rsidRPr="003A6407" w:rsidRDefault="005F6ACE" w:rsidP="006E5757">
            <w:pPr>
              <w:spacing w:before="120" w:after="120" w:line="240" w:lineRule="auto"/>
              <w:jc w:val="center"/>
              <w:rPr>
                <w:b/>
                <w:noProof/>
                <w:sz w:val="16"/>
                <w:szCs w:val="16"/>
              </w:rPr>
            </w:pPr>
            <w:r w:rsidRPr="003A6407">
              <w:rPr>
                <w:b/>
                <w:noProof/>
                <w:sz w:val="16"/>
                <w:szCs w:val="16"/>
              </w:rPr>
              <w:t>Wskaźnik [255]</w:t>
            </w:r>
          </w:p>
        </w:tc>
        <w:tc>
          <w:tcPr>
            <w:tcW w:w="422" w:type="pct"/>
            <w:textDirection w:val="btLr"/>
            <w:vAlign w:val="center"/>
          </w:tcPr>
          <w:p w14:paraId="2F846D13" w14:textId="77777777" w:rsidR="005F6ACE" w:rsidRPr="003A6407" w:rsidRDefault="005F6ACE" w:rsidP="006E5757">
            <w:pPr>
              <w:spacing w:before="120" w:after="120" w:line="240" w:lineRule="auto"/>
              <w:ind w:left="113" w:right="113"/>
              <w:jc w:val="center"/>
              <w:rPr>
                <w:b/>
                <w:noProof/>
                <w:sz w:val="16"/>
                <w:szCs w:val="16"/>
              </w:rPr>
            </w:pPr>
            <w:r w:rsidRPr="003A6407">
              <w:rPr>
                <w:b/>
                <w:noProof/>
                <w:sz w:val="16"/>
                <w:szCs w:val="16"/>
              </w:rPr>
              <w:t>Jednostka miary</w:t>
            </w:r>
          </w:p>
        </w:tc>
        <w:tc>
          <w:tcPr>
            <w:tcW w:w="481" w:type="pct"/>
            <w:textDirection w:val="btLr"/>
            <w:vAlign w:val="center"/>
          </w:tcPr>
          <w:p w14:paraId="065930B2" w14:textId="77777777" w:rsidR="005F6ACE" w:rsidRPr="003A6407" w:rsidRDefault="005F6ACE" w:rsidP="006E5757">
            <w:pPr>
              <w:spacing w:before="120" w:after="120" w:line="240" w:lineRule="auto"/>
              <w:ind w:left="113" w:right="113"/>
              <w:jc w:val="center"/>
              <w:rPr>
                <w:b/>
                <w:noProof/>
                <w:sz w:val="16"/>
                <w:szCs w:val="16"/>
              </w:rPr>
            </w:pPr>
            <w:r w:rsidRPr="003A6407">
              <w:rPr>
                <w:b/>
                <w:noProof/>
                <w:sz w:val="16"/>
                <w:szCs w:val="16"/>
              </w:rPr>
              <w:t>Wartość bazowa lub wartość odniesienia</w:t>
            </w:r>
          </w:p>
        </w:tc>
        <w:tc>
          <w:tcPr>
            <w:tcW w:w="480" w:type="pct"/>
            <w:textDirection w:val="btLr"/>
            <w:vAlign w:val="center"/>
          </w:tcPr>
          <w:p w14:paraId="26ADD862" w14:textId="77777777" w:rsidR="005F6ACE" w:rsidRPr="003A6407" w:rsidRDefault="005F6ACE" w:rsidP="006E5757">
            <w:pPr>
              <w:spacing w:before="120" w:after="120" w:line="240" w:lineRule="auto"/>
              <w:ind w:left="113" w:right="113"/>
              <w:jc w:val="center"/>
              <w:rPr>
                <w:b/>
                <w:noProof/>
                <w:sz w:val="16"/>
                <w:szCs w:val="16"/>
              </w:rPr>
            </w:pPr>
            <w:r w:rsidRPr="003A6407">
              <w:rPr>
                <w:b/>
                <w:noProof/>
                <w:sz w:val="16"/>
                <w:szCs w:val="16"/>
              </w:rPr>
              <w:t>Rok referencyjny</w:t>
            </w:r>
          </w:p>
        </w:tc>
        <w:tc>
          <w:tcPr>
            <w:tcW w:w="421" w:type="pct"/>
            <w:shd w:val="clear" w:color="auto" w:fill="auto"/>
            <w:vAlign w:val="center"/>
          </w:tcPr>
          <w:p w14:paraId="7652F885" w14:textId="77777777" w:rsidR="005F6ACE" w:rsidRPr="003A6407" w:rsidRDefault="005F6ACE" w:rsidP="006E5757">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68150D1C" w14:textId="77777777" w:rsidR="005F6ACE" w:rsidRPr="003A6407" w:rsidRDefault="005F6ACE" w:rsidP="006E5757">
            <w:pPr>
              <w:spacing w:before="120" w:after="120" w:line="240" w:lineRule="auto"/>
              <w:jc w:val="center"/>
              <w:rPr>
                <w:b/>
                <w:noProof/>
                <w:sz w:val="16"/>
                <w:szCs w:val="16"/>
              </w:rPr>
            </w:pPr>
          </w:p>
        </w:tc>
        <w:tc>
          <w:tcPr>
            <w:tcW w:w="420" w:type="pct"/>
            <w:shd w:val="clear" w:color="auto" w:fill="auto"/>
            <w:vAlign w:val="center"/>
          </w:tcPr>
          <w:p w14:paraId="0AA4E2B0" w14:textId="77777777" w:rsidR="005F6ACE" w:rsidRPr="003A6407" w:rsidRDefault="005F6ACE" w:rsidP="006E5757">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261" w:type="pct"/>
            <w:vAlign w:val="center"/>
          </w:tcPr>
          <w:p w14:paraId="7299228C" w14:textId="77777777" w:rsidR="005F6ACE" w:rsidRPr="003A6407" w:rsidRDefault="005F6ACE" w:rsidP="006E5757">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5F6ACE" w:rsidRPr="003A6407" w14:paraId="37368C07" w14:textId="77777777" w:rsidTr="005F6ACE">
        <w:trPr>
          <w:trHeight w:val="340"/>
        </w:trPr>
        <w:tc>
          <w:tcPr>
            <w:tcW w:w="348" w:type="pct"/>
            <w:vAlign w:val="center"/>
          </w:tcPr>
          <w:p w14:paraId="5F59FD00" w14:textId="77777777" w:rsidR="005F6ACE" w:rsidRDefault="005F6ACE" w:rsidP="005F6ACE">
            <w:pPr>
              <w:spacing w:before="120" w:after="120" w:line="240" w:lineRule="auto"/>
              <w:jc w:val="center"/>
              <w:rPr>
                <w:noProof/>
                <w:sz w:val="16"/>
                <w:szCs w:val="16"/>
              </w:rPr>
            </w:pPr>
            <w:r w:rsidRPr="003A6407">
              <w:rPr>
                <w:noProof/>
                <w:sz w:val="16"/>
                <w:szCs w:val="16"/>
              </w:rPr>
              <w:t>2 (vii)</w:t>
            </w:r>
          </w:p>
          <w:p w14:paraId="46CD6137" w14:textId="1A4BD32D" w:rsidR="005F6ACE" w:rsidRPr="003A6407" w:rsidRDefault="005F6ACE" w:rsidP="005F6ACE">
            <w:pPr>
              <w:spacing w:before="120" w:after="120" w:line="240" w:lineRule="auto"/>
              <w:jc w:val="center"/>
              <w:rPr>
                <w:noProof/>
                <w:sz w:val="16"/>
                <w:szCs w:val="16"/>
              </w:rPr>
            </w:pPr>
            <w:r>
              <w:rPr>
                <w:noProof/>
                <w:sz w:val="16"/>
                <w:szCs w:val="16"/>
              </w:rPr>
              <w:t>2.7</w:t>
            </w:r>
          </w:p>
        </w:tc>
        <w:tc>
          <w:tcPr>
            <w:tcW w:w="379" w:type="pct"/>
            <w:vAlign w:val="center"/>
          </w:tcPr>
          <w:p w14:paraId="5017557E" w14:textId="63886ED8" w:rsidR="005F6ACE" w:rsidRPr="003A6407" w:rsidRDefault="005F6ACE" w:rsidP="005F6ACE">
            <w:pPr>
              <w:spacing w:before="120" w:after="120" w:line="240" w:lineRule="auto"/>
              <w:jc w:val="center"/>
              <w:rPr>
                <w:noProof/>
                <w:sz w:val="16"/>
                <w:szCs w:val="16"/>
              </w:rPr>
            </w:pPr>
            <w:r w:rsidRPr="003A6407">
              <w:rPr>
                <w:noProof/>
                <w:sz w:val="16"/>
                <w:szCs w:val="16"/>
              </w:rPr>
              <w:t>EFRR</w:t>
            </w:r>
          </w:p>
        </w:tc>
        <w:tc>
          <w:tcPr>
            <w:tcW w:w="428" w:type="pct"/>
            <w:vAlign w:val="center"/>
          </w:tcPr>
          <w:p w14:paraId="2A37ACCC" w14:textId="26EA47AB" w:rsidR="005F6ACE" w:rsidRPr="003A6407" w:rsidRDefault="005F6ACE" w:rsidP="005F6ACE">
            <w:pPr>
              <w:spacing w:before="120" w:after="120" w:line="240" w:lineRule="auto"/>
              <w:jc w:val="center"/>
              <w:rPr>
                <w:noProof/>
                <w:sz w:val="16"/>
                <w:szCs w:val="16"/>
              </w:rPr>
            </w:pPr>
            <w:r w:rsidRPr="003A6407">
              <w:rPr>
                <w:noProof/>
                <w:sz w:val="16"/>
                <w:szCs w:val="16"/>
              </w:rPr>
              <w:t>przejściowy</w:t>
            </w:r>
          </w:p>
        </w:tc>
        <w:tc>
          <w:tcPr>
            <w:tcW w:w="277" w:type="pct"/>
            <w:vAlign w:val="center"/>
          </w:tcPr>
          <w:p w14:paraId="34ECE8C6" w14:textId="28E660EA" w:rsidR="005F6ACE" w:rsidRPr="003A6407" w:rsidRDefault="005F6ACE" w:rsidP="005F6ACE">
            <w:pPr>
              <w:spacing w:before="120" w:after="120" w:line="240" w:lineRule="auto"/>
              <w:jc w:val="center"/>
              <w:rPr>
                <w:noProof/>
                <w:sz w:val="16"/>
                <w:szCs w:val="16"/>
              </w:rPr>
            </w:pPr>
            <w:r>
              <w:rPr>
                <w:noProof/>
                <w:sz w:val="16"/>
                <w:szCs w:val="16"/>
              </w:rPr>
              <w:t>DOL1R</w:t>
            </w:r>
          </w:p>
        </w:tc>
        <w:tc>
          <w:tcPr>
            <w:tcW w:w="1083" w:type="pct"/>
            <w:shd w:val="clear" w:color="auto" w:fill="auto"/>
            <w:vAlign w:val="center"/>
          </w:tcPr>
          <w:p w14:paraId="7FAAC586" w14:textId="68F06590" w:rsidR="005F6ACE" w:rsidRPr="003A6407" w:rsidRDefault="005F6ACE" w:rsidP="005F6ACE">
            <w:pPr>
              <w:keepNext/>
              <w:keepLines/>
              <w:spacing w:before="200" w:after="0"/>
              <w:jc w:val="center"/>
              <w:outlineLvl w:val="2"/>
              <w:rPr>
                <w:rFonts w:eastAsiaTheme="majorEastAsia" w:cstheme="majorBidi"/>
                <w:b/>
                <w:bCs/>
                <w:noProof/>
                <w:sz w:val="16"/>
                <w:szCs w:val="16"/>
              </w:rPr>
            </w:pPr>
            <w:bookmarkStart w:id="153" w:name="_Toc120464408"/>
            <w:r w:rsidRPr="003A6407">
              <w:rPr>
                <w:rFonts w:asciiTheme="minorHAnsi" w:eastAsia="Times New Roman" w:hAnsiTheme="minorHAnsi" w:cstheme="minorHAnsi"/>
                <w:bCs/>
                <w:noProof/>
                <w:sz w:val="16"/>
                <w:szCs w:val="16"/>
              </w:rPr>
              <w:t>Powierzchnia wspartych obszarów chronionych</w:t>
            </w:r>
            <w:bookmarkEnd w:id="153"/>
          </w:p>
        </w:tc>
        <w:tc>
          <w:tcPr>
            <w:tcW w:w="422" w:type="pct"/>
            <w:vAlign w:val="center"/>
          </w:tcPr>
          <w:p w14:paraId="55689E77" w14:textId="730465A5" w:rsidR="005F6ACE" w:rsidRPr="003A6407" w:rsidRDefault="005F6ACE" w:rsidP="005F6ACE">
            <w:pPr>
              <w:spacing w:before="120" w:after="120" w:line="240" w:lineRule="auto"/>
              <w:jc w:val="center"/>
              <w:rPr>
                <w:noProof/>
                <w:sz w:val="16"/>
                <w:szCs w:val="16"/>
              </w:rPr>
            </w:pPr>
            <w:r>
              <w:rPr>
                <w:noProof/>
                <w:sz w:val="16"/>
                <w:szCs w:val="16"/>
              </w:rPr>
              <w:t>ha</w:t>
            </w:r>
          </w:p>
        </w:tc>
        <w:tc>
          <w:tcPr>
            <w:tcW w:w="481" w:type="pct"/>
            <w:vAlign w:val="center"/>
          </w:tcPr>
          <w:p w14:paraId="29940D94" w14:textId="77777777" w:rsidR="005F6ACE" w:rsidRPr="003A6407" w:rsidRDefault="005F6ACE" w:rsidP="005F6ACE">
            <w:pPr>
              <w:spacing w:before="120" w:after="120" w:line="240" w:lineRule="auto"/>
              <w:jc w:val="center"/>
              <w:rPr>
                <w:noProof/>
                <w:sz w:val="16"/>
                <w:szCs w:val="16"/>
              </w:rPr>
            </w:pPr>
            <w:r w:rsidRPr="003A6407">
              <w:rPr>
                <w:noProof/>
                <w:sz w:val="16"/>
                <w:szCs w:val="16"/>
              </w:rPr>
              <w:t>0,00</w:t>
            </w:r>
          </w:p>
        </w:tc>
        <w:tc>
          <w:tcPr>
            <w:tcW w:w="480" w:type="pct"/>
            <w:shd w:val="clear" w:color="auto" w:fill="auto"/>
            <w:vAlign w:val="center"/>
          </w:tcPr>
          <w:p w14:paraId="2FD9B225" w14:textId="77777777" w:rsidR="005F6ACE" w:rsidRPr="003A6407" w:rsidRDefault="005F6ACE" w:rsidP="005F6ACE">
            <w:pPr>
              <w:spacing w:before="120" w:after="120" w:line="240" w:lineRule="auto"/>
              <w:jc w:val="center"/>
              <w:rPr>
                <w:noProof/>
                <w:sz w:val="16"/>
                <w:szCs w:val="16"/>
              </w:rPr>
            </w:pPr>
            <w:r w:rsidRPr="003A6407">
              <w:rPr>
                <w:noProof/>
                <w:sz w:val="16"/>
                <w:szCs w:val="16"/>
              </w:rPr>
              <w:t>2022</w:t>
            </w:r>
          </w:p>
        </w:tc>
        <w:tc>
          <w:tcPr>
            <w:tcW w:w="421" w:type="pct"/>
            <w:shd w:val="clear" w:color="auto" w:fill="auto"/>
            <w:vAlign w:val="center"/>
          </w:tcPr>
          <w:p w14:paraId="4D9404F1" w14:textId="150FEB94" w:rsidR="005F6ACE" w:rsidRPr="003A6407" w:rsidRDefault="00895978" w:rsidP="005F6ACE">
            <w:pPr>
              <w:spacing w:before="120" w:after="120" w:line="240" w:lineRule="auto"/>
              <w:jc w:val="center"/>
              <w:rPr>
                <w:noProof/>
                <w:sz w:val="16"/>
                <w:szCs w:val="16"/>
              </w:rPr>
            </w:pPr>
            <w:r>
              <w:rPr>
                <w:noProof/>
                <w:sz w:val="16"/>
                <w:szCs w:val="16"/>
              </w:rPr>
              <w:t>  2 083</w:t>
            </w:r>
          </w:p>
        </w:tc>
        <w:tc>
          <w:tcPr>
            <w:tcW w:w="420" w:type="pct"/>
            <w:vAlign w:val="center"/>
          </w:tcPr>
          <w:p w14:paraId="428E60AD" w14:textId="77777777" w:rsidR="005F6ACE" w:rsidRPr="003A6407" w:rsidRDefault="005F6ACE" w:rsidP="005F6ACE">
            <w:pPr>
              <w:spacing w:before="120" w:after="120" w:line="240" w:lineRule="auto"/>
              <w:jc w:val="center"/>
              <w:rPr>
                <w:noProof/>
                <w:sz w:val="16"/>
                <w:szCs w:val="16"/>
              </w:rPr>
            </w:pPr>
            <w:r w:rsidRPr="003A6407">
              <w:rPr>
                <w:noProof/>
                <w:sz w:val="16"/>
                <w:szCs w:val="16"/>
              </w:rPr>
              <w:t>SL</w:t>
            </w:r>
          </w:p>
        </w:tc>
        <w:tc>
          <w:tcPr>
            <w:tcW w:w="261" w:type="pct"/>
            <w:vAlign w:val="center"/>
          </w:tcPr>
          <w:p w14:paraId="6B1F9F7E" w14:textId="77777777" w:rsidR="005F6ACE" w:rsidRPr="003A6407" w:rsidRDefault="005F6ACE" w:rsidP="005F6ACE">
            <w:pPr>
              <w:spacing w:before="120" w:after="120" w:line="240" w:lineRule="auto"/>
              <w:jc w:val="center"/>
              <w:rPr>
                <w:noProof/>
                <w:sz w:val="16"/>
                <w:szCs w:val="16"/>
              </w:rPr>
            </w:pPr>
          </w:p>
        </w:tc>
      </w:tr>
      <w:tr w:rsidR="005F6ACE" w:rsidRPr="003A6407" w14:paraId="3FB8D450" w14:textId="77777777" w:rsidTr="006E5757">
        <w:trPr>
          <w:trHeight w:val="340"/>
        </w:trPr>
        <w:tc>
          <w:tcPr>
            <w:tcW w:w="5000" w:type="pct"/>
            <w:gridSpan w:val="11"/>
          </w:tcPr>
          <w:p w14:paraId="70242619" w14:textId="77777777" w:rsidR="005F6ACE" w:rsidRDefault="005F6ACE" w:rsidP="005F6ACE">
            <w:pPr>
              <w:spacing w:before="60" w:after="60" w:line="240" w:lineRule="auto"/>
              <w:jc w:val="both"/>
            </w:pPr>
            <w:r>
              <w:t>Metodologia:</w:t>
            </w:r>
          </w:p>
          <w:p w14:paraId="35D67A41" w14:textId="62180046" w:rsidR="005F6ACE" w:rsidRDefault="005F6ACE" w:rsidP="005F6ACE">
            <w:pPr>
              <w:spacing w:before="60" w:after="60" w:line="240" w:lineRule="auto"/>
              <w:jc w:val="both"/>
            </w:pPr>
            <w:r>
              <w:t xml:space="preserve">Wskaźnik realizuje kod interwencji 079 Ochrona przyrody i różnorodności biologicznej, dziedzictwo naturalne i zasoby naturalne, zielona i niebieska infrastruktura w kwocie </w:t>
            </w:r>
            <w:r w:rsidR="00895978">
              <w:t>113 531 427</w:t>
            </w:r>
            <w:r>
              <w:t xml:space="preserve">,00 EUR. Uwzględniając (odejmując) koszty uproszczone na poziomie 7%, wartość alokacji realizującej dany wskaźnik wynosi </w:t>
            </w:r>
            <w:r w:rsidR="00895978">
              <w:t>105 584 227</w:t>
            </w:r>
            <w:r>
              <w:t xml:space="preserve"> EUR. Założono, że 70% alokacji będzie dotyczyło bezpośrednio przedmiotowego wskaźnika, natomiast pozostałe 30% będzie dotyczyć interwencji w zakresie m.in. zielonej i niebieskiej infrastruktury rozumianej jako naturalne i półnaturalne obszary, dostarczające szerokiego wachlarza usług ekosystemowych (w tym np. zielone dachy, przystanki, ściany i fasady, rozwój terenów zielonych, w tym parki i lasy, naturalne zbiorniki wodne, stawy, niecki, rowy, likwidacja powierzchni nieprzepuszczalnych) na terenach miejskich i ich obszarach funkcjonalnych. W związku z powyższym alokacja wynosi </w:t>
            </w:r>
            <w:r w:rsidR="00895978">
              <w:t>73 908 959</w:t>
            </w:r>
            <w:r>
              <w:t xml:space="preserve"> EUR.</w:t>
            </w:r>
          </w:p>
          <w:p w14:paraId="001CDC1F" w14:textId="77777777" w:rsidR="005F6ACE" w:rsidRDefault="005F6ACE" w:rsidP="005F6ACE">
            <w:pPr>
              <w:spacing w:before="60" w:after="60" w:line="240" w:lineRule="auto"/>
              <w:jc w:val="both"/>
            </w:pPr>
            <w:r>
              <w:t xml:space="preserve">Historyczny koszt jednostkowy na bazie doświadczeń z perspektywy 2014-2020 wynosi 96 484,54 PLN. Koszt jednostkowy został skorygowany w oparciu o wartość inflacji na poziomie 15% i wynosi 110 957,22 PLN, a wartość dofinansowania na poziomie 70% wynosi 77 670,05 PLN; biorąc pod uwagę kurs EUR na poziomie 4,45 koszt jednostkowy wynosi 17 453,94 EUR; na podstawie tych danych wyliczono wartość wskaźnika. Jednocześnie na podstawie </w:t>
            </w:r>
            <w:proofErr w:type="spellStart"/>
            <w:r>
              <w:t>ryzyk</w:t>
            </w:r>
            <w:proofErr w:type="spellEnd"/>
            <w:r>
              <w:t xml:space="preserve"> związanych z realizacją tego typu projektów określono wskaźnik kompensacji:</w:t>
            </w:r>
          </w:p>
          <w:p w14:paraId="6E352FD4" w14:textId="77777777" w:rsidR="005F6ACE" w:rsidRDefault="005F6ACE" w:rsidP="005F6ACE">
            <w:pPr>
              <w:spacing w:before="60" w:after="60" w:line="240" w:lineRule="auto"/>
              <w:jc w:val="both"/>
            </w:pPr>
          </w:p>
          <w:p w14:paraId="0978DC6B" w14:textId="77777777" w:rsidR="005F6ACE" w:rsidRDefault="005F6ACE" w:rsidP="005F6ACE">
            <w:pPr>
              <w:spacing w:before="60" w:after="60" w:line="240" w:lineRule="auto"/>
              <w:jc w:val="both"/>
            </w:pPr>
            <w:r>
              <w:t>R: [(2*25)+(3*68)]/5 = 50,8%</w:t>
            </w:r>
          </w:p>
          <w:p w14:paraId="7CACB53B" w14:textId="77777777" w:rsidR="005F6ACE" w:rsidRDefault="005F6ACE" w:rsidP="005F6ACE">
            <w:pPr>
              <w:spacing w:before="60" w:after="60" w:line="240" w:lineRule="auto"/>
              <w:jc w:val="both"/>
            </w:pPr>
          </w:p>
          <w:p w14:paraId="08B199C3" w14:textId="77777777" w:rsidR="005F6ACE" w:rsidRDefault="005F6ACE" w:rsidP="005F6ACE">
            <w:pPr>
              <w:spacing w:before="60" w:after="60" w:line="240" w:lineRule="auto"/>
              <w:jc w:val="both"/>
            </w:pPr>
            <w:r>
              <w:t>Wyliczenie:</w:t>
            </w:r>
          </w:p>
          <w:p w14:paraId="20649519" w14:textId="2B0B0D6C" w:rsidR="005F6ACE" w:rsidRDefault="00895978" w:rsidP="005F6ACE">
            <w:pPr>
              <w:spacing w:before="60" w:after="60" w:line="240" w:lineRule="auto"/>
              <w:jc w:val="both"/>
            </w:pPr>
            <w:r>
              <w:lastRenderedPageBreak/>
              <w:t>73 908 959</w:t>
            </w:r>
            <w:r w:rsidR="005F6ACE">
              <w:t xml:space="preserve">/ 17 453,94 * (1-0,508) = </w:t>
            </w:r>
            <w:r>
              <w:t>2 083</w:t>
            </w:r>
            <w:r w:rsidR="005F6ACE">
              <w:t xml:space="preserve"> ha</w:t>
            </w:r>
          </w:p>
          <w:p w14:paraId="4DB8AFF5" w14:textId="77777777" w:rsidR="005F6ACE" w:rsidRDefault="005F6ACE" w:rsidP="005F6ACE">
            <w:pPr>
              <w:spacing w:before="60" w:after="60" w:line="240" w:lineRule="auto"/>
              <w:jc w:val="both"/>
            </w:pPr>
          </w:p>
          <w:p w14:paraId="4143159B" w14:textId="77777777" w:rsidR="005F6ACE" w:rsidRDefault="005F6ACE" w:rsidP="005F6ACE">
            <w:pPr>
              <w:spacing w:before="60" w:after="60" w:line="240" w:lineRule="auto"/>
              <w:jc w:val="both"/>
            </w:pPr>
            <w:r>
              <w:t>Należy zwrócić szczególną uwagę na następujące czynniki ryzyka, które może mogą mieć wpływ na poziom osiągnięcia założonej wartości docelowej:</w:t>
            </w:r>
          </w:p>
          <w:p w14:paraId="45A0BFB6" w14:textId="77777777" w:rsidR="005F6ACE" w:rsidRDefault="005F6ACE" w:rsidP="005F6ACE">
            <w:pPr>
              <w:spacing w:before="60" w:after="60" w:line="240" w:lineRule="auto"/>
              <w:jc w:val="both"/>
            </w:pPr>
            <w: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poważna)</w:t>
            </w:r>
          </w:p>
          <w:p w14:paraId="42E7923E" w14:textId="77777777" w:rsidR="005F6ACE" w:rsidRDefault="005F6ACE" w:rsidP="005F6ACE">
            <w:pPr>
              <w:spacing w:before="60" w:after="60" w:line="240" w:lineRule="auto"/>
              <w:jc w:val="both"/>
            </w:pPr>
            <w: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umiarkowana)</w:t>
            </w:r>
          </w:p>
          <w:p w14:paraId="48E2284B" w14:textId="77777777" w:rsidR="005F6ACE" w:rsidRDefault="005F6ACE" w:rsidP="005F6ACE">
            <w:pPr>
              <w:spacing w:before="60" w:after="60" w:line="240" w:lineRule="auto"/>
              <w:jc w:val="both"/>
            </w:pPr>
            <w:r>
              <w:t>•zawieszenie płatności przez KE dla danej osi priorytetowej; (istotność: umiarkowana)</w:t>
            </w:r>
          </w:p>
          <w:p w14:paraId="2730A1EF" w14:textId="77777777" w:rsidR="005F6ACE" w:rsidRDefault="005F6ACE" w:rsidP="005F6ACE">
            <w:pPr>
              <w:spacing w:before="60" w:after="60" w:line="240" w:lineRule="auto"/>
              <w:jc w:val="both"/>
            </w:pPr>
            <w:r>
              <w:t>•problemy z zabezpieczeniem wkładu własnego wnioskodawcy; (istotność: poważna)</w:t>
            </w:r>
          </w:p>
          <w:p w14:paraId="0FC11BC1" w14:textId="7197CC47" w:rsidR="005F6ACE" w:rsidRDefault="005F6ACE" w:rsidP="005F6ACE">
            <w:pPr>
              <w:spacing w:before="60" w:after="60" w:line="240" w:lineRule="auto"/>
              <w:jc w:val="both"/>
            </w:pPr>
            <w:r>
              <w:t>•opóźnienia, bądź niewykonanie projektu związane z procedurami wynikającymi z zamówień publicznych oraz z przygotowania projektu do realizacji inwestycji; (istotność: poważna).</w:t>
            </w:r>
          </w:p>
          <w:p w14:paraId="6784A5FE" w14:textId="77777777" w:rsidR="00882F3A" w:rsidRDefault="00882F3A" w:rsidP="005F6ACE">
            <w:pPr>
              <w:spacing w:before="60" w:after="60" w:line="240" w:lineRule="auto"/>
              <w:jc w:val="both"/>
            </w:pPr>
          </w:p>
          <w:p w14:paraId="5D179165" w14:textId="77777777" w:rsidR="00882F3A" w:rsidRDefault="00882F3A" w:rsidP="00882F3A">
            <w:pPr>
              <w:spacing w:before="60" w:after="60" w:line="240" w:lineRule="auto"/>
              <w:jc w:val="both"/>
            </w:pPr>
            <w:r>
              <w:t xml:space="preserve">Metodologia pomiaru wskaźnika </w:t>
            </w:r>
          </w:p>
          <w:p w14:paraId="6C31AF39" w14:textId="77777777" w:rsidR="00882F3A" w:rsidRDefault="00882F3A" w:rsidP="00882F3A">
            <w:pPr>
              <w:spacing w:before="60" w:after="60" w:line="240" w:lineRule="auto"/>
              <w:jc w:val="both"/>
            </w:pPr>
            <w:r>
              <w:t xml:space="preserve">Wskaźnik mierzy łączną powierzchnię obszarów chronionych wspartych w ramach projektów. </w:t>
            </w:r>
          </w:p>
          <w:p w14:paraId="491C0E40" w14:textId="77777777" w:rsidR="00882F3A" w:rsidRDefault="00882F3A" w:rsidP="00882F3A">
            <w:pPr>
              <w:spacing w:before="60" w:after="60" w:line="240" w:lineRule="auto"/>
              <w:jc w:val="both"/>
            </w:pPr>
            <w:r>
              <w:t>Do obszarów chronionych zalicza się: parki narodowe, rezerwaty przyrody, parki krajobrazowe, obszary chronionego krajobrazu, obszary Natura 2000, pomniki przyrody, stanowiska dokumentacyjne, użytki ekologiczne, zespoły przyrodniczo-krajobrazowe oraz korytarze ekologiczne.</w:t>
            </w:r>
          </w:p>
          <w:p w14:paraId="545B807F" w14:textId="77777777" w:rsidR="00882F3A" w:rsidRDefault="00882F3A" w:rsidP="00882F3A">
            <w:pPr>
              <w:spacing w:before="60" w:after="60" w:line="240" w:lineRule="auto"/>
              <w:jc w:val="both"/>
            </w:pPr>
            <w:r>
              <w:t xml:space="preserve">Powierzchnia wspartych obszarów liczona jest jako całkowita powierzchnia obszaru chronionego objętego wsparciem w ramach projektu. </w:t>
            </w:r>
          </w:p>
          <w:p w14:paraId="555D5A68" w14:textId="77777777" w:rsidR="00882F3A" w:rsidRDefault="00882F3A" w:rsidP="00882F3A">
            <w:pPr>
              <w:spacing w:before="60" w:after="60" w:line="240" w:lineRule="auto"/>
              <w:jc w:val="both"/>
            </w:pPr>
            <w:r>
              <w:t xml:space="preserve">W przypadku, w którym projekt realizowany jest jedynie na wycinku obszaru chronionego (np. odtworzenia siedliska), do wskaźnika należy wliczyć całkowitą powierzchnię obszaru chronionego (np. parku krajobrazowego). </w:t>
            </w:r>
          </w:p>
          <w:p w14:paraId="7962328D" w14:textId="77777777" w:rsidR="00882F3A" w:rsidRDefault="00882F3A" w:rsidP="00882F3A">
            <w:pPr>
              <w:spacing w:before="60" w:after="60" w:line="240" w:lineRule="auto"/>
              <w:jc w:val="both"/>
            </w:pPr>
            <w:r>
              <w:t xml:space="preserve">W przypadku, w którym projekt realizuje kilka obszarowych form ochrony przyrody, należy wyliczyć wartość powierzchni bez dublowania się poszczególnych form. </w:t>
            </w:r>
          </w:p>
          <w:p w14:paraId="473A4535" w14:textId="77777777" w:rsidR="00882F3A" w:rsidRDefault="00882F3A" w:rsidP="00882F3A">
            <w:pPr>
              <w:spacing w:before="60" w:after="60" w:line="240" w:lineRule="auto"/>
              <w:jc w:val="both"/>
            </w:pPr>
            <w:r>
              <w:t>Do form wsparcia uwzględnionych przez wskaźnik zalicza się:</w:t>
            </w:r>
          </w:p>
          <w:p w14:paraId="217DD101" w14:textId="77777777" w:rsidR="00882F3A" w:rsidRDefault="00882F3A" w:rsidP="00882F3A">
            <w:pPr>
              <w:spacing w:before="60" w:after="60" w:line="240" w:lineRule="auto"/>
              <w:jc w:val="both"/>
            </w:pPr>
            <w:r>
              <w:t xml:space="preserve">1)  czynną ochronę przyrody, w tym utrzymania i/lub przywrócenia do właściwego stanu siedlisk przyrodniczych, a także innych zasobów przyrody; </w:t>
            </w:r>
          </w:p>
          <w:p w14:paraId="34DB41F9" w14:textId="72C7E987" w:rsidR="00882F3A" w:rsidRDefault="00882F3A" w:rsidP="00882F3A">
            <w:pPr>
              <w:spacing w:before="60" w:after="60" w:line="240" w:lineRule="auto"/>
              <w:jc w:val="both"/>
            </w:pPr>
            <w:r>
              <w:t>2)  zmniejszeni presji turystycznej poprzez odpowiednią kanalizację ruchu turystycznego.</w:t>
            </w:r>
          </w:p>
          <w:p w14:paraId="1C2E8534" w14:textId="5EC53309" w:rsidR="005F6ACE" w:rsidRPr="003A6407" w:rsidRDefault="005F6ACE" w:rsidP="005F6ACE">
            <w:pPr>
              <w:spacing w:before="60" w:after="60" w:line="240" w:lineRule="auto"/>
              <w:jc w:val="both"/>
            </w:pPr>
          </w:p>
        </w:tc>
      </w:tr>
    </w:tbl>
    <w:p w14:paraId="7626ABB4" w14:textId="77777777" w:rsidR="005F6ACE" w:rsidRPr="005F6ACE" w:rsidRDefault="005F6ACE" w:rsidP="005F6ACE"/>
    <w:p w14:paraId="74FF4519" w14:textId="07C9242F" w:rsidR="00A91801" w:rsidRPr="00DD2CE6" w:rsidRDefault="00A91801" w:rsidP="003516C6">
      <w:pPr>
        <w:pStyle w:val="Nagwek1"/>
      </w:pPr>
      <w:bookmarkStart w:id="154" w:name="_Toc120464409"/>
      <w:r w:rsidRPr="003516C6">
        <w:rPr>
          <w:lang w:val="pl-PL"/>
        </w:rPr>
        <w:lastRenderedPageBreak/>
        <w:t>PRIORYTET 3: FUNDUSZE EUROPEJSKIE NA RZECZ MOBILNOŚCI MIEJSKIEJ DOLNEGO ŚLĄSKA (CP2 EFRR)</w:t>
      </w:r>
      <w:bookmarkEnd w:id="154"/>
    </w:p>
    <w:p w14:paraId="37D2F3F1" w14:textId="065A4783" w:rsidR="00B86E36" w:rsidRPr="003A6407" w:rsidRDefault="00B86E36" w:rsidP="00BC005B">
      <w:pPr>
        <w:pStyle w:val="Nagwek2"/>
        <w:spacing w:after="200"/>
      </w:pPr>
      <w:bookmarkStart w:id="155" w:name="_Toc120464410"/>
      <w:r w:rsidRPr="003A6407">
        <w:t xml:space="preserve">CEL SZCZEGÓŁOWY: </w:t>
      </w:r>
      <w:bookmarkStart w:id="156" w:name="_Toc97792263"/>
      <w:r w:rsidR="00980C2E" w:rsidRPr="00481640">
        <w:rPr>
          <w:color w:val="000000"/>
          <w:szCs w:val="28"/>
        </w:rPr>
        <w:t>RSO2.8. Wspieranie zrównoważonej multimodalnej mobilności miejskiej jako elementu transformacji w kierunku gospodarki zeroemisyjnej (EFRR)</w:t>
      </w:r>
      <w:bookmarkEnd w:id="155"/>
      <w:bookmarkEnd w:id="156"/>
    </w:p>
    <w:p w14:paraId="32E52EBB" w14:textId="20ACAC97" w:rsidR="00B86E36" w:rsidRDefault="00B86E36" w:rsidP="00BC005B">
      <w:pPr>
        <w:pStyle w:val="Nagwek2"/>
        <w:spacing w:after="200"/>
      </w:pPr>
      <w:bookmarkStart w:id="157" w:name="_Toc120464411"/>
      <w:r w:rsidRPr="003A6407">
        <w:t>Wskaźniki produktu</w:t>
      </w:r>
      <w:bookmarkEnd w:id="157"/>
    </w:p>
    <w:p w14:paraId="0E8C6925"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13C77B8F"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BAA603F" w14:textId="09B18F14"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2</w:t>
            </w:r>
          </w:p>
          <w:p w14:paraId="123B266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23C3AB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BA66D41"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BA357A"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4A2522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366AE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CB0C7F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4F3F53F"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E14334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3800DA6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4D71E2EE"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6DBE421" w14:textId="1E16393F" w:rsidR="00EE0C5C" w:rsidRPr="00B44649" w:rsidRDefault="00EE0C5C" w:rsidP="002A48C3">
            <w:pPr>
              <w:shd w:val="clear" w:color="auto" w:fill="FFFFFF"/>
              <w:spacing w:before="120" w:after="120" w:line="240" w:lineRule="auto"/>
              <w:jc w:val="center"/>
              <w:rPr>
                <w:rFonts w:eastAsia="Calibri" w:cs="Times New Roman"/>
                <w:b/>
                <w:noProof/>
                <w:sz w:val="16"/>
                <w:szCs w:val="16"/>
              </w:rPr>
            </w:pPr>
          </w:p>
          <w:p w14:paraId="1CCBB542" w14:textId="34022565"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2.8</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DF574B3"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EFRR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C8ADB0E"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0294BB" w14:textId="620EBD20" w:rsidR="00EE0C5C" w:rsidRPr="00B44649"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B44649">
              <w:rPr>
                <w:rFonts w:eastAsia="Calibri" w:cs="Times New Roman"/>
                <w:b/>
                <w:noProof/>
                <w:sz w:val="16"/>
                <w:szCs w:val="16"/>
              </w:rPr>
              <w:t>RCO7</w:t>
            </w:r>
            <w:r>
              <w:rPr>
                <w:rFonts w:eastAsia="Calibri" w:cs="Times New Roman"/>
                <w:b/>
                <w:noProof/>
                <w:sz w:val="16"/>
                <w:szCs w:val="16"/>
              </w:rPr>
              <w:t>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C10B24F"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7955B83"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7E4901F" w14:textId="199B5EC0" w:rsidR="00EE0C5C" w:rsidRPr="00B44649" w:rsidRDefault="00CA2273"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7D1D83"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679E5CE" w14:textId="473380F8"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EE0C5C">
              <w:rPr>
                <w:rFonts w:eastAsia="Calibri" w:cs="Times New Roman"/>
                <w:b/>
                <w:noProof/>
                <w:sz w:val="16"/>
                <w:szCs w:val="16"/>
              </w:rPr>
              <w:t>288</w:t>
            </w:r>
            <w:r w:rsidR="00263BE7">
              <w:rPr>
                <w:rFonts w:eastAsia="Calibri" w:cs="Times New Roman"/>
                <w:b/>
                <w:noProof/>
                <w:sz w:val="16"/>
                <w:szCs w:val="16"/>
              </w:rPr>
              <w:t xml:space="preserve"> </w:t>
            </w:r>
            <w:r w:rsidRPr="00EE0C5C">
              <w:rPr>
                <w:rFonts w:eastAsia="Calibri" w:cs="Times New Roman"/>
                <w:b/>
                <w:noProof/>
                <w:sz w:val="16"/>
                <w:szCs w:val="16"/>
              </w:rPr>
              <w:t>043</w:t>
            </w:r>
          </w:p>
        </w:tc>
      </w:tr>
      <w:tr w:rsidR="00EE0C5C" w:rsidRPr="003A6407" w14:paraId="0361F086" w14:textId="77777777" w:rsidTr="002A48C3">
        <w:trPr>
          <w:trHeight w:val="340"/>
        </w:trPr>
        <w:tc>
          <w:tcPr>
            <w:tcW w:w="5000" w:type="pct"/>
            <w:gridSpan w:val="8"/>
            <w:shd w:val="clear" w:color="auto" w:fill="auto"/>
          </w:tcPr>
          <w:p w14:paraId="251BAF29"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321B848C" w14:textId="2AFD552A"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64B8C1BA"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1EECF8BB" w14:textId="77777777" w:rsidR="00EE0C5C" w:rsidRPr="003A6407" w:rsidRDefault="00EE0C5C" w:rsidP="002A48C3">
            <w:pPr>
              <w:rPr>
                <w:rFonts w:eastAsia="Calibri"/>
              </w:rPr>
            </w:pPr>
            <w:r w:rsidRPr="003A6407">
              <w:rPr>
                <w:rFonts w:eastAsia="Calibri"/>
              </w:rPr>
              <w:t>- 6 Zintegrowanych Inwestycji Terytorialnych;</w:t>
            </w:r>
          </w:p>
          <w:p w14:paraId="040ED097" w14:textId="77777777" w:rsidR="00EE0C5C" w:rsidRPr="003A6407" w:rsidRDefault="00EE0C5C" w:rsidP="002A48C3">
            <w:pPr>
              <w:rPr>
                <w:rFonts w:eastAsia="Calibri"/>
              </w:rPr>
            </w:pPr>
            <w:r w:rsidRPr="003A6407">
              <w:rPr>
                <w:rFonts w:eastAsia="Calibri"/>
              </w:rPr>
              <w:t>- 1 Inny Instrument Terytorialny;</w:t>
            </w:r>
          </w:p>
          <w:p w14:paraId="14B06508" w14:textId="77777777" w:rsidR="00EE0C5C" w:rsidRDefault="00CA2273" w:rsidP="00D30AFB">
            <w:pPr>
              <w:rPr>
                <w:rFonts w:eastAsia="Calibri"/>
              </w:rPr>
            </w:pPr>
            <w:r w:rsidRPr="00CA2273">
              <w:rPr>
                <w:rFonts w:eastAsia="Calibri"/>
              </w:rPr>
              <w:t xml:space="preserve">Ponieważ całość </w:t>
            </w:r>
            <w:proofErr w:type="spellStart"/>
            <w:r w:rsidRPr="00CA2273">
              <w:rPr>
                <w:rFonts w:eastAsia="Calibri"/>
              </w:rPr>
              <w:t>cs</w:t>
            </w:r>
            <w:proofErr w:type="spellEnd"/>
            <w:r w:rsidRPr="00CA2273">
              <w:rPr>
                <w:rFonts w:eastAsia="Calibri"/>
              </w:rPr>
              <w:t xml:space="preserve"> realizowana jest poprzez instrumenty terytorialne, przyjęcie strategii ZIT/IIT dodatkowo opóźni realizację interwencji. Wobec powyższego zakłada się wartość pośrednią tego wskaźnika na poziomie 0.</w:t>
            </w:r>
          </w:p>
          <w:p w14:paraId="4764DC3D" w14:textId="0F2ABBC5" w:rsidR="00FD3DE2" w:rsidRPr="003A6407" w:rsidRDefault="00FD3DE2" w:rsidP="00D30AFB">
            <w:pPr>
              <w:rPr>
                <w:rFonts w:eastAsia="Calibri" w:cs="Times New Roman"/>
                <w:color w:val="000000"/>
              </w:rPr>
            </w:pPr>
            <w:r w:rsidRPr="00FD3DE2">
              <w:rPr>
                <w:rFonts w:eastAsia="Calibri" w:cs="Times New Roman"/>
                <w:color w:val="000000"/>
              </w:rPr>
              <w:t>W przypadku realizacji różnych projektów na tym samym obszarze liczba ludności będzie się multiplikować, stąd konieczność monitorowania tego wskaźnika na poziomie Strategii ZIT.</w:t>
            </w:r>
          </w:p>
        </w:tc>
      </w:tr>
    </w:tbl>
    <w:p w14:paraId="5F54E86B" w14:textId="77777777" w:rsidR="00EE0C5C" w:rsidRDefault="00EE0C5C" w:rsidP="00EE0C5C"/>
    <w:p w14:paraId="5765435C" w14:textId="77777777" w:rsid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0C587907" w14:textId="77777777" w:rsidTr="002A48C3">
        <w:trPr>
          <w:cantSplit/>
          <w:trHeight w:val="1647"/>
        </w:trPr>
        <w:tc>
          <w:tcPr>
            <w:tcW w:w="451" w:type="pct"/>
            <w:shd w:val="clear" w:color="auto" w:fill="auto"/>
            <w:vAlign w:val="center"/>
          </w:tcPr>
          <w:p w14:paraId="62D60F3D" w14:textId="6A2327B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lastRenderedPageBreak/>
              <w:t xml:space="preserve">CP </w:t>
            </w:r>
            <w:r>
              <w:rPr>
                <w:rFonts w:eastAsia="Calibri" w:cs="Times New Roman"/>
                <w:b/>
                <w:noProof/>
                <w:sz w:val="16"/>
                <w:szCs w:val="16"/>
              </w:rPr>
              <w:t>2</w:t>
            </w:r>
          </w:p>
          <w:p w14:paraId="491389C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0D9A53D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74902FA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5A8223B7"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4DA106E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3592F3E8"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61A3EE4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68F8582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1A5ACBE1"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284C25F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4DE71716" w14:textId="77777777" w:rsidTr="002A48C3">
        <w:trPr>
          <w:trHeight w:val="340"/>
        </w:trPr>
        <w:tc>
          <w:tcPr>
            <w:tcW w:w="451" w:type="pct"/>
            <w:shd w:val="clear" w:color="auto" w:fill="auto"/>
            <w:vAlign w:val="center"/>
          </w:tcPr>
          <w:p w14:paraId="3927B94A" w14:textId="090060C5" w:rsidR="00EE0C5C"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w:t>
            </w:r>
          </w:p>
          <w:p w14:paraId="43FC2B1E" w14:textId="552CEAAB"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2.8</w:t>
            </w:r>
          </w:p>
        </w:tc>
        <w:tc>
          <w:tcPr>
            <w:tcW w:w="494" w:type="pct"/>
            <w:shd w:val="clear" w:color="auto" w:fill="auto"/>
            <w:vAlign w:val="center"/>
          </w:tcPr>
          <w:p w14:paraId="3C0EF291"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247C8842"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58840ED0" w14:textId="6A7A6D1C"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RCO75</w:t>
            </w:r>
          </w:p>
        </w:tc>
        <w:tc>
          <w:tcPr>
            <w:tcW w:w="1348" w:type="pct"/>
            <w:shd w:val="clear" w:color="auto" w:fill="auto"/>
            <w:vAlign w:val="center"/>
          </w:tcPr>
          <w:p w14:paraId="5D391C4D" w14:textId="77777777" w:rsidR="00EE0C5C" w:rsidRPr="003A6407" w:rsidRDefault="00EE0C5C" w:rsidP="002A48C3">
            <w:pPr>
              <w:keepNext/>
              <w:keepLines/>
              <w:spacing w:before="200" w:after="0"/>
              <w:jc w:val="center"/>
              <w:outlineLvl w:val="2"/>
              <w:rPr>
                <w:rFonts w:eastAsia="Calibri" w:cs="Times New Roman"/>
                <w:noProof/>
                <w:sz w:val="16"/>
                <w:szCs w:val="16"/>
              </w:rPr>
            </w:pPr>
            <w:bookmarkStart w:id="158" w:name="_Toc120464412"/>
            <w:r w:rsidRPr="003A6407">
              <w:rPr>
                <w:rFonts w:eastAsia="Times New Roman" w:cs="Calibri"/>
                <w:bCs/>
                <w:noProof/>
                <w:sz w:val="16"/>
                <w:szCs w:val="16"/>
              </w:rPr>
              <w:t>Wspierane strategie zintegrowanego rozwoju terytorialnego</w:t>
            </w:r>
            <w:bookmarkEnd w:id="158"/>
          </w:p>
        </w:tc>
        <w:tc>
          <w:tcPr>
            <w:tcW w:w="549" w:type="pct"/>
            <w:shd w:val="clear" w:color="auto" w:fill="auto"/>
            <w:vAlign w:val="center"/>
          </w:tcPr>
          <w:p w14:paraId="72FF8E89" w14:textId="341DC130" w:rsidR="00EE0C5C" w:rsidRPr="003A6407" w:rsidRDefault="005C5387"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wkłady na rzecz strategii</w:t>
            </w:r>
          </w:p>
        </w:tc>
        <w:tc>
          <w:tcPr>
            <w:tcW w:w="627" w:type="pct"/>
            <w:shd w:val="clear" w:color="auto" w:fill="auto"/>
            <w:vAlign w:val="center"/>
          </w:tcPr>
          <w:p w14:paraId="510C126F" w14:textId="3F4B5D3E" w:rsidR="00EE0C5C" w:rsidRPr="003A6407" w:rsidRDefault="00263BE7"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EE0C5C" w:rsidRPr="003A6407">
              <w:rPr>
                <w:rFonts w:eastAsia="Calibri" w:cs="Times New Roman"/>
                <w:noProof/>
                <w:sz w:val="16"/>
                <w:szCs w:val="16"/>
              </w:rPr>
              <w:t>,00</w:t>
            </w:r>
          </w:p>
        </w:tc>
        <w:tc>
          <w:tcPr>
            <w:tcW w:w="550" w:type="pct"/>
            <w:shd w:val="clear" w:color="auto" w:fill="auto"/>
            <w:vAlign w:val="center"/>
          </w:tcPr>
          <w:p w14:paraId="572BFF1E"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7,00</w:t>
            </w:r>
          </w:p>
        </w:tc>
      </w:tr>
      <w:tr w:rsidR="00EE0C5C" w:rsidRPr="003A6407" w14:paraId="2E6BB3FE" w14:textId="77777777" w:rsidTr="002A48C3">
        <w:trPr>
          <w:trHeight w:val="340"/>
        </w:trPr>
        <w:tc>
          <w:tcPr>
            <w:tcW w:w="5000" w:type="pct"/>
            <w:gridSpan w:val="8"/>
            <w:shd w:val="clear" w:color="auto" w:fill="auto"/>
          </w:tcPr>
          <w:p w14:paraId="356D8421"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4572B75C" w14:textId="79182230"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5CF1284D"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2AA3F0AF" w14:textId="77777777" w:rsidR="00EE0C5C" w:rsidRPr="003A6407" w:rsidRDefault="00EE0C5C" w:rsidP="002A48C3">
            <w:pPr>
              <w:rPr>
                <w:rFonts w:eastAsia="Calibri"/>
              </w:rPr>
            </w:pPr>
            <w:r w:rsidRPr="003A6407">
              <w:rPr>
                <w:rFonts w:eastAsia="Calibri"/>
              </w:rPr>
              <w:t>- 6 Zintegrowanych Inwestycji Terytorialnych;</w:t>
            </w:r>
          </w:p>
          <w:p w14:paraId="6E5533D3" w14:textId="77777777" w:rsidR="00EE0C5C" w:rsidRPr="003A6407" w:rsidRDefault="00EE0C5C" w:rsidP="002A48C3">
            <w:pPr>
              <w:rPr>
                <w:rFonts w:eastAsia="Calibri"/>
              </w:rPr>
            </w:pPr>
            <w:r w:rsidRPr="003A6407">
              <w:rPr>
                <w:rFonts w:eastAsia="Calibri"/>
              </w:rPr>
              <w:t>- 1 Inny Instrument Terytorialny;</w:t>
            </w:r>
          </w:p>
          <w:p w14:paraId="6D8C20B9" w14:textId="77777777" w:rsidR="00EE0C5C" w:rsidRDefault="00EE0C5C" w:rsidP="002A48C3">
            <w:pPr>
              <w:rPr>
                <w:rFonts w:eastAsia="Calibri"/>
              </w:rPr>
            </w:pPr>
            <w:r w:rsidRPr="003A6407">
              <w:rPr>
                <w:rFonts w:eastAsia="Calibri"/>
              </w:rPr>
              <w:t>Wobec powyższego zakłada się w ramach metodologii, że wartość docelowa wskaźnika będzie równa liczbie utworzonych instrumentów rozwoju terytorialnego (7).</w:t>
            </w:r>
          </w:p>
          <w:p w14:paraId="55B22614" w14:textId="08D28901" w:rsidR="00D30AFB" w:rsidRPr="003A6407"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tc>
      </w:tr>
    </w:tbl>
    <w:p w14:paraId="1B65DF65"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570EB46A" w14:textId="77777777" w:rsidTr="00AB4F91">
        <w:trPr>
          <w:cantSplit/>
          <w:trHeight w:val="1647"/>
        </w:trPr>
        <w:tc>
          <w:tcPr>
            <w:tcW w:w="451" w:type="pct"/>
            <w:vAlign w:val="center"/>
          </w:tcPr>
          <w:p w14:paraId="1D3E8F08"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CP 2</w:t>
            </w:r>
          </w:p>
          <w:p w14:paraId="0401EA3F" w14:textId="1EAC89DA" w:rsidR="00B86E36" w:rsidRPr="003A6407" w:rsidRDefault="00B86E36" w:rsidP="00AB4F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884192D"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EC6A637"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05E38824"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04EA7FBC" w14:textId="5C313401" w:rsidR="00B86E36" w:rsidRPr="003A6407" w:rsidRDefault="00B86E36" w:rsidP="00AB4F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3332FAAE"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45C7C592"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Cel pośredni (2024)</w:t>
            </w:r>
          </w:p>
          <w:p w14:paraId="1BF33C25" w14:textId="77777777" w:rsidR="00B86E36" w:rsidRPr="003A6407" w:rsidRDefault="00B86E36" w:rsidP="00AB4F91">
            <w:pPr>
              <w:spacing w:before="120" w:after="120" w:line="240" w:lineRule="auto"/>
              <w:jc w:val="center"/>
              <w:rPr>
                <w:b/>
                <w:noProof/>
                <w:sz w:val="16"/>
                <w:szCs w:val="16"/>
              </w:rPr>
            </w:pPr>
          </w:p>
        </w:tc>
        <w:tc>
          <w:tcPr>
            <w:tcW w:w="550" w:type="pct"/>
            <w:shd w:val="clear" w:color="auto" w:fill="auto"/>
            <w:vAlign w:val="center"/>
          </w:tcPr>
          <w:p w14:paraId="5D572391"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Cel (2029)</w:t>
            </w:r>
          </w:p>
          <w:p w14:paraId="72FC607E" w14:textId="77777777" w:rsidR="00B86E36" w:rsidRPr="003A6407" w:rsidRDefault="00B86E36" w:rsidP="00AB4F91">
            <w:pPr>
              <w:spacing w:before="120" w:after="120" w:line="240" w:lineRule="auto"/>
              <w:jc w:val="center"/>
              <w:rPr>
                <w:b/>
                <w:noProof/>
                <w:sz w:val="16"/>
                <w:szCs w:val="16"/>
              </w:rPr>
            </w:pPr>
          </w:p>
        </w:tc>
      </w:tr>
      <w:tr w:rsidR="00191FE2" w:rsidRPr="003A6407" w14:paraId="219C893A" w14:textId="77777777" w:rsidTr="00AB4F91">
        <w:trPr>
          <w:trHeight w:val="340"/>
        </w:trPr>
        <w:tc>
          <w:tcPr>
            <w:tcW w:w="451" w:type="pct"/>
            <w:vAlign w:val="center"/>
          </w:tcPr>
          <w:p w14:paraId="1D0CC397" w14:textId="77777777" w:rsidR="00B86E36" w:rsidRDefault="00B86E36" w:rsidP="00AB4F91">
            <w:pPr>
              <w:spacing w:before="120" w:after="120" w:line="240" w:lineRule="auto"/>
              <w:jc w:val="center"/>
              <w:rPr>
                <w:noProof/>
                <w:sz w:val="16"/>
                <w:szCs w:val="16"/>
              </w:rPr>
            </w:pPr>
            <w:r w:rsidRPr="003A6407">
              <w:rPr>
                <w:noProof/>
                <w:sz w:val="16"/>
                <w:szCs w:val="16"/>
              </w:rPr>
              <w:t>2 (viii)</w:t>
            </w:r>
          </w:p>
          <w:p w14:paraId="6A2C1D0C" w14:textId="5C95446A" w:rsidR="00980C2E" w:rsidRPr="003A6407" w:rsidRDefault="00980C2E" w:rsidP="00AB4F91">
            <w:pPr>
              <w:spacing w:before="120" w:after="120" w:line="240" w:lineRule="auto"/>
              <w:jc w:val="center"/>
              <w:rPr>
                <w:noProof/>
                <w:sz w:val="16"/>
                <w:szCs w:val="16"/>
              </w:rPr>
            </w:pPr>
            <w:r>
              <w:rPr>
                <w:noProof/>
                <w:sz w:val="16"/>
                <w:szCs w:val="16"/>
              </w:rPr>
              <w:t>2.8</w:t>
            </w:r>
          </w:p>
        </w:tc>
        <w:tc>
          <w:tcPr>
            <w:tcW w:w="494" w:type="pct"/>
            <w:vAlign w:val="center"/>
          </w:tcPr>
          <w:p w14:paraId="39634DB2" w14:textId="77777777" w:rsidR="00B86E36" w:rsidRPr="003A6407" w:rsidRDefault="00B86E36" w:rsidP="00AB4F91">
            <w:pPr>
              <w:spacing w:before="120" w:after="120" w:line="240" w:lineRule="auto"/>
              <w:jc w:val="center"/>
              <w:rPr>
                <w:noProof/>
                <w:sz w:val="16"/>
                <w:szCs w:val="16"/>
              </w:rPr>
            </w:pPr>
            <w:r w:rsidRPr="003A6407">
              <w:rPr>
                <w:noProof/>
                <w:sz w:val="16"/>
                <w:szCs w:val="16"/>
              </w:rPr>
              <w:t>EFRR</w:t>
            </w:r>
          </w:p>
        </w:tc>
        <w:tc>
          <w:tcPr>
            <w:tcW w:w="558" w:type="pct"/>
            <w:vAlign w:val="center"/>
          </w:tcPr>
          <w:p w14:paraId="31A87491" w14:textId="77777777" w:rsidR="00B86E36" w:rsidRPr="003A6407" w:rsidRDefault="00B86E36" w:rsidP="00AB4F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268C9C6B" w14:textId="74891E3C" w:rsidR="00B86E36" w:rsidRPr="003A6407" w:rsidRDefault="00B86E36" w:rsidP="00AB4F91">
            <w:pPr>
              <w:spacing w:before="120" w:after="120" w:line="240" w:lineRule="auto"/>
              <w:jc w:val="center"/>
              <w:rPr>
                <w:noProof/>
                <w:sz w:val="16"/>
                <w:szCs w:val="16"/>
              </w:rPr>
            </w:pPr>
            <w:r w:rsidRPr="003A6407">
              <w:rPr>
                <w:noProof/>
                <w:sz w:val="16"/>
                <w:szCs w:val="16"/>
              </w:rPr>
              <w:t>RCO58</w:t>
            </w:r>
          </w:p>
        </w:tc>
        <w:tc>
          <w:tcPr>
            <w:tcW w:w="1411" w:type="pct"/>
            <w:shd w:val="clear" w:color="auto" w:fill="auto"/>
            <w:vAlign w:val="center"/>
          </w:tcPr>
          <w:p w14:paraId="7B59821E" w14:textId="77777777" w:rsidR="00B86E36" w:rsidRPr="003A6407" w:rsidRDefault="00B86E36" w:rsidP="00AB4F91">
            <w:pPr>
              <w:keepNext/>
              <w:keepLines/>
              <w:spacing w:before="200" w:after="0"/>
              <w:jc w:val="center"/>
              <w:outlineLvl w:val="2"/>
              <w:rPr>
                <w:rFonts w:eastAsiaTheme="majorEastAsia" w:cstheme="majorBidi"/>
                <w:b/>
                <w:bCs/>
                <w:noProof/>
                <w:sz w:val="16"/>
                <w:szCs w:val="16"/>
              </w:rPr>
            </w:pPr>
            <w:bookmarkStart w:id="159" w:name="_Toc97792264"/>
            <w:bookmarkStart w:id="160" w:name="_Toc120464413"/>
            <w:r w:rsidRPr="003A6407">
              <w:rPr>
                <w:rFonts w:asciiTheme="minorHAnsi" w:eastAsia="Times New Roman" w:hAnsiTheme="minorHAnsi" w:cstheme="minorHAnsi"/>
                <w:bCs/>
                <w:noProof/>
                <w:sz w:val="16"/>
                <w:szCs w:val="16"/>
              </w:rPr>
              <w:t>Wspierana infrastruktura rowerowa</w:t>
            </w:r>
            <w:bookmarkEnd w:id="159"/>
            <w:bookmarkEnd w:id="160"/>
          </w:p>
        </w:tc>
        <w:tc>
          <w:tcPr>
            <w:tcW w:w="549" w:type="pct"/>
            <w:vAlign w:val="center"/>
          </w:tcPr>
          <w:p w14:paraId="33E1C384" w14:textId="77777777" w:rsidR="00B86E36" w:rsidRPr="003A6407" w:rsidRDefault="00B86E36" w:rsidP="00AB4F91">
            <w:pPr>
              <w:spacing w:before="120" w:after="120" w:line="240" w:lineRule="auto"/>
              <w:jc w:val="center"/>
              <w:rPr>
                <w:noProof/>
                <w:sz w:val="16"/>
                <w:szCs w:val="16"/>
              </w:rPr>
            </w:pPr>
            <w:r w:rsidRPr="003A6407">
              <w:rPr>
                <w:noProof/>
                <w:sz w:val="16"/>
                <w:szCs w:val="16"/>
              </w:rPr>
              <w:t>km</w:t>
            </w:r>
          </w:p>
        </w:tc>
        <w:tc>
          <w:tcPr>
            <w:tcW w:w="627" w:type="pct"/>
            <w:shd w:val="clear" w:color="auto" w:fill="auto"/>
            <w:vAlign w:val="center"/>
          </w:tcPr>
          <w:p w14:paraId="77167A4A" w14:textId="23D29998" w:rsidR="00B86E36" w:rsidRPr="003A6407" w:rsidRDefault="009E03DD" w:rsidP="00AB4F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345E52D5" w14:textId="772326FA" w:rsidR="00B86E36" w:rsidRPr="003A6407" w:rsidRDefault="00B86E36" w:rsidP="00AB4F91">
            <w:pPr>
              <w:spacing w:before="120" w:after="120" w:line="240" w:lineRule="auto"/>
              <w:jc w:val="center"/>
              <w:rPr>
                <w:noProof/>
                <w:sz w:val="16"/>
                <w:szCs w:val="16"/>
              </w:rPr>
            </w:pPr>
            <w:r w:rsidRPr="003A6407">
              <w:rPr>
                <w:noProof/>
                <w:sz w:val="16"/>
                <w:szCs w:val="16"/>
              </w:rPr>
              <w:t>49</w:t>
            </w:r>
            <w:r w:rsidR="00AB4F91" w:rsidRPr="003A6407">
              <w:rPr>
                <w:noProof/>
                <w:sz w:val="16"/>
                <w:szCs w:val="16"/>
              </w:rPr>
              <w:t>,00</w:t>
            </w:r>
          </w:p>
        </w:tc>
      </w:tr>
      <w:tr w:rsidR="00B86E36" w:rsidRPr="003A6407" w14:paraId="7CDE39BA" w14:textId="77777777" w:rsidTr="002B58A1">
        <w:trPr>
          <w:trHeight w:val="340"/>
        </w:trPr>
        <w:tc>
          <w:tcPr>
            <w:tcW w:w="5000" w:type="pct"/>
            <w:gridSpan w:val="8"/>
          </w:tcPr>
          <w:p w14:paraId="4C444097" w14:textId="77777777" w:rsidR="00B86E36" w:rsidRPr="003A6407" w:rsidRDefault="00B86E36" w:rsidP="00B256CA">
            <w:pPr>
              <w:spacing w:before="60" w:after="60" w:line="240" w:lineRule="auto"/>
              <w:jc w:val="both"/>
            </w:pPr>
            <w:r w:rsidRPr="003A6407">
              <w:t>Metodologia:</w:t>
            </w:r>
          </w:p>
          <w:p w14:paraId="716EB778" w14:textId="4925FB69" w:rsidR="00B86E36" w:rsidRPr="003A6407" w:rsidRDefault="00B86E36" w:rsidP="00B256CA">
            <w:pPr>
              <w:spacing w:before="60" w:after="60" w:line="240" w:lineRule="auto"/>
              <w:jc w:val="both"/>
            </w:pPr>
            <w:r w:rsidRPr="003A6407">
              <w:t>Wskaźnik realizuje kody interwencji 083 Infrastruktura rowerowa o wartości 27 585 977 EUR. Uwzględniając (odejmując) koszty uproszczone na poziomie 7%, wartość alokacji realizującej dany wskaźnik wynosi 25 654 958,60 EUR.</w:t>
            </w:r>
          </w:p>
          <w:p w14:paraId="3F8175E6" w14:textId="5F899E24" w:rsidR="00B86E36" w:rsidRPr="003A6407" w:rsidRDefault="00B86E36" w:rsidP="00B256CA">
            <w:pPr>
              <w:spacing w:before="60" w:after="60" w:line="240" w:lineRule="auto"/>
              <w:jc w:val="both"/>
            </w:pPr>
            <w:r w:rsidRPr="003A6407">
              <w:t>Historyczny kwalifikowalny koszt jednostkowy został ustalony na podstawie projektu realizowanego w działaniu 3.4 RPO WD 2014-2020 pn. „Rowerem przez Miasto - budowa dróg rowerowych i ciągów pieszo-rowerowych w Świdnicy sposobem na wdrożenie strategii niskoemisyjnej” i wynosi 1 714 071,85 PLN. Koszt jednostkowy został skorygowany w oparciu o wartość inflacji na poziomie 15% i wynosi 1 971 182,63 PLN.</w:t>
            </w:r>
            <w:r w:rsidR="00205D19">
              <w:t xml:space="preserve"> </w:t>
            </w:r>
            <w:r w:rsidRPr="003A6407">
              <w:t xml:space="preserve">Uwzględniając dofinansowanie na poziomie 70% wynosi 1 379 827,84 PLN; biorąc pod uwagę kurs EUR na poziomie 4,45 koszt jednostkowy wynosi 310 073,67 EUR; na podstawie tych danych wyliczono wartość </w:t>
            </w:r>
            <w:r w:rsidRPr="003A6407">
              <w:lastRenderedPageBreak/>
              <w:t xml:space="preserve">wskaźnika. Jednocześnie na podstawie </w:t>
            </w:r>
            <w:proofErr w:type="spellStart"/>
            <w:r w:rsidRPr="003A6407">
              <w:t>ryzyk</w:t>
            </w:r>
            <w:proofErr w:type="spellEnd"/>
            <w:r w:rsidRPr="003A6407">
              <w:t xml:space="preserve"> związanych z realizacją tego typu projektów określono wskaźnik kompensacji:</w:t>
            </w:r>
          </w:p>
          <w:p w14:paraId="6494C368" w14:textId="77777777" w:rsidR="00B86E36" w:rsidRPr="003A6407" w:rsidRDefault="00B86E36" w:rsidP="00B256CA">
            <w:pPr>
              <w:spacing w:before="60" w:after="60" w:line="240" w:lineRule="auto"/>
              <w:jc w:val="both"/>
            </w:pPr>
            <w:r w:rsidRPr="003A6407">
              <w:t xml:space="preserve"> </w:t>
            </w:r>
          </w:p>
          <w:p w14:paraId="3A19583B" w14:textId="77777777" w:rsidR="00B86E36" w:rsidRPr="003A6407" w:rsidRDefault="00B86E36" w:rsidP="00B256CA">
            <w:pPr>
              <w:spacing w:before="60" w:after="60" w:line="240" w:lineRule="auto"/>
              <w:jc w:val="both"/>
            </w:pPr>
            <w:r w:rsidRPr="003A6407">
              <w:t>R: [(5*25)+(3*68)]/8 = 41,1%</w:t>
            </w:r>
          </w:p>
          <w:p w14:paraId="795A950A" w14:textId="77777777" w:rsidR="00B86E36" w:rsidRPr="003A6407" w:rsidRDefault="00B86E36" w:rsidP="00B256CA">
            <w:pPr>
              <w:spacing w:before="60" w:after="60" w:line="240" w:lineRule="auto"/>
              <w:jc w:val="both"/>
            </w:pPr>
          </w:p>
          <w:p w14:paraId="23149706" w14:textId="77777777" w:rsidR="00B86E36" w:rsidRPr="003A6407" w:rsidRDefault="00B86E36" w:rsidP="00B256CA">
            <w:pPr>
              <w:spacing w:before="60" w:after="60" w:line="240" w:lineRule="auto"/>
              <w:jc w:val="both"/>
            </w:pPr>
            <w:r w:rsidRPr="003A6407">
              <w:t>Wyliczenie:</w:t>
            </w:r>
          </w:p>
          <w:p w14:paraId="67F2745B" w14:textId="7E831504" w:rsidR="00B86E36" w:rsidRPr="003A6407" w:rsidRDefault="00B86E36" w:rsidP="00B256CA">
            <w:pPr>
              <w:spacing w:before="60" w:after="60" w:line="240" w:lineRule="auto"/>
              <w:jc w:val="both"/>
            </w:pPr>
            <w:r w:rsidRPr="003A6407">
              <w:t>25 654 958,60 / 310 073,67 * (1-0,411) = 49 km</w:t>
            </w:r>
          </w:p>
          <w:p w14:paraId="5B66A338" w14:textId="77777777" w:rsidR="00B86E36" w:rsidRPr="003A6407" w:rsidRDefault="00B86E36" w:rsidP="00B256CA">
            <w:pPr>
              <w:spacing w:before="60" w:after="60" w:line="240" w:lineRule="auto"/>
              <w:jc w:val="both"/>
            </w:pPr>
          </w:p>
          <w:p w14:paraId="0B908539"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42538212" w14:textId="77777777" w:rsidR="00B86E36" w:rsidRPr="003A6407" w:rsidRDefault="00B86E36" w:rsidP="00B256CA">
            <w:pPr>
              <w:spacing w:before="60" w:after="60" w:line="240" w:lineRule="auto"/>
              <w:jc w:val="both"/>
            </w:pPr>
            <w:r w:rsidRPr="003A6407">
              <w:t>•</w:t>
            </w:r>
            <w:r w:rsidRPr="003A6407">
              <w:rPr>
                <w:b/>
              </w:rPr>
              <w:t xml:space="preserve">ryzyko wzrostu cen </w:t>
            </w:r>
            <w:r w:rsidRPr="003A6407">
              <w:t>ryzyko związane ze wzrostem cen materiałów, sprzętu i usług; ryzyko związane z poziomem inflacji; (istotność: poważna)</w:t>
            </w:r>
          </w:p>
          <w:p w14:paraId="18B1C661" w14:textId="77777777" w:rsidR="00B86E36" w:rsidRPr="003A6407" w:rsidRDefault="00B86E36" w:rsidP="00B256CA">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771448E8"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603DEC08" w14:textId="77777777" w:rsidR="00B86E36" w:rsidRPr="003A6407" w:rsidRDefault="00B86E36" w:rsidP="00B256CA">
            <w:pPr>
              <w:spacing w:before="60" w:after="60" w:line="240" w:lineRule="auto"/>
              <w:jc w:val="both"/>
            </w:pPr>
            <w:r w:rsidRPr="003A6407">
              <w:t>•</w:t>
            </w:r>
            <w:r w:rsidRPr="003A6407">
              <w:rPr>
                <w:b/>
                <w:bCs/>
              </w:rPr>
              <w:t xml:space="preserve">czynniki które mogą wpłynąć na harmonogram realizacji planów działania dot. spełnienia warunków wstępnych (ex </w:t>
            </w:r>
            <w:proofErr w:type="spellStart"/>
            <w:r w:rsidRPr="003A6407">
              <w:rPr>
                <w:b/>
                <w:bCs/>
              </w:rPr>
              <w:t>ante</w:t>
            </w:r>
            <w:proofErr w:type="spellEnd"/>
            <w:r w:rsidRPr="003A6407">
              <w:rPr>
                <w:b/>
                <w:bCs/>
              </w:rPr>
              <w:t>),</w:t>
            </w:r>
            <w:r w:rsidRPr="003A6407">
              <w:t xml:space="preserve"> a które są poza kompetencjami IZ oraz instytucji odpowiedzialnych za spełnienie tych warunków; (istotność: umiarkowana)</w:t>
            </w:r>
          </w:p>
          <w:p w14:paraId="4294E392"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umiarkowana)</w:t>
            </w:r>
          </w:p>
          <w:p w14:paraId="64EB2AC2" w14:textId="77777777" w:rsidR="00B86E36" w:rsidRPr="003A6407" w:rsidRDefault="00B86E36" w:rsidP="00B256CA">
            <w:pPr>
              <w:spacing w:before="60" w:after="60" w:line="240" w:lineRule="auto"/>
              <w:jc w:val="both"/>
              <w:rPr>
                <w:b/>
              </w:rPr>
            </w:pPr>
            <w:r w:rsidRPr="003A6407">
              <w:rPr>
                <w:b/>
              </w:rPr>
              <w:t xml:space="preserve">•opóźnienia, </w:t>
            </w:r>
            <w:r w:rsidRPr="003A6407">
              <w:rPr>
                <w:bCs/>
              </w:rPr>
              <w:t>bądź niewykonanie projektu związane z procedurami wynikającymi z zamówień publicznych; (istotność: poważna)</w:t>
            </w:r>
          </w:p>
          <w:p w14:paraId="2CD442B3"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3B63A5AE"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gospodarkę regionalną, potencjalne możliwości realizacji projektów, na zdolności inwestycyjne i nastroje przedsiębiorstw oraz innych beneficjentów do inwestowania, zdolność administracyjną i kadrową; (istotność: umiarkowana)</w:t>
            </w:r>
            <w:r w:rsidR="00B55483" w:rsidRPr="003A6407">
              <w:rPr>
                <w:bCs/>
              </w:rPr>
              <w:t>.</w:t>
            </w:r>
          </w:p>
          <w:p w14:paraId="56324ACF" w14:textId="7EC18570" w:rsidR="00B55483" w:rsidRPr="003A6407" w:rsidRDefault="00B55483" w:rsidP="00B256CA">
            <w:pPr>
              <w:spacing w:before="60" w:after="60" w:line="240" w:lineRule="auto"/>
              <w:jc w:val="both"/>
              <w:rPr>
                <w:bCs/>
              </w:rPr>
            </w:pPr>
          </w:p>
          <w:p w14:paraId="61290941" w14:textId="3558EDC4" w:rsidR="00B55483" w:rsidRPr="003A6407" w:rsidRDefault="00B55483" w:rsidP="00B256CA">
            <w:pPr>
              <w:spacing w:before="60" w:after="60" w:line="240" w:lineRule="auto"/>
              <w:jc w:val="both"/>
              <w:rPr>
                <w:b/>
              </w:rPr>
            </w:pPr>
            <w:r w:rsidRPr="003A6407">
              <w:rPr>
                <w:b/>
              </w:rPr>
              <w:t>Uzasadnienie dla celu pośredniego:</w:t>
            </w:r>
          </w:p>
          <w:p w14:paraId="39DDA320" w14:textId="37137414" w:rsidR="00B55483" w:rsidRPr="003A6407" w:rsidRDefault="00B55483" w:rsidP="00B55483">
            <w:pPr>
              <w:spacing w:before="60" w:after="60" w:line="240" w:lineRule="auto"/>
              <w:jc w:val="both"/>
              <w:rPr>
                <w:b/>
              </w:rPr>
            </w:pPr>
            <w:r w:rsidRPr="003A6407">
              <w:rPr>
                <w:b/>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4e ), na podstawie Sprawozdania rocznego z 2021 r. - wskaźnik pn. Długość wspartej infrastruktury rowerowej dopiero w 2017 r. osiągnął wartość 12,37</w:t>
            </w:r>
            <w:r w:rsidR="00D75222">
              <w:rPr>
                <w:b/>
              </w:rPr>
              <w:t xml:space="preserve"> km</w:t>
            </w:r>
            <w:r w:rsidRPr="003A6407">
              <w:rPr>
                <w:b/>
              </w:rPr>
              <w:t>, co wobec wartości z wykonania na 2021 r. (199) stanowi 8,42</w:t>
            </w:r>
            <w:r w:rsidR="00412D9C" w:rsidRPr="003A6407">
              <w:rPr>
                <w:b/>
              </w:rPr>
              <w:t>%</w:t>
            </w:r>
            <w:r w:rsidRPr="003A6407">
              <w:rPr>
                <w:b/>
              </w:rPr>
              <w:t xml:space="preserve">. </w:t>
            </w:r>
          </w:p>
          <w:p w14:paraId="660F87EB" w14:textId="7634A01B" w:rsidR="00CA2273" w:rsidRPr="003A6407" w:rsidRDefault="00CA2273" w:rsidP="00B55483">
            <w:pPr>
              <w:spacing w:before="60" w:after="60" w:line="240" w:lineRule="auto"/>
              <w:jc w:val="both"/>
              <w:rPr>
                <w:b/>
              </w:rPr>
            </w:pPr>
            <w:r>
              <w:rPr>
                <w:b/>
              </w:rPr>
              <w:t xml:space="preserve">Ponieważ całość </w:t>
            </w:r>
            <w:proofErr w:type="spellStart"/>
            <w:r>
              <w:rPr>
                <w:b/>
              </w:rPr>
              <w:t>cs</w:t>
            </w:r>
            <w:proofErr w:type="spellEnd"/>
            <w:r>
              <w:rPr>
                <w:b/>
              </w:rPr>
              <w:t xml:space="preserve"> realizowana jest poprzez instrumenty terytorialne, przyjęcie strategii ZIT/IIT dodatkowo opóźni realizację interwencji. Wobec powyższego zakłada się wartość pośrednią tego wskaźnika na poziomie 0.</w:t>
            </w:r>
          </w:p>
        </w:tc>
      </w:tr>
    </w:tbl>
    <w:p w14:paraId="7459A255" w14:textId="77777777" w:rsidR="00B86E36" w:rsidRPr="003A6407" w:rsidRDefault="00B86E36" w:rsidP="00B256CA"/>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AC2094D" w14:textId="77777777" w:rsidTr="00AB4F91">
        <w:trPr>
          <w:cantSplit/>
          <w:trHeight w:val="1647"/>
        </w:trPr>
        <w:tc>
          <w:tcPr>
            <w:tcW w:w="451" w:type="pct"/>
            <w:vAlign w:val="center"/>
          </w:tcPr>
          <w:p w14:paraId="2DB58A32"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CP 2</w:t>
            </w:r>
          </w:p>
          <w:p w14:paraId="2883689F" w14:textId="6E09859F" w:rsidR="00B86E36" w:rsidRPr="003A6407" w:rsidRDefault="00B86E36" w:rsidP="00AB4F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451680A"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2111E06"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75B9B693"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709E22E8" w14:textId="7E580A49" w:rsidR="00B86E36" w:rsidRPr="003A6407" w:rsidRDefault="00B86E36" w:rsidP="00AB4F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7DAE01B5"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17847E75"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Cel pośredni (2024)</w:t>
            </w:r>
          </w:p>
          <w:p w14:paraId="50F4122A" w14:textId="77777777" w:rsidR="00B86E36" w:rsidRPr="003A6407" w:rsidRDefault="00B86E36" w:rsidP="00AB4F91">
            <w:pPr>
              <w:spacing w:before="120" w:after="120" w:line="240" w:lineRule="auto"/>
              <w:jc w:val="center"/>
              <w:rPr>
                <w:b/>
                <w:noProof/>
                <w:sz w:val="16"/>
                <w:szCs w:val="16"/>
              </w:rPr>
            </w:pPr>
          </w:p>
        </w:tc>
        <w:tc>
          <w:tcPr>
            <w:tcW w:w="550" w:type="pct"/>
            <w:shd w:val="clear" w:color="auto" w:fill="auto"/>
            <w:vAlign w:val="center"/>
          </w:tcPr>
          <w:p w14:paraId="3E69AFEC"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Cel (2029)</w:t>
            </w:r>
          </w:p>
          <w:p w14:paraId="778EC254" w14:textId="77777777" w:rsidR="00B86E36" w:rsidRPr="003A6407" w:rsidRDefault="00B86E36" w:rsidP="00AB4F91">
            <w:pPr>
              <w:spacing w:before="120" w:after="120" w:line="240" w:lineRule="auto"/>
              <w:jc w:val="center"/>
              <w:rPr>
                <w:b/>
                <w:noProof/>
                <w:sz w:val="16"/>
                <w:szCs w:val="16"/>
              </w:rPr>
            </w:pPr>
          </w:p>
        </w:tc>
      </w:tr>
      <w:tr w:rsidR="00191FE2" w:rsidRPr="003A6407" w14:paraId="74B5AB73" w14:textId="77777777" w:rsidTr="00AB4F91">
        <w:trPr>
          <w:trHeight w:val="340"/>
        </w:trPr>
        <w:tc>
          <w:tcPr>
            <w:tcW w:w="451" w:type="pct"/>
            <w:vAlign w:val="center"/>
          </w:tcPr>
          <w:p w14:paraId="0E497006" w14:textId="77777777" w:rsidR="00B86E36" w:rsidRDefault="00B86E36" w:rsidP="00AB4F91">
            <w:pPr>
              <w:spacing w:before="120" w:after="120" w:line="240" w:lineRule="auto"/>
              <w:jc w:val="center"/>
              <w:rPr>
                <w:noProof/>
                <w:sz w:val="16"/>
                <w:szCs w:val="16"/>
              </w:rPr>
            </w:pPr>
            <w:r w:rsidRPr="003A6407">
              <w:rPr>
                <w:noProof/>
                <w:sz w:val="16"/>
                <w:szCs w:val="16"/>
              </w:rPr>
              <w:t>2 (viii)</w:t>
            </w:r>
          </w:p>
          <w:p w14:paraId="40EBA152" w14:textId="2F28BCBD" w:rsidR="00980C2E" w:rsidRPr="003A6407" w:rsidRDefault="00980C2E" w:rsidP="00AB4F91">
            <w:pPr>
              <w:spacing w:before="120" w:after="120" w:line="240" w:lineRule="auto"/>
              <w:jc w:val="center"/>
              <w:rPr>
                <w:noProof/>
                <w:sz w:val="16"/>
                <w:szCs w:val="16"/>
              </w:rPr>
            </w:pPr>
            <w:r>
              <w:rPr>
                <w:noProof/>
                <w:sz w:val="16"/>
                <w:szCs w:val="16"/>
              </w:rPr>
              <w:t>2.8</w:t>
            </w:r>
          </w:p>
        </w:tc>
        <w:tc>
          <w:tcPr>
            <w:tcW w:w="494" w:type="pct"/>
            <w:vAlign w:val="center"/>
          </w:tcPr>
          <w:p w14:paraId="2A98922B" w14:textId="77777777" w:rsidR="00B86E36" w:rsidRPr="003A6407" w:rsidRDefault="00B86E36" w:rsidP="00AB4F91">
            <w:pPr>
              <w:spacing w:before="120" w:after="120" w:line="240" w:lineRule="auto"/>
              <w:jc w:val="center"/>
              <w:rPr>
                <w:noProof/>
                <w:sz w:val="16"/>
                <w:szCs w:val="16"/>
              </w:rPr>
            </w:pPr>
            <w:r w:rsidRPr="003A6407">
              <w:rPr>
                <w:noProof/>
                <w:sz w:val="16"/>
                <w:szCs w:val="16"/>
              </w:rPr>
              <w:t>EFRR</w:t>
            </w:r>
          </w:p>
        </w:tc>
        <w:tc>
          <w:tcPr>
            <w:tcW w:w="558" w:type="pct"/>
            <w:vAlign w:val="center"/>
          </w:tcPr>
          <w:p w14:paraId="3A2C4B1F" w14:textId="77777777" w:rsidR="00B86E36" w:rsidRPr="003A6407" w:rsidRDefault="00B86E36" w:rsidP="00AB4F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504AB363" w14:textId="4B59CECB" w:rsidR="00B86E36" w:rsidRPr="003A6407" w:rsidRDefault="00B86E36" w:rsidP="00AB4F91">
            <w:pPr>
              <w:spacing w:before="120" w:after="120" w:line="240" w:lineRule="auto"/>
              <w:jc w:val="center"/>
              <w:rPr>
                <w:noProof/>
                <w:sz w:val="16"/>
                <w:szCs w:val="16"/>
              </w:rPr>
            </w:pPr>
            <w:r w:rsidRPr="003A6407">
              <w:rPr>
                <w:noProof/>
                <w:sz w:val="16"/>
                <w:szCs w:val="16"/>
              </w:rPr>
              <w:t>RCO57</w:t>
            </w:r>
          </w:p>
        </w:tc>
        <w:tc>
          <w:tcPr>
            <w:tcW w:w="1411" w:type="pct"/>
            <w:shd w:val="clear" w:color="auto" w:fill="auto"/>
            <w:vAlign w:val="center"/>
          </w:tcPr>
          <w:p w14:paraId="5CD0AF9C" w14:textId="22788498" w:rsidR="00B86E36" w:rsidRPr="003A6407" w:rsidRDefault="00B86E36" w:rsidP="00AB4F91">
            <w:pPr>
              <w:keepNext/>
              <w:keepLines/>
              <w:spacing w:before="200" w:after="0"/>
              <w:jc w:val="center"/>
              <w:outlineLvl w:val="2"/>
              <w:rPr>
                <w:rFonts w:eastAsiaTheme="majorEastAsia" w:cstheme="majorBidi"/>
                <w:b/>
                <w:bCs/>
                <w:noProof/>
                <w:sz w:val="16"/>
                <w:szCs w:val="16"/>
              </w:rPr>
            </w:pPr>
            <w:bookmarkStart w:id="161" w:name="_Toc97792265"/>
            <w:bookmarkStart w:id="162" w:name="_Toc120464414"/>
            <w:r w:rsidRPr="003A6407">
              <w:rPr>
                <w:rFonts w:asciiTheme="minorHAnsi" w:eastAsia="Times New Roman" w:hAnsiTheme="minorHAnsi" w:cstheme="minorHAnsi"/>
                <w:bCs/>
                <w:noProof/>
                <w:sz w:val="16"/>
                <w:szCs w:val="16"/>
              </w:rPr>
              <w:t>Pojemność ekologicznego taboru do zbiorowego transpor</w:t>
            </w:r>
            <w:r w:rsidR="00D544BC">
              <w:rPr>
                <w:rFonts w:asciiTheme="minorHAnsi" w:eastAsia="Times New Roman" w:hAnsiTheme="minorHAnsi" w:cstheme="minorHAnsi"/>
                <w:bCs/>
                <w:noProof/>
                <w:sz w:val="16"/>
                <w:szCs w:val="16"/>
              </w:rPr>
              <w:t>t</w:t>
            </w:r>
            <w:r w:rsidRPr="003A6407">
              <w:rPr>
                <w:rFonts w:asciiTheme="minorHAnsi" w:eastAsia="Times New Roman" w:hAnsiTheme="minorHAnsi" w:cstheme="minorHAnsi"/>
                <w:bCs/>
                <w:noProof/>
                <w:sz w:val="16"/>
                <w:szCs w:val="16"/>
              </w:rPr>
              <w:t>u publicznego</w:t>
            </w:r>
            <w:bookmarkEnd w:id="161"/>
            <w:bookmarkEnd w:id="162"/>
          </w:p>
        </w:tc>
        <w:tc>
          <w:tcPr>
            <w:tcW w:w="549" w:type="pct"/>
            <w:vAlign w:val="center"/>
          </w:tcPr>
          <w:p w14:paraId="4CEDDAEC" w14:textId="77777777" w:rsidR="00B86E36" w:rsidRPr="003A6407" w:rsidRDefault="00B86E36" w:rsidP="00AB4F91">
            <w:pPr>
              <w:spacing w:before="120" w:after="120" w:line="240" w:lineRule="auto"/>
              <w:jc w:val="center"/>
              <w:rPr>
                <w:noProof/>
                <w:sz w:val="16"/>
                <w:szCs w:val="16"/>
              </w:rPr>
            </w:pPr>
            <w:r w:rsidRPr="003A6407">
              <w:rPr>
                <w:noProof/>
                <w:sz w:val="16"/>
                <w:szCs w:val="16"/>
              </w:rPr>
              <w:t>osoby</w:t>
            </w:r>
          </w:p>
        </w:tc>
        <w:tc>
          <w:tcPr>
            <w:tcW w:w="627" w:type="pct"/>
            <w:shd w:val="clear" w:color="auto" w:fill="auto"/>
            <w:vAlign w:val="center"/>
          </w:tcPr>
          <w:p w14:paraId="5BF4751C" w14:textId="7F509A7B" w:rsidR="00B86E36" w:rsidRPr="003A6407" w:rsidRDefault="009E03DD" w:rsidP="00AB4F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4C3DAA28" w14:textId="4F5F2A45" w:rsidR="00B86E36" w:rsidRPr="003A6407" w:rsidRDefault="00B86E36" w:rsidP="00AB4F91">
            <w:pPr>
              <w:spacing w:before="120" w:after="120" w:line="240" w:lineRule="auto"/>
              <w:jc w:val="center"/>
              <w:rPr>
                <w:noProof/>
                <w:sz w:val="16"/>
                <w:szCs w:val="16"/>
              </w:rPr>
            </w:pPr>
            <w:r w:rsidRPr="003A6407">
              <w:rPr>
                <w:noProof/>
                <w:sz w:val="16"/>
                <w:szCs w:val="16"/>
              </w:rPr>
              <w:t>2</w:t>
            </w:r>
            <w:r w:rsidR="00AB4F91" w:rsidRPr="003A6407">
              <w:rPr>
                <w:noProof/>
                <w:sz w:val="16"/>
                <w:szCs w:val="16"/>
              </w:rPr>
              <w:t> </w:t>
            </w:r>
            <w:r w:rsidRPr="003A6407">
              <w:rPr>
                <w:noProof/>
                <w:sz w:val="16"/>
                <w:szCs w:val="16"/>
              </w:rPr>
              <w:t>89</w:t>
            </w:r>
            <w:r w:rsidR="009D2A15">
              <w:rPr>
                <w:noProof/>
                <w:sz w:val="16"/>
                <w:szCs w:val="16"/>
              </w:rPr>
              <w:t>2</w:t>
            </w:r>
            <w:r w:rsidR="00AB4F91" w:rsidRPr="003A6407">
              <w:rPr>
                <w:noProof/>
                <w:sz w:val="16"/>
                <w:szCs w:val="16"/>
              </w:rPr>
              <w:t>,00</w:t>
            </w:r>
          </w:p>
        </w:tc>
      </w:tr>
      <w:tr w:rsidR="00B86E36" w:rsidRPr="003A6407" w14:paraId="2BDCD137" w14:textId="77777777" w:rsidTr="002B58A1">
        <w:trPr>
          <w:trHeight w:val="340"/>
        </w:trPr>
        <w:tc>
          <w:tcPr>
            <w:tcW w:w="5000" w:type="pct"/>
            <w:gridSpan w:val="8"/>
          </w:tcPr>
          <w:p w14:paraId="787F62B2" w14:textId="77777777" w:rsidR="00B86E36" w:rsidRPr="003A6407" w:rsidRDefault="00B86E36" w:rsidP="00B256CA">
            <w:pPr>
              <w:spacing w:before="60" w:after="60" w:line="240" w:lineRule="auto"/>
              <w:jc w:val="both"/>
            </w:pPr>
            <w:r w:rsidRPr="003A6407">
              <w:lastRenderedPageBreak/>
              <w:t>Metodologia:</w:t>
            </w:r>
          </w:p>
          <w:p w14:paraId="49FA33AF" w14:textId="77777777" w:rsidR="00B86E36" w:rsidRPr="003A6407" w:rsidRDefault="00B86E36" w:rsidP="00B256CA">
            <w:pPr>
              <w:spacing w:before="60" w:after="60" w:line="240" w:lineRule="auto"/>
              <w:jc w:val="both"/>
            </w:pPr>
            <w:r w:rsidRPr="003A6407">
              <w:t>Wskaźnik realizuje kod interwencji: 082 Tabor czystego transportu miejskiego o wartości 15 689 484 EUR. Uwzględniając (odejmując) koszty uproszczone na poziomie 7%, wartość alokacji realizującej dany wskaźnik wynosi 14 591 220,10 EUR.</w:t>
            </w:r>
          </w:p>
          <w:p w14:paraId="1E9DA581" w14:textId="6AF6116F" w:rsidR="00B86E36" w:rsidRPr="003A6407" w:rsidRDefault="00B86E36" w:rsidP="00B256CA">
            <w:pPr>
              <w:spacing w:before="60" w:after="60" w:line="240" w:lineRule="auto"/>
              <w:jc w:val="both"/>
            </w:pPr>
            <w:r w:rsidRPr="003A6407">
              <w:t>Historyczny kwalifikowalny koszt jednostkowy na bazie doświadczeń z perspektywy 2014-2020 wynosi 15 784,07</w:t>
            </w:r>
            <w:r w:rsidRPr="003A6407" w:rsidDel="00276341">
              <w:t xml:space="preserve"> </w:t>
            </w:r>
            <w:r w:rsidRPr="003A6407">
              <w:t xml:space="preserve">PLN.  Koszt jednostkowy został skorygowany w oparciu o wartość inflacji na poziomie 15% i wynosi 18 151,68 PLN, a uwzględniając dofinansowanie na poziomie 70% wynosi 12 706,18 PLN; biorąc pod uwagę kurs EUR na poziomie 4,45 koszt jednostkowy wynosi 2 855,32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 </w:t>
            </w:r>
          </w:p>
          <w:p w14:paraId="20E3130B" w14:textId="77777777" w:rsidR="00B86E36" w:rsidRPr="003A6407" w:rsidRDefault="00B86E36" w:rsidP="00B256CA">
            <w:pPr>
              <w:spacing w:before="60" w:after="60" w:line="240" w:lineRule="auto"/>
              <w:jc w:val="both"/>
              <w:rPr>
                <w:color w:val="FF0000"/>
              </w:rPr>
            </w:pPr>
          </w:p>
          <w:p w14:paraId="425E43EB" w14:textId="77777777" w:rsidR="00B86E36" w:rsidRPr="003A6407" w:rsidRDefault="00B86E36" w:rsidP="00B256CA">
            <w:pPr>
              <w:spacing w:before="60" w:after="60" w:line="240" w:lineRule="auto"/>
              <w:jc w:val="both"/>
              <w:rPr>
                <w:color w:val="FF0000"/>
              </w:rPr>
            </w:pPr>
            <w:r w:rsidRPr="003A6407">
              <w:t>R: [(4*25)+(3*68)]/7 = 43,4%</w:t>
            </w:r>
          </w:p>
          <w:p w14:paraId="35606DAE" w14:textId="77777777" w:rsidR="00B86E36" w:rsidRPr="003A6407" w:rsidRDefault="00B86E36" w:rsidP="00B256CA">
            <w:pPr>
              <w:spacing w:before="60" w:after="60" w:line="240" w:lineRule="auto"/>
              <w:jc w:val="both"/>
            </w:pPr>
          </w:p>
          <w:p w14:paraId="4F5C87D9" w14:textId="77777777" w:rsidR="00B86E36" w:rsidRPr="003A6407" w:rsidRDefault="00B86E36" w:rsidP="00B256CA">
            <w:pPr>
              <w:spacing w:before="60" w:after="60" w:line="240" w:lineRule="auto"/>
              <w:jc w:val="both"/>
            </w:pPr>
            <w:r w:rsidRPr="003A6407">
              <w:t>Wyliczenie:</w:t>
            </w:r>
          </w:p>
          <w:p w14:paraId="2BD46F4B" w14:textId="10E581D2" w:rsidR="00B86E36" w:rsidRPr="003A6407" w:rsidRDefault="00B86E36" w:rsidP="00B256CA">
            <w:pPr>
              <w:spacing w:before="60" w:after="60" w:line="240" w:lineRule="auto"/>
              <w:jc w:val="both"/>
            </w:pPr>
            <w:r w:rsidRPr="003A6407">
              <w:t>14 591 220,10 / 2 855,32 * (1-0,434) = 2 89</w:t>
            </w:r>
            <w:r w:rsidR="009D2A15">
              <w:t>2</w:t>
            </w:r>
            <w:r w:rsidRPr="003A6407">
              <w:t xml:space="preserve"> osób</w:t>
            </w:r>
          </w:p>
          <w:p w14:paraId="0FBE5376" w14:textId="77777777" w:rsidR="00B86E36" w:rsidRPr="003A6407" w:rsidRDefault="00B86E36" w:rsidP="00B256CA">
            <w:pPr>
              <w:spacing w:before="60" w:after="60" w:line="240" w:lineRule="auto"/>
              <w:jc w:val="both"/>
            </w:pPr>
          </w:p>
          <w:p w14:paraId="139486B9"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44012B2B" w14:textId="77777777" w:rsidR="00B86E36" w:rsidRPr="003A6407" w:rsidRDefault="00B86E36" w:rsidP="00B256CA">
            <w:pPr>
              <w:spacing w:before="60" w:after="60" w:line="240" w:lineRule="auto"/>
              <w:jc w:val="both"/>
            </w:pPr>
            <w:r w:rsidRPr="003A6407">
              <w:t>•</w:t>
            </w:r>
            <w:r w:rsidRPr="003A6407">
              <w:rPr>
                <w:b/>
              </w:rPr>
              <w:t xml:space="preserve">ryzyko wzrostu cen </w:t>
            </w:r>
            <w:r w:rsidRPr="003A6407">
              <w:t>- ryzyko związane ze wzrostem kosztów produkcji (m.in. cen gazu, energii, materiałów, surowców), sprzętu i usług; ryzyko związane z poziomem inflacji również obciążenia fiskalne; (istotność: poważna)</w:t>
            </w:r>
          </w:p>
          <w:p w14:paraId="7BE1E0CB" w14:textId="77777777" w:rsidR="00B86E36" w:rsidRPr="003A6407" w:rsidRDefault="00B86E36" w:rsidP="00B256CA">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379B339"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0EDD65B4"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poważna</w:t>
            </w:r>
          </w:p>
          <w:p w14:paraId="5E93759E" w14:textId="77777777" w:rsidR="00B86E36" w:rsidRPr="003A6407" w:rsidRDefault="00B86E36" w:rsidP="00B256CA">
            <w:pPr>
              <w:spacing w:before="60" w:after="60" w:line="240" w:lineRule="auto"/>
              <w:jc w:val="both"/>
              <w:rPr>
                <w:b/>
              </w:rPr>
            </w:pPr>
            <w:r w:rsidRPr="003A6407">
              <w:rPr>
                <w:b/>
              </w:rPr>
              <w:t xml:space="preserve">•opóźnienia, </w:t>
            </w:r>
            <w:r w:rsidRPr="003A6407">
              <w:rPr>
                <w:bCs/>
              </w:rPr>
              <w:t>bądź niewykonanie projektu związane z procedurami wynikającymi z zamówień publicznych; (istotność: poważna)</w:t>
            </w:r>
          </w:p>
          <w:p w14:paraId="5A141653"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1A8FC423"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gospodarkę regionalną, potencjalne możliwości realizacji projektów, na zdolności inwestycyjne i nastroje przedsiębiorstw oraz innych beneficjentów do inwestowania, zdolność administracyjną i kadrową; (istotność: umiarkowana)</w:t>
            </w:r>
            <w:r w:rsidR="00F70485" w:rsidRPr="003A6407">
              <w:rPr>
                <w:bCs/>
              </w:rPr>
              <w:t>.</w:t>
            </w:r>
          </w:p>
          <w:p w14:paraId="4C388C61" w14:textId="77777777" w:rsidR="00F70485" w:rsidRPr="003A6407" w:rsidRDefault="00F70485" w:rsidP="00B256CA">
            <w:pPr>
              <w:spacing w:before="60" w:after="60" w:line="240" w:lineRule="auto"/>
              <w:jc w:val="both"/>
              <w:rPr>
                <w:bCs/>
              </w:rPr>
            </w:pPr>
          </w:p>
          <w:p w14:paraId="2ABC3DB4" w14:textId="77777777" w:rsidR="00F70485" w:rsidRPr="003A6407" w:rsidRDefault="00F70485" w:rsidP="00B256CA">
            <w:pPr>
              <w:spacing w:before="60" w:after="60" w:line="240" w:lineRule="auto"/>
              <w:jc w:val="both"/>
              <w:rPr>
                <w:b/>
              </w:rPr>
            </w:pPr>
            <w:r w:rsidRPr="003A6407">
              <w:rPr>
                <w:b/>
              </w:rPr>
              <w:t>Uzasadnienie dla celu pośredniego:</w:t>
            </w:r>
          </w:p>
          <w:p w14:paraId="3FD319C1" w14:textId="0F1BDC8D" w:rsidR="00F70485" w:rsidRPr="003A6407" w:rsidRDefault="00F70485" w:rsidP="00F70485">
            <w:pPr>
              <w:spacing w:before="60" w:after="60" w:line="240" w:lineRule="auto"/>
              <w:jc w:val="both"/>
              <w:rPr>
                <w:b/>
              </w:rPr>
            </w:pPr>
            <w:r w:rsidRPr="003A6407">
              <w:rPr>
                <w:b/>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4e ), na podstawie Sprawozdania rocznego z 2021 r. - wskaźnik pn. Liczba zakupionych lub zmodernizowanych jednostek taboru pasażerskiego w publicznym transporcie zbiorowym komunikacji miejskiej dopiero w 2017 r. osiągnął wartość 4</w:t>
            </w:r>
            <w:r w:rsidR="00D75222">
              <w:rPr>
                <w:b/>
              </w:rPr>
              <w:t xml:space="preserve"> szt.</w:t>
            </w:r>
            <w:r w:rsidRPr="003A6407">
              <w:rPr>
                <w:b/>
              </w:rPr>
              <w:t>, co wobec wartości z wykonania na 2021 r. (199) stanowi zaledwie 2,01</w:t>
            </w:r>
            <w:r w:rsidR="00412D9C" w:rsidRPr="003A6407">
              <w:rPr>
                <w:b/>
              </w:rPr>
              <w:t>%</w:t>
            </w:r>
            <w:r w:rsidRPr="003A6407">
              <w:rPr>
                <w:b/>
              </w:rPr>
              <w:t xml:space="preserve">. </w:t>
            </w:r>
          </w:p>
          <w:p w14:paraId="4FA94585" w14:textId="10F1FE4D" w:rsidR="00F70485" w:rsidRPr="003A6407" w:rsidRDefault="00CA2273" w:rsidP="00F70485">
            <w:pPr>
              <w:spacing w:before="60" w:after="60" w:line="240" w:lineRule="auto"/>
              <w:jc w:val="both"/>
              <w:rPr>
                <w:b/>
              </w:rPr>
            </w:pPr>
            <w:r w:rsidRPr="00CA2273">
              <w:rPr>
                <w:b/>
              </w:rPr>
              <w:t xml:space="preserve">Ponieważ całość </w:t>
            </w:r>
            <w:proofErr w:type="spellStart"/>
            <w:r w:rsidRPr="00CA2273">
              <w:rPr>
                <w:b/>
              </w:rPr>
              <w:t>cs</w:t>
            </w:r>
            <w:proofErr w:type="spellEnd"/>
            <w:r w:rsidRPr="00CA2273">
              <w:rPr>
                <w:b/>
              </w:rPr>
              <w:t xml:space="preserve"> realizowana jest poprzez instrumenty terytorialne, przyjęcie strategii ZIT/IIT dodatkowo opóźni realizację interwencji. Wobec powyższego zakłada się wartość pośrednią tego wskaźnika na poziomie 0.</w:t>
            </w:r>
          </w:p>
        </w:tc>
      </w:tr>
    </w:tbl>
    <w:p w14:paraId="5152F2E9" w14:textId="77777777" w:rsidR="00B86E36" w:rsidRPr="003A6407" w:rsidRDefault="00B86E36" w:rsidP="00B256CA"/>
    <w:p w14:paraId="763DBCDE" w14:textId="77777777" w:rsidR="00B86E36" w:rsidRPr="003A6407" w:rsidRDefault="00B86E36" w:rsidP="0002706E">
      <w:pPr>
        <w:pStyle w:val="Nagwek2"/>
        <w:spacing w:after="200"/>
      </w:pPr>
      <w:bookmarkStart w:id="163" w:name="_Toc120464415"/>
      <w:r w:rsidRPr="003A6407">
        <w:lastRenderedPageBreak/>
        <w:t>Wskaźniki rezultatu</w:t>
      </w:r>
      <w:bookmarkEnd w:id="163"/>
    </w:p>
    <w:tbl>
      <w:tblPr>
        <w:tblW w:w="523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57"/>
        <w:gridCol w:w="738"/>
        <w:gridCol w:w="478"/>
        <w:gridCol w:w="1872"/>
        <w:gridCol w:w="729"/>
        <w:gridCol w:w="831"/>
        <w:gridCol w:w="830"/>
        <w:gridCol w:w="729"/>
        <w:gridCol w:w="727"/>
        <w:gridCol w:w="1299"/>
      </w:tblGrid>
      <w:tr w:rsidR="00191FE2" w:rsidRPr="003A6407" w14:paraId="1F8F5547" w14:textId="77777777" w:rsidTr="00B30C4B">
        <w:trPr>
          <w:cantSplit/>
          <w:trHeight w:val="1679"/>
        </w:trPr>
        <w:tc>
          <w:tcPr>
            <w:tcW w:w="317" w:type="pct"/>
            <w:vAlign w:val="center"/>
          </w:tcPr>
          <w:p w14:paraId="398383E4" w14:textId="77777777" w:rsidR="00B86E36" w:rsidRPr="003A6407" w:rsidRDefault="00B86E36" w:rsidP="00AB4F91">
            <w:pPr>
              <w:spacing w:before="120" w:after="120" w:line="240" w:lineRule="auto"/>
              <w:jc w:val="center"/>
              <w:rPr>
                <w:b/>
                <w:noProof/>
                <w:sz w:val="16"/>
                <w:szCs w:val="16"/>
              </w:rPr>
            </w:pPr>
            <w:bookmarkStart w:id="164" w:name="_Hlk117063916"/>
            <w:r w:rsidRPr="003A6407">
              <w:rPr>
                <w:b/>
                <w:noProof/>
                <w:sz w:val="16"/>
                <w:szCs w:val="16"/>
              </w:rPr>
              <w:t>CP 2</w:t>
            </w:r>
          </w:p>
          <w:p w14:paraId="05678365" w14:textId="1127D44A" w:rsidR="00B86E36" w:rsidRPr="003A6407" w:rsidRDefault="00B86E36" w:rsidP="00AB4F91">
            <w:pPr>
              <w:spacing w:before="120" w:after="120" w:line="240" w:lineRule="auto"/>
              <w:jc w:val="center"/>
              <w:rPr>
                <w:b/>
                <w:noProof/>
                <w:sz w:val="16"/>
                <w:szCs w:val="16"/>
              </w:rPr>
            </w:pPr>
            <w:r w:rsidRPr="003A6407">
              <w:rPr>
                <w:b/>
                <w:noProof/>
                <w:sz w:val="16"/>
                <w:szCs w:val="16"/>
              </w:rPr>
              <w:t>Cel szczegółowy</w:t>
            </w:r>
          </w:p>
        </w:tc>
        <w:tc>
          <w:tcPr>
            <w:tcW w:w="346" w:type="pct"/>
            <w:vAlign w:val="center"/>
          </w:tcPr>
          <w:p w14:paraId="6F286AB1"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Fundusz</w:t>
            </w:r>
          </w:p>
        </w:tc>
        <w:tc>
          <w:tcPr>
            <w:tcW w:w="389" w:type="pct"/>
            <w:vAlign w:val="center"/>
          </w:tcPr>
          <w:p w14:paraId="7C92008F"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Kategoria regionu</w:t>
            </w:r>
          </w:p>
        </w:tc>
        <w:tc>
          <w:tcPr>
            <w:tcW w:w="252" w:type="pct"/>
            <w:textDirection w:val="btLr"/>
            <w:vAlign w:val="center"/>
          </w:tcPr>
          <w:p w14:paraId="082C5C53"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Nr identyfikacyjny [5]</w:t>
            </w:r>
          </w:p>
        </w:tc>
        <w:tc>
          <w:tcPr>
            <w:tcW w:w="986" w:type="pct"/>
            <w:shd w:val="clear" w:color="auto" w:fill="auto"/>
            <w:vAlign w:val="center"/>
          </w:tcPr>
          <w:p w14:paraId="28DE7EB2" w14:textId="4007C656" w:rsidR="00B86E36" w:rsidRPr="003A6407" w:rsidRDefault="00B86E36" w:rsidP="00AB4F91">
            <w:pPr>
              <w:spacing w:before="120" w:after="120" w:line="240" w:lineRule="auto"/>
              <w:jc w:val="center"/>
              <w:rPr>
                <w:b/>
                <w:noProof/>
                <w:sz w:val="16"/>
                <w:szCs w:val="16"/>
              </w:rPr>
            </w:pPr>
            <w:r w:rsidRPr="003A6407">
              <w:rPr>
                <w:b/>
                <w:noProof/>
                <w:sz w:val="16"/>
                <w:szCs w:val="16"/>
              </w:rPr>
              <w:t>Wskaźnik [255]</w:t>
            </w:r>
          </w:p>
        </w:tc>
        <w:tc>
          <w:tcPr>
            <w:tcW w:w="384" w:type="pct"/>
            <w:textDirection w:val="btLr"/>
            <w:vAlign w:val="center"/>
          </w:tcPr>
          <w:p w14:paraId="7AAF4262"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Jednostka miary</w:t>
            </w:r>
          </w:p>
        </w:tc>
        <w:tc>
          <w:tcPr>
            <w:tcW w:w="438" w:type="pct"/>
            <w:textDirection w:val="btLr"/>
            <w:vAlign w:val="center"/>
          </w:tcPr>
          <w:p w14:paraId="3092B3FF"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Wartość bazowa lub wartość odniesienia</w:t>
            </w:r>
          </w:p>
        </w:tc>
        <w:tc>
          <w:tcPr>
            <w:tcW w:w="437" w:type="pct"/>
            <w:textDirection w:val="btLr"/>
            <w:vAlign w:val="center"/>
          </w:tcPr>
          <w:p w14:paraId="07100400"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Rok referencyjny</w:t>
            </w:r>
          </w:p>
        </w:tc>
        <w:tc>
          <w:tcPr>
            <w:tcW w:w="384" w:type="pct"/>
            <w:shd w:val="clear" w:color="auto" w:fill="auto"/>
            <w:vAlign w:val="center"/>
          </w:tcPr>
          <w:p w14:paraId="0C76169F" w14:textId="77777777" w:rsidR="00B86E36" w:rsidRPr="003A6407" w:rsidRDefault="00B86E36" w:rsidP="00AB4F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294E8218" w14:textId="77777777" w:rsidR="00B86E36" w:rsidRPr="003A6407" w:rsidRDefault="00B86E36" w:rsidP="00AB4F91">
            <w:pPr>
              <w:spacing w:before="120" w:after="120" w:line="240" w:lineRule="auto"/>
              <w:jc w:val="center"/>
              <w:rPr>
                <w:b/>
                <w:noProof/>
                <w:sz w:val="16"/>
                <w:szCs w:val="16"/>
              </w:rPr>
            </w:pPr>
          </w:p>
        </w:tc>
        <w:tc>
          <w:tcPr>
            <w:tcW w:w="383" w:type="pct"/>
            <w:shd w:val="clear" w:color="auto" w:fill="auto"/>
            <w:vAlign w:val="center"/>
          </w:tcPr>
          <w:p w14:paraId="43E18C44" w14:textId="77777777" w:rsidR="00B86E36" w:rsidRPr="003A6407" w:rsidRDefault="00B86E36" w:rsidP="00AB4F91">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684" w:type="pct"/>
            <w:vAlign w:val="center"/>
          </w:tcPr>
          <w:p w14:paraId="3ECED35C" w14:textId="77777777" w:rsidR="00B86E36" w:rsidRPr="003A6407" w:rsidRDefault="00B86E36" w:rsidP="00AB4F91">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191FE2" w:rsidRPr="003A6407" w14:paraId="10A59371" w14:textId="77777777" w:rsidTr="00B30C4B">
        <w:trPr>
          <w:trHeight w:val="340"/>
        </w:trPr>
        <w:tc>
          <w:tcPr>
            <w:tcW w:w="317" w:type="pct"/>
            <w:vAlign w:val="center"/>
          </w:tcPr>
          <w:p w14:paraId="21DC4263" w14:textId="77777777" w:rsidR="00B86E36" w:rsidRDefault="00B86E36" w:rsidP="00AB4F91">
            <w:pPr>
              <w:spacing w:before="120" w:after="120" w:line="240" w:lineRule="auto"/>
              <w:jc w:val="center"/>
              <w:rPr>
                <w:noProof/>
                <w:sz w:val="16"/>
                <w:szCs w:val="16"/>
              </w:rPr>
            </w:pPr>
            <w:r w:rsidRPr="003A6407">
              <w:rPr>
                <w:noProof/>
                <w:sz w:val="16"/>
                <w:szCs w:val="16"/>
              </w:rPr>
              <w:t>2 (viii)</w:t>
            </w:r>
          </w:p>
          <w:p w14:paraId="58C74B00" w14:textId="03D9140B" w:rsidR="00980C2E" w:rsidRPr="003A6407" w:rsidRDefault="00980C2E" w:rsidP="00AB4F91">
            <w:pPr>
              <w:spacing w:before="120" w:after="120" w:line="240" w:lineRule="auto"/>
              <w:jc w:val="center"/>
              <w:rPr>
                <w:noProof/>
                <w:sz w:val="16"/>
                <w:szCs w:val="16"/>
              </w:rPr>
            </w:pPr>
            <w:r>
              <w:rPr>
                <w:noProof/>
                <w:sz w:val="16"/>
                <w:szCs w:val="16"/>
              </w:rPr>
              <w:t>2.8</w:t>
            </w:r>
          </w:p>
        </w:tc>
        <w:tc>
          <w:tcPr>
            <w:tcW w:w="346" w:type="pct"/>
            <w:vAlign w:val="center"/>
          </w:tcPr>
          <w:p w14:paraId="70952067" w14:textId="77777777" w:rsidR="00B86E36" w:rsidRPr="003A6407" w:rsidRDefault="00B86E36" w:rsidP="00AB4F91">
            <w:pPr>
              <w:spacing w:before="120" w:after="120" w:line="240" w:lineRule="auto"/>
              <w:jc w:val="center"/>
              <w:rPr>
                <w:noProof/>
                <w:sz w:val="16"/>
                <w:szCs w:val="16"/>
              </w:rPr>
            </w:pPr>
            <w:r w:rsidRPr="003A6407">
              <w:rPr>
                <w:noProof/>
                <w:sz w:val="16"/>
                <w:szCs w:val="16"/>
              </w:rPr>
              <w:t>EFRR</w:t>
            </w:r>
          </w:p>
        </w:tc>
        <w:tc>
          <w:tcPr>
            <w:tcW w:w="389" w:type="pct"/>
            <w:vAlign w:val="center"/>
          </w:tcPr>
          <w:p w14:paraId="240914B8" w14:textId="77777777" w:rsidR="00B86E36" w:rsidRPr="003A6407" w:rsidRDefault="00B86E36" w:rsidP="00AB4F91">
            <w:pPr>
              <w:spacing w:before="120" w:after="120" w:line="240" w:lineRule="auto"/>
              <w:jc w:val="center"/>
              <w:rPr>
                <w:noProof/>
                <w:sz w:val="16"/>
                <w:szCs w:val="16"/>
              </w:rPr>
            </w:pPr>
            <w:r w:rsidRPr="003A6407">
              <w:rPr>
                <w:noProof/>
                <w:sz w:val="16"/>
                <w:szCs w:val="16"/>
              </w:rPr>
              <w:t>przejściowy</w:t>
            </w:r>
          </w:p>
        </w:tc>
        <w:tc>
          <w:tcPr>
            <w:tcW w:w="252" w:type="pct"/>
            <w:vAlign w:val="center"/>
          </w:tcPr>
          <w:p w14:paraId="0B6C8FB8" w14:textId="4FB20637" w:rsidR="00B86E36" w:rsidRPr="003A6407" w:rsidRDefault="00B86E36" w:rsidP="00AB4F91">
            <w:pPr>
              <w:spacing w:before="120" w:after="120" w:line="240" w:lineRule="auto"/>
              <w:jc w:val="center"/>
              <w:rPr>
                <w:noProof/>
                <w:sz w:val="16"/>
                <w:szCs w:val="16"/>
              </w:rPr>
            </w:pPr>
            <w:r w:rsidRPr="003A6407">
              <w:rPr>
                <w:noProof/>
                <w:sz w:val="16"/>
                <w:szCs w:val="16"/>
              </w:rPr>
              <w:t>RCR62</w:t>
            </w:r>
          </w:p>
        </w:tc>
        <w:tc>
          <w:tcPr>
            <w:tcW w:w="986" w:type="pct"/>
            <w:shd w:val="clear" w:color="auto" w:fill="auto"/>
            <w:vAlign w:val="center"/>
          </w:tcPr>
          <w:p w14:paraId="5ED23426" w14:textId="77777777" w:rsidR="00B86E36" w:rsidRPr="003A6407" w:rsidRDefault="00B86E36" w:rsidP="00AB4F91">
            <w:pPr>
              <w:keepNext/>
              <w:keepLines/>
              <w:spacing w:before="200" w:after="0"/>
              <w:jc w:val="center"/>
              <w:outlineLvl w:val="2"/>
              <w:rPr>
                <w:rFonts w:eastAsiaTheme="majorEastAsia" w:cstheme="majorBidi"/>
                <w:b/>
                <w:bCs/>
                <w:noProof/>
                <w:sz w:val="16"/>
                <w:szCs w:val="16"/>
              </w:rPr>
            </w:pPr>
            <w:bookmarkStart w:id="165" w:name="_Toc97792266"/>
            <w:bookmarkStart w:id="166" w:name="_Toc120464416"/>
            <w:r w:rsidRPr="003A6407">
              <w:rPr>
                <w:rFonts w:asciiTheme="minorHAnsi" w:eastAsia="Times New Roman" w:hAnsiTheme="minorHAnsi" w:cstheme="minorHAnsi"/>
                <w:bCs/>
                <w:noProof/>
                <w:sz w:val="16"/>
                <w:szCs w:val="16"/>
              </w:rPr>
              <w:t>Roczna liczba użytkowników nowego lub zmodernizowanego transportu publicznego</w:t>
            </w:r>
            <w:bookmarkEnd w:id="165"/>
            <w:bookmarkEnd w:id="166"/>
          </w:p>
        </w:tc>
        <w:tc>
          <w:tcPr>
            <w:tcW w:w="384" w:type="pct"/>
            <w:vAlign w:val="center"/>
          </w:tcPr>
          <w:p w14:paraId="41277962" w14:textId="77777777" w:rsidR="00B86E36" w:rsidRPr="003A6407" w:rsidRDefault="00B86E36" w:rsidP="00AB4F91">
            <w:pPr>
              <w:spacing w:before="120" w:after="120" w:line="240" w:lineRule="auto"/>
              <w:jc w:val="center"/>
              <w:rPr>
                <w:noProof/>
                <w:sz w:val="16"/>
                <w:szCs w:val="16"/>
              </w:rPr>
            </w:pPr>
            <w:r w:rsidRPr="003A6407">
              <w:rPr>
                <w:noProof/>
                <w:sz w:val="16"/>
                <w:szCs w:val="16"/>
              </w:rPr>
              <w:t>użytkownicy/rok</w:t>
            </w:r>
          </w:p>
        </w:tc>
        <w:tc>
          <w:tcPr>
            <w:tcW w:w="438" w:type="pct"/>
            <w:vAlign w:val="center"/>
          </w:tcPr>
          <w:p w14:paraId="22688DCE" w14:textId="7882ED66" w:rsidR="00B86E36" w:rsidRPr="003A6407" w:rsidRDefault="009E03DD" w:rsidP="00AB4F91">
            <w:pPr>
              <w:spacing w:before="120" w:after="120" w:line="240" w:lineRule="auto"/>
              <w:jc w:val="center"/>
              <w:rPr>
                <w:noProof/>
                <w:sz w:val="16"/>
                <w:szCs w:val="16"/>
              </w:rPr>
            </w:pPr>
            <w:r w:rsidRPr="003A6407">
              <w:rPr>
                <w:noProof/>
                <w:sz w:val="16"/>
                <w:szCs w:val="16"/>
              </w:rPr>
              <w:t>0,00</w:t>
            </w:r>
          </w:p>
        </w:tc>
        <w:tc>
          <w:tcPr>
            <w:tcW w:w="437" w:type="pct"/>
            <w:shd w:val="clear" w:color="auto" w:fill="auto"/>
            <w:vAlign w:val="center"/>
          </w:tcPr>
          <w:p w14:paraId="2014CC37" w14:textId="0EBA0D31" w:rsidR="00B86E36" w:rsidRPr="003A6407" w:rsidRDefault="009E03DD" w:rsidP="00AB4F91">
            <w:pPr>
              <w:spacing w:before="120" w:after="120" w:line="240" w:lineRule="auto"/>
              <w:jc w:val="center"/>
              <w:rPr>
                <w:noProof/>
                <w:sz w:val="16"/>
                <w:szCs w:val="16"/>
              </w:rPr>
            </w:pPr>
            <w:r w:rsidRPr="003A6407">
              <w:rPr>
                <w:noProof/>
                <w:sz w:val="16"/>
                <w:szCs w:val="16"/>
              </w:rPr>
              <w:t>2022</w:t>
            </w:r>
          </w:p>
        </w:tc>
        <w:tc>
          <w:tcPr>
            <w:tcW w:w="384" w:type="pct"/>
            <w:shd w:val="clear" w:color="auto" w:fill="auto"/>
            <w:vAlign w:val="center"/>
          </w:tcPr>
          <w:p w14:paraId="58EB0C2E" w14:textId="4DBE9ABB" w:rsidR="00B86E36" w:rsidRPr="003A6407" w:rsidRDefault="00B86E36" w:rsidP="00AB4F91">
            <w:pPr>
              <w:spacing w:before="120" w:after="120" w:line="240" w:lineRule="auto"/>
              <w:jc w:val="center"/>
              <w:rPr>
                <w:noProof/>
                <w:sz w:val="16"/>
                <w:szCs w:val="16"/>
              </w:rPr>
            </w:pPr>
            <w:r w:rsidRPr="003A6407">
              <w:rPr>
                <w:noProof/>
                <w:sz w:val="16"/>
                <w:szCs w:val="16"/>
              </w:rPr>
              <w:t>334 690</w:t>
            </w:r>
          </w:p>
        </w:tc>
        <w:tc>
          <w:tcPr>
            <w:tcW w:w="383" w:type="pct"/>
            <w:vAlign w:val="center"/>
          </w:tcPr>
          <w:p w14:paraId="4C3F3560" w14:textId="334398D0" w:rsidR="00B86E36" w:rsidRPr="003A6407" w:rsidRDefault="009E03DD" w:rsidP="00AB4F91">
            <w:pPr>
              <w:spacing w:before="120" w:after="120" w:line="240" w:lineRule="auto"/>
              <w:jc w:val="center"/>
              <w:rPr>
                <w:noProof/>
                <w:sz w:val="16"/>
                <w:szCs w:val="16"/>
              </w:rPr>
            </w:pPr>
            <w:r w:rsidRPr="003A6407">
              <w:rPr>
                <w:noProof/>
                <w:sz w:val="16"/>
                <w:szCs w:val="16"/>
              </w:rPr>
              <w:t>SL</w:t>
            </w:r>
          </w:p>
        </w:tc>
        <w:tc>
          <w:tcPr>
            <w:tcW w:w="684" w:type="pct"/>
            <w:vAlign w:val="center"/>
          </w:tcPr>
          <w:p w14:paraId="2FEF7699" w14:textId="77777777" w:rsidR="00B86E36" w:rsidRPr="003A6407" w:rsidRDefault="00B86E36" w:rsidP="00AB4F91">
            <w:pPr>
              <w:spacing w:before="120" w:after="120" w:line="240" w:lineRule="auto"/>
              <w:jc w:val="center"/>
              <w:rPr>
                <w:noProof/>
                <w:sz w:val="16"/>
                <w:szCs w:val="16"/>
              </w:rPr>
            </w:pPr>
          </w:p>
        </w:tc>
      </w:tr>
      <w:tr w:rsidR="00B86E36" w:rsidRPr="003A6407" w14:paraId="1AAA3A35" w14:textId="77777777" w:rsidTr="00B30C4B">
        <w:trPr>
          <w:trHeight w:val="340"/>
        </w:trPr>
        <w:tc>
          <w:tcPr>
            <w:tcW w:w="5000" w:type="pct"/>
            <w:gridSpan w:val="11"/>
          </w:tcPr>
          <w:p w14:paraId="3B1610F2" w14:textId="77777777" w:rsidR="00B86E36" w:rsidRPr="003A6407" w:rsidRDefault="00B86E36" w:rsidP="00B256CA">
            <w:pPr>
              <w:spacing w:before="60" w:after="60" w:line="240" w:lineRule="auto"/>
              <w:jc w:val="both"/>
            </w:pPr>
            <w:r w:rsidRPr="003A6407">
              <w:t>Metodologia:</w:t>
            </w:r>
          </w:p>
          <w:p w14:paraId="5894E4E9" w14:textId="751D22A9" w:rsidR="00B86E36" w:rsidRPr="003A6407" w:rsidRDefault="00B86E36" w:rsidP="00B256CA">
            <w:pPr>
              <w:spacing w:before="60" w:after="60" w:line="240" w:lineRule="auto"/>
              <w:jc w:val="both"/>
            </w:pPr>
            <w:r w:rsidRPr="003A6407">
              <w:t>Wskaźnik realizuje kody interwencji: 081 Infrastruktura czystego transportu miejskiego w kwocie 22 689 484 EUR oraz 082 Tabor czystego transportu miejskiego w kwocie 15 689 484 EUR o łącznej wartości 38 378 968 EUR. Uwzględniając (odejmując) koszty uproszczone na poziomie 7%, wartość alokacji realizującej dany wskaźnik wynosi 35 692 440,20 EUR.</w:t>
            </w:r>
          </w:p>
          <w:p w14:paraId="631EA60B" w14:textId="48868C63" w:rsidR="00B86E36" w:rsidRPr="003A6407" w:rsidRDefault="00B86E36" w:rsidP="00B256CA">
            <w:pPr>
              <w:spacing w:before="60" w:after="60" w:line="240" w:lineRule="auto"/>
              <w:jc w:val="both"/>
            </w:pPr>
            <w:r w:rsidRPr="003A6407">
              <w:t xml:space="preserve">Historyczny kwalifikowalny koszt jednostkowy na bazie doświadczeń z perspektywy 2014-2020 wynosi 315,39 PLN. Koszt jednostkowy został skorygowany w oparciu o wartość inflacji na poziomie 15% i wynosi 362,70 PLN, a uwzględniając dofinansowanie na poziomie 70% wynosi 253,89 PLN; biorąc pod uwagę kurs EUR na poziomie 4,45 koszt jednostkowy wynosi 57,05 EUR; na podstawie tych danych wyliczono wartość wskaźnika. Jednocześnie na podstawie </w:t>
            </w:r>
            <w:proofErr w:type="spellStart"/>
            <w:r w:rsidRPr="003A6407">
              <w:t>ryzyk</w:t>
            </w:r>
            <w:proofErr w:type="spellEnd"/>
            <w:r w:rsidRPr="003A6407">
              <w:t xml:space="preserve"> związanych z realizacją tego typu projektów określono wskaźnik kompensacji: </w:t>
            </w:r>
          </w:p>
          <w:p w14:paraId="29D4E750" w14:textId="77777777" w:rsidR="00B86E36" w:rsidRPr="003A6407" w:rsidRDefault="00B86E36" w:rsidP="00B256CA">
            <w:pPr>
              <w:spacing w:before="60" w:after="60" w:line="240" w:lineRule="auto"/>
              <w:jc w:val="both"/>
              <w:rPr>
                <w:color w:val="FF0000"/>
              </w:rPr>
            </w:pPr>
          </w:p>
          <w:p w14:paraId="67BAB071" w14:textId="77777777" w:rsidR="00B86E36" w:rsidRPr="003A6407" w:rsidRDefault="00B86E36" w:rsidP="00B256CA">
            <w:pPr>
              <w:spacing w:before="60" w:after="60" w:line="240" w:lineRule="auto"/>
              <w:jc w:val="both"/>
            </w:pPr>
            <w:r w:rsidRPr="003A6407">
              <w:t>R: [(4*25)+(4*68)]/8 = 46,5%R</w:t>
            </w:r>
          </w:p>
          <w:p w14:paraId="000FCABA" w14:textId="77777777" w:rsidR="00B86E36" w:rsidRPr="003A6407" w:rsidRDefault="00B86E36" w:rsidP="00B256CA">
            <w:pPr>
              <w:spacing w:before="60" w:after="60" w:line="240" w:lineRule="auto"/>
              <w:jc w:val="both"/>
            </w:pPr>
          </w:p>
          <w:p w14:paraId="78E0F5B8" w14:textId="77777777" w:rsidR="00B86E36" w:rsidRPr="003A6407" w:rsidRDefault="00B86E36" w:rsidP="00B256CA">
            <w:pPr>
              <w:spacing w:before="60" w:after="60" w:line="240" w:lineRule="auto"/>
              <w:jc w:val="both"/>
            </w:pPr>
            <w:r w:rsidRPr="003A6407">
              <w:t>Wyliczenie:</w:t>
            </w:r>
          </w:p>
          <w:p w14:paraId="693F7DDE" w14:textId="4C6AA18A" w:rsidR="00B86E36" w:rsidRPr="003A6407" w:rsidRDefault="00B86E36" w:rsidP="00B256CA">
            <w:pPr>
              <w:spacing w:before="60" w:after="60" w:line="240" w:lineRule="auto"/>
              <w:jc w:val="both"/>
            </w:pPr>
            <w:r w:rsidRPr="003A6407">
              <w:t>35 692 440,2 / 57,05 * (1-0,465) = 334 690 użytkowników/rok</w:t>
            </w:r>
          </w:p>
          <w:p w14:paraId="43CC9606" w14:textId="77777777" w:rsidR="00B86E36" w:rsidRPr="003A6407" w:rsidRDefault="00B86E36" w:rsidP="00B256CA">
            <w:pPr>
              <w:spacing w:before="60" w:after="60" w:line="240" w:lineRule="auto"/>
              <w:jc w:val="both"/>
            </w:pPr>
          </w:p>
          <w:p w14:paraId="1AA43EFF" w14:textId="77777777" w:rsidR="00B86E36" w:rsidRPr="003A6407" w:rsidRDefault="00B86E36" w:rsidP="00B256CA">
            <w:pPr>
              <w:spacing w:before="60" w:after="60" w:line="240" w:lineRule="auto"/>
              <w:jc w:val="both"/>
            </w:pPr>
            <w:r w:rsidRPr="003A6407">
              <w:t>Należy zwrócić szczególną uwagę na następujące czynniki ryzyka, które może mogą mieć wpływ na poziom osiągnięcia założonej wartości docelowej:</w:t>
            </w:r>
          </w:p>
          <w:p w14:paraId="2A1175CF" w14:textId="77777777" w:rsidR="00B86E36" w:rsidRPr="003A6407" w:rsidRDefault="00B86E36" w:rsidP="00B256CA">
            <w:pPr>
              <w:spacing w:before="60" w:after="60" w:line="240" w:lineRule="auto"/>
              <w:jc w:val="both"/>
            </w:pPr>
            <w:r w:rsidRPr="003A6407">
              <w:t>•</w:t>
            </w:r>
            <w:r w:rsidRPr="003A6407">
              <w:rPr>
                <w:b/>
              </w:rPr>
              <w:t>ryzyko wzrostu cen</w:t>
            </w:r>
            <w:r w:rsidRPr="003A6407">
              <w:t xml:space="preserve"> - ryzyko związane ze wzrostem kosztów produkcji (m.in. cen gazu, energii, materiałów, surowców), sprzętu i usług; ryzyko związane z poziomem inflacji; (istotność: poważna)</w:t>
            </w:r>
          </w:p>
          <w:p w14:paraId="7AE15060" w14:textId="77777777" w:rsidR="00B86E36" w:rsidRPr="003A6407" w:rsidRDefault="00B86E36" w:rsidP="00B256CA">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30D56C56" w14:textId="77777777" w:rsidR="00B86E36" w:rsidRPr="003A6407" w:rsidRDefault="00B86E36" w:rsidP="00B256CA">
            <w:pPr>
              <w:spacing w:before="60" w:after="60" w:line="240" w:lineRule="auto"/>
              <w:jc w:val="both"/>
            </w:pPr>
            <w:r w:rsidRPr="003A6407">
              <w:t>•</w:t>
            </w:r>
            <w:r w:rsidRPr="003A6407">
              <w:rPr>
                <w:b/>
              </w:rPr>
              <w:t>zawieszenie płatności przez KE dla danej osi priorytetowej</w:t>
            </w:r>
            <w:r w:rsidRPr="003A6407">
              <w:t>; (istotność: umiarkowana)</w:t>
            </w:r>
          </w:p>
          <w:p w14:paraId="06A9E3A8" w14:textId="77777777" w:rsidR="00B86E36" w:rsidRPr="003A6407" w:rsidRDefault="00B86E36" w:rsidP="00B256CA">
            <w:pPr>
              <w:spacing w:before="60" w:after="60" w:line="240" w:lineRule="auto"/>
              <w:jc w:val="both"/>
            </w:pPr>
            <w:r w:rsidRPr="003A6407">
              <w:t>•</w:t>
            </w:r>
            <w:r w:rsidRPr="003A6407">
              <w:rPr>
                <w:b/>
                <w:bCs/>
              </w:rPr>
              <w:t>czynniki które mogą wpłynąć na harmonogram realizacji planów działania dot. spełnienia warunków podstawowych,</w:t>
            </w:r>
            <w:r w:rsidRPr="003A6407">
              <w:t xml:space="preserve"> a które są poza kompetencjami IZ oraz instytucji odpowiedzialnych za spełnienie tych warunków; (istotność: umiarkowana)</w:t>
            </w:r>
          </w:p>
          <w:p w14:paraId="3E8F514A" w14:textId="77777777" w:rsidR="00B86E36" w:rsidRPr="003A6407" w:rsidRDefault="00B86E36" w:rsidP="00B256CA">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poważna)</w:t>
            </w:r>
          </w:p>
          <w:p w14:paraId="1B2E52A3" w14:textId="77777777" w:rsidR="00B86E36" w:rsidRPr="003A6407" w:rsidRDefault="00B86E36" w:rsidP="00B256CA">
            <w:pPr>
              <w:spacing w:before="60" w:after="60" w:line="240" w:lineRule="auto"/>
              <w:jc w:val="both"/>
              <w:rPr>
                <w:b/>
              </w:rPr>
            </w:pPr>
            <w:r w:rsidRPr="003A6407">
              <w:rPr>
                <w:b/>
              </w:rPr>
              <w:t xml:space="preserve">•opóźnienia, </w:t>
            </w:r>
            <w:r w:rsidRPr="003A6407">
              <w:rPr>
                <w:bCs/>
              </w:rPr>
              <w:t>bądź niewykonanie projektu związane z procedurami wynikającymi z zamówień publicznych; (istotność: poważna)</w:t>
            </w:r>
          </w:p>
          <w:p w14:paraId="5B24E705" w14:textId="77777777" w:rsidR="00B86E36" w:rsidRPr="003A6407" w:rsidRDefault="00B86E36" w:rsidP="00B256CA">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4D7EB5CA" w14:textId="77777777" w:rsidR="00B86E36" w:rsidRPr="003A6407" w:rsidRDefault="00B86E36" w:rsidP="00B256CA">
            <w:pPr>
              <w:spacing w:before="60" w:after="60" w:line="240" w:lineRule="auto"/>
              <w:jc w:val="both"/>
              <w:rPr>
                <w:bCs/>
              </w:rPr>
            </w:pPr>
            <w:r w:rsidRPr="003A6407">
              <w:rPr>
                <w:b/>
              </w:rPr>
              <w:t xml:space="preserve">•wpływ pandemii koronawirusa SARS-CoV-2 </w:t>
            </w:r>
            <w:r w:rsidRPr="003A6407">
              <w:rPr>
                <w:bCs/>
              </w:rPr>
              <w:t>na funkcjonowanie publicznego transportu zbiorowego; (istotność: poważna)</w:t>
            </w:r>
            <w:r w:rsidR="00460663" w:rsidRPr="003A6407">
              <w:rPr>
                <w:bCs/>
              </w:rPr>
              <w:t>.</w:t>
            </w:r>
          </w:p>
          <w:p w14:paraId="31BF8050" w14:textId="0550A572" w:rsidR="00460663" w:rsidRPr="003A6407" w:rsidRDefault="00460663" w:rsidP="00460663">
            <w:pPr>
              <w:spacing w:before="60" w:after="60" w:line="240" w:lineRule="auto"/>
              <w:jc w:val="both"/>
            </w:pPr>
          </w:p>
        </w:tc>
      </w:tr>
      <w:bookmarkEnd w:id="164"/>
    </w:tbl>
    <w:p w14:paraId="311AF0E2" w14:textId="77777777" w:rsidR="00AB4F91" w:rsidRPr="003A6407" w:rsidRDefault="00AB4F91"/>
    <w:tbl>
      <w:tblPr>
        <w:tblW w:w="523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666"/>
        <w:gridCol w:w="754"/>
        <w:gridCol w:w="488"/>
        <w:gridCol w:w="1902"/>
        <w:gridCol w:w="740"/>
        <w:gridCol w:w="845"/>
        <w:gridCol w:w="843"/>
        <w:gridCol w:w="740"/>
        <w:gridCol w:w="737"/>
        <w:gridCol w:w="1166"/>
      </w:tblGrid>
      <w:tr w:rsidR="00191FE2" w:rsidRPr="003A6407" w14:paraId="7504DFED" w14:textId="77777777" w:rsidTr="00B30C4B">
        <w:trPr>
          <w:cantSplit/>
          <w:trHeight w:val="1871"/>
        </w:trPr>
        <w:tc>
          <w:tcPr>
            <w:tcW w:w="322" w:type="pct"/>
            <w:vAlign w:val="center"/>
          </w:tcPr>
          <w:p w14:paraId="0F87BF20" w14:textId="77777777" w:rsidR="00B86E36" w:rsidRPr="003A6407" w:rsidRDefault="00B86E36" w:rsidP="00AB4F91">
            <w:pPr>
              <w:spacing w:before="120" w:after="120" w:line="240" w:lineRule="auto"/>
              <w:jc w:val="center"/>
              <w:rPr>
                <w:b/>
                <w:noProof/>
                <w:sz w:val="16"/>
                <w:szCs w:val="16"/>
              </w:rPr>
            </w:pPr>
            <w:bookmarkStart w:id="167" w:name="_Hlk95388577"/>
            <w:r w:rsidRPr="003A6407">
              <w:rPr>
                <w:b/>
                <w:noProof/>
                <w:sz w:val="16"/>
                <w:szCs w:val="16"/>
              </w:rPr>
              <w:lastRenderedPageBreak/>
              <w:t>CP 2</w:t>
            </w:r>
          </w:p>
          <w:p w14:paraId="65BBE71E" w14:textId="098A8106" w:rsidR="00B86E36" w:rsidRPr="003A6407" w:rsidRDefault="00B86E36" w:rsidP="00AB4F91">
            <w:pPr>
              <w:spacing w:before="120" w:after="120" w:line="240" w:lineRule="auto"/>
              <w:jc w:val="center"/>
              <w:rPr>
                <w:b/>
                <w:noProof/>
                <w:sz w:val="16"/>
                <w:szCs w:val="16"/>
              </w:rPr>
            </w:pPr>
            <w:r w:rsidRPr="003A6407">
              <w:rPr>
                <w:b/>
                <w:noProof/>
                <w:sz w:val="16"/>
                <w:szCs w:val="16"/>
              </w:rPr>
              <w:t>Cel szczegółowy</w:t>
            </w:r>
          </w:p>
        </w:tc>
        <w:tc>
          <w:tcPr>
            <w:tcW w:w="351" w:type="pct"/>
            <w:vAlign w:val="center"/>
          </w:tcPr>
          <w:p w14:paraId="749E6873"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Fundusz</w:t>
            </w:r>
          </w:p>
        </w:tc>
        <w:tc>
          <w:tcPr>
            <w:tcW w:w="397" w:type="pct"/>
            <w:vAlign w:val="center"/>
          </w:tcPr>
          <w:p w14:paraId="7C19FBF5" w14:textId="77777777" w:rsidR="00B86E36" w:rsidRPr="003A6407" w:rsidRDefault="00B86E36" w:rsidP="00AB4F91">
            <w:pPr>
              <w:spacing w:before="120" w:after="120" w:line="240" w:lineRule="auto"/>
              <w:jc w:val="center"/>
              <w:rPr>
                <w:b/>
                <w:noProof/>
                <w:sz w:val="16"/>
                <w:szCs w:val="16"/>
              </w:rPr>
            </w:pPr>
            <w:r w:rsidRPr="003A6407">
              <w:rPr>
                <w:b/>
                <w:noProof/>
                <w:sz w:val="16"/>
                <w:szCs w:val="16"/>
              </w:rPr>
              <w:t>Kategoria regionu</w:t>
            </w:r>
          </w:p>
        </w:tc>
        <w:tc>
          <w:tcPr>
            <w:tcW w:w="257" w:type="pct"/>
            <w:textDirection w:val="btLr"/>
            <w:vAlign w:val="center"/>
          </w:tcPr>
          <w:p w14:paraId="0BE3F3B2"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Nr identyfikacyjny [5]</w:t>
            </w:r>
          </w:p>
        </w:tc>
        <w:tc>
          <w:tcPr>
            <w:tcW w:w="1002" w:type="pct"/>
            <w:shd w:val="clear" w:color="auto" w:fill="auto"/>
            <w:vAlign w:val="center"/>
          </w:tcPr>
          <w:p w14:paraId="4308B9B9" w14:textId="218484BE" w:rsidR="00B86E36" w:rsidRPr="003A6407" w:rsidRDefault="00B86E36" w:rsidP="00AB4F91">
            <w:pPr>
              <w:spacing w:before="120" w:after="120" w:line="240" w:lineRule="auto"/>
              <w:jc w:val="center"/>
              <w:rPr>
                <w:b/>
                <w:noProof/>
                <w:sz w:val="16"/>
                <w:szCs w:val="16"/>
              </w:rPr>
            </w:pPr>
            <w:r w:rsidRPr="003A6407">
              <w:rPr>
                <w:b/>
                <w:noProof/>
                <w:sz w:val="16"/>
                <w:szCs w:val="16"/>
              </w:rPr>
              <w:t>Wskaźnik [255]</w:t>
            </w:r>
          </w:p>
        </w:tc>
        <w:tc>
          <w:tcPr>
            <w:tcW w:w="390" w:type="pct"/>
            <w:textDirection w:val="btLr"/>
            <w:vAlign w:val="center"/>
          </w:tcPr>
          <w:p w14:paraId="40C9C1AD"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Jednostka miary</w:t>
            </w:r>
          </w:p>
        </w:tc>
        <w:tc>
          <w:tcPr>
            <w:tcW w:w="445" w:type="pct"/>
            <w:textDirection w:val="btLr"/>
            <w:vAlign w:val="center"/>
          </w:tcPr>
          <w:p w14:paraId="1717F107"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Wartość bazowa lub wartość odniesienia</w:t>
            </w:r>
          </w:p>
        </w:tc>
        <w:tc>
          <w:tcPr>
            <w:tcW w:w="444" w:type="pct"/>
            <w:textDirection w:val="btLr"/>
            <w:vAlign w:val="center"/>
          </w:tcPr>
          <w:p w14:paraId="0C865198" w14:textId="77777777" w:rsidR="00B86E36" w:rsidRPr="003A6407" w:rsidRDefault="00B86E36" w:rsidP="00AB4F91">
            <w:pPr>
              <w:spacing w:before="120" w:after="120" w:line="240" w:lineRule="auto"/>
              <w:ind w:left="113" w:right="113"/>
              <w:jc w:val="center"/>
              <w:rPr>
                <w:b/>
                <w:noProof/>
                <w:sz w:val="16"/>
                <w:szCs w:val="16"/>
              </w:rPr>
            </w:pPr>
            <w:r w:rsidRPr="003A6407">
              <w:rPr>
                <w:b/>
                <w:noProof/>
                <w:sz w:val="16"/>
                <w:szCs w:val="16"/>
              </w:rPr>
              <w:t>Rok referencyjny</w:t>
            </w:r>
          </w:p>
        </w:tc>
        <w:tc>
          <w:tcPr>
            <w:tcW w:w="390" w:type="pct"/>
            <w:shd w:val="clear" w:color="auto" w:fill="auto"/>
            <w:vAlign w:val="center"/>
          </w:tcPr>
          <w:p w14:paraId="17F4E29A" w14:textId="77777777" w:rsidR="00B86E36" w:rsidRPr="003A6407" w:rsidRDefault="00B86E36" w:rsidP="00AB4F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28A5F222" w14:textId="77777777" w:rsidR="00B86E36" w:rsidRPr="003A6407" w:rsidRDefault="00B86E36" w:rsidP="00AB4F91">
            <w:pPr>
              <w:spacing w:before="120" w:after="120" w:line="240" w:lineRule="auto"/>
              <w:jc w:val="center"/>
              <w:rPr>
                <w:b/>
                <w:noProof/>
                <w:sz w:val="16"/>
                <w:szCs w:val="16"/>
              </w:rPr>
            </w:pPr>
          </w:p>
        </w:tc>
        <w:tc>
          <w:tcPr>
            <w:tcW w:w="388" w:type="pct"/>
            <w:shd w:val="clear" w:color="auto" w:fill="auto"/>
            <w:vAlign w:val="center"/>
          </w:tcPr>
          <w:p w14:paraId="0146C112" w14:textId="77777777" w:rsidR="00B86E36" w:rsidRPr="003A6407" w:rsidRDefault="00B86E36" w:rsidP="00AB4F91">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615" w:type="pct"/>
            <w:vAlign w:val="center"/>
          </w:tcPr>
          <w:p w14:paraId="1269844B" w14:textId="77777777" w:rsidR="00B86E36" w:rsidRPr="003A6407" w:rsidRDefault="00B86E36" w:rsidP="00AB4F91">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191FE2" w:rsidRPr="003A6407" w14:paraId="39B1965E" w14:textId="77777777" w:rsidTr="00B30C4B">
        <w:trPr>
          <w:trHeight w:val="340"/>
        </w:trPr>
        <w:tc>
          <w:tcPr>
            <w:tcW w:w="322" w:type="pct"/>
            <w:vAlign w:val="center"/>
          </w:tcPr>
          <w:p w14:paraId="1D6D32AA" w14:textId="77777777" w:rsidR="00B86E36" w:rsidRDefault="00B86E36" w:rsidP="00AB4F91">
            <w:pPr>
              <w:spacing w:before="120" w:after="120" w:line="240" w:lineRule="auto"/>
              <w:jc w:val="center"/>
              <w:rPr>
                <w:noProof/>
                <w:sz w:val="16"/>
                <w:szCs w:val="16"/>
              </w:rPr>
            </w:pPr>
            <w:r w:rsidRPr="003A6407">
              <w:rPr>
                <w:noProof/>
                <w:sz w:val="16"/>
                <w:szCs w:val="16"/>
              </w:rPr>
              <w:t>2 (viii)</w:t>
            </w:r>
          </w:p>
          <w:p w14:paraId="570F72A8" w14:textId="01DF592D" w:rsidR="00980C2E" w:rsidRPr="003A6407" w:rsidRDefault="00980C2E" w:rsidP="00AB4F91">
            <w:pPr>
              <w:spacing w:before="120" w:after="120" w:line="240" w:lineRule="auto"/>
              <w:jc w:val="center"/>
              <w:rPr>
                <w:noProof/>
                <w:sz w:val="16"/>
                <w:szCs w:val="16"/>
              </w:rPr>
            </w:pPr>
            <w:r>
              <w:rPr>
                <w:noProof/>
                <w:sz w:val="16"/>
                <w:szCs w:val="16"/>
              </w:rPr>
              <w:t>2.8</w:t>
            </w:r>
          </w:p>
        </w:tc>
        <w:tc>
          <w:tcPr>
            <w:tcW w:w="351" w:type="pct"/>
            <w:vAlign w:val="center"/>
          </w:tcPr>
          <w:p w14:paraId="06AE7A51" w14:textId="77777777" w:rsidR="00B86E36" w:rsidRPr="003A6407" w:rsidRDefault="00B86E36" w:rsidP="00AB4F91">
            <w:pPr>
              <w:spacing w:before="120" w:after="120" w:line="240" w:lineRule="auto"/>
              <w:jc w:val="center"/>
              <w:rPr>
                <w:noProof/>
                <w:sz w:val="16"/>
                <w:szCs w:val="16"/>
              </w:rPr>
            </w:pPr>
            <w:r w:rsidRPr="003A6407">
              <w:rPr>
                <w:noProof/>
                <w:sz w:val="16"/>
                <w:szCs w:val="16"/>
              </w:rPr>
              <w:t>EFRR</w:t>
            </w:r>
          </w:p>
        </w:tc>
        <w:tc>
          <w:tcPr>
            <w:tcW w:w="397" w:type="pct"/>
            <w:vAlign w:val="center"/>
          </w:tcPr>
          <w:p w14:paraId="6E971C63" w14:textId="77777777" w:rsidR="00B86E36" w:rsidRPr="003A6407" w:rsidRDefault="00B86E36" w:rsidP="00AB4F91">
            <w:pPr>
              <w:spacing w:before="120" w:after="120" w:line="240" w:lineRule="auto"/>
              <w:jc w:val="center"/>
              <w:rPr>
                <w:noProof/>
                <w:sz w:val="16"/>
                <w:szCs w:val="16"/>
              </w:rPr>
            </w:pPr>
            <w:r w:rsidRPr="003A6407">
              <w:rPr>
                <w:noProof/>
                <w:sz w:val="16"/>
                <w:szCs w:val="16"/>
              </w:rPr>
              <w:t>przejściowy</w:t>
            </w:r>
          </w:p>
        </w:tc>
        <w:tc>
          <w:tcPr>
            <w:tcW w:w="257" w:type="pct"/>
            <w:vAlign w:val="center"/>
          </w:tcPr>
          <w:p w14:paraId="3628ED30" w14:textId="4B5A980A" w:rsidR="00B86E36" w:rsidRPr="003A6407" w:rsidRDefault="00B86E36" w:rsidP="00AB4F91">
            <w:pPr>
              <w:spacing w:before="120" w:after="120" w:line="240" w:lineRule="auto"/>
              <w:jc w:val="center"/>
              <w:rPr>
                <w:noProof/>
                <w:sz w:val="16"/>
                <w:szCs w:val="16"/>
              </w:rPr>
            </w:pPr>
            <w:r w:rsidRPr="003A6407">
              <w:rPr>
                <w:noProof/>
                <w:sz w:val="16"/>
                <w:szCs w:val="16"/>
              </w:rPr>
              <w:t>RCR64</w:t>
            </w:r>
          </w:p>
        </w:tc>
        <w:tc>
          <w:tcPr>
            <w:tcW w:w="1002" w:type="pct"/>
            <w:shd w:val="clear" w:color="auto" w:fill="auto"/>
            <w:vAlign w:val="center"/>
          </w:tcPr>
          <w:p w14:paraId="5B202194" w14:textId="77777777" w:rsidR="00B86E36" w:rsidRPr="003A6407" w:rsidRDefault="00B86E36" w:rsidP="00AB4F91">
            <w:pPr>
              <w:keepNext/>
              <w:keepLines/>
              <w:spacing w:before="200" w:after="0"/>
              <w:jc w:val="center"/>
              <w:outlineLvl w:val="2"/>
              <w:rPr>
                <w:rFonts w:eastAsiaTheme="majorEastAsia" w:cstheme="majorBidi"/>
                <w:b/>
                <w:bCs/>
                <w:noProof/>
                <w:sz w:val="16"/>
                <w:szCs w:val="16"/>
              </w:rPr>
            </w:pPr>
            <w:bookmarkStart w:id="168" w:name="_Toc97792267"/>
            <w:bookmarkStart w:id="169" w:name="_Toc120464417"/>
            <w:r w:rsidRPr="003A6407">
              <w:rPr>
                <w:rFonts w:asciiTheme="minorHAnsi" w:eastAsia="Times New Roman" w:hAnsiTheme="minorHAnsi" w:cstheme="minorHAnsi"/>
                <w:bCs/>
                <w:noProof/>
                <w:sz w:val="16"/>
                <w:szCs w:val="16"/>
              </w:rPr>
              <w:t>Roczna liczba uzytkowników infrastruktury rowerowej</w:t>
            </w:r>
            <w:bookmarkEnd w:id="168"/>
            <w:bookmarkEnd w:id="169"/>
          </w:p>
        </w:tc>
        <w:tc>
          <w:tcPr>
            <w:tcW w:w="390" w:type="pct"/>
            <w:vAlign w:val="center"/>
          </w:tcPr>
          <w:p w14:paraId="7AB50E1E" w14:textId="77777777" w:rsidR="00B86E36" w:rsidRPr="003A6407" w:rsidRDefault="00B86E36" w:rsidP="00AB4F91">
            <w:pPr>
              <w:spacing w:before="120" w:after="120" w:line="240" w:lineRule="auto"/>
              <w:jc w:val="center"/>
              <w:rPr>
                <w:noProof/>
                <w:sz w:val="16"/>
                <w:szCs w:val="16"/>
              </w:rPr>
            </w:pPr>
            <w:r w:rsidRPr="003A6407">
              <w:rPr>
                <w:noProof/>
                <w:sz w:val="16"/>
                <w:szCs w:val="16"/>
              </w:rPr>
              <w:t>Użytkownicy/rok</w:t>
            </w:r>
          </w:p>
        </w:tc>
        <w:tc>
          <w:tcPr>
            <w:tcW w:w="445" w:type="pct"/>
            <w:vAlign w:val="center"/>
          </w:tcPr>
          <w:p w14:paraId="0EEB8F8F" w14:textId="7C052D7C" w:rsidR="00B86E36" w:rsidRPr="003A6407" w:rsidRDefault="009E03DD" w:rsidP="00AB4F91">
            <w:pPr>
              <w:spacing w:before="120" w:after="120" w:line="240" w:lineRule="auto"/>
              <w:jc w:val="center"/>
              <w:rPr>
                <w:noProof/>
                <w:sz w:val="16"/>
                <w:szCs w:val="16"/>
              </w:rPr>
            </w:pPr>
            <w:r w:rsidRPr="003A6407">
              <w:rPr>
                <w:noProof/>
                <w:sz w:val="16"/>
                <w:szCs w:val="16"/>
              </w:rPr>
              <w:t>0,00</w:t>
            </w:r>
          </w:p>
        </w:tc>
        <w:tc>
          <w:tcPr>
            <w:tcW w:w="444" w:type="pct"/>
            <w:shd w:val="clear" w:color="auto" w:fill="auto"/>
            <w:vAlign w:val="center"/>
          </w:tcPr>
          <w:p w14:paraId="7DEF21C2" w14:textId="22705255" w:rsidR="00B86E36" w:rsidRPr="003A6407" w:rsidRDefault="009E03DD" w:rsidP="00AB4F91">
            <w:pPr>
              <w:spacing w:before="120" w:after="120" w:line="240" w:lineRule="auto"/>
              <w:jc w:val="center"/>
              <w:rPr>
                <w:noProof/>
                <w:sz w:val="16"/>
                <w:szCs w:val="16"/>
              </w:rPr>
            </w:pPr>
            <w:r w:rsidRPr="003A6407">
              <w:rPr>
                <w:noProof/>
                <w:sz w:val="16"/>
                <w:szCs w:val="16"/>
              </w:rPr>
              <w:t>2022</w:t>
            </w:r>
          </w:p>
        </w:tc>
        <w:tc>
          <w:tcPr>
            <w:tcW w:w="390" w:type="pct"/>
            <w:shd w:val="clear" w:color="auto" w:fill="auto"/>
            <w:vAlign w:val="center"/>
          </w:tcPr>
          <w:p w14:paraId="59EF1440" w14:textId="77777777" w:rsidR="00B86E36" w:rsidRPr="003A6407" w:rsidRDefault="00B86E36" w:rsidP="00AB4F91">
            <w:pPr>
              <w:spacing w:before="120" w:after="120" w:line="240" w:lineRule="auto"/>
              <w:jc w:val="center"/>
              <w:rPr>
                <w:noProof/>
                <w:sz w:val="16"/>
                <w:szCs w:val="16"/>
              </w:rPr>
            </w:pPr>
            <w:r w:rsidRPr="003A6407">
              <w:rPr>
                <w:noProof/>
                <w:sz w:val="16"/>
                <w:szCs w:val="16"/>
              </w:rPr>
              <w:t>117 150</w:t>
            </w:r>
          </w:p>
        </w:tc>
        <w:tc>
          <w:tcPr>
            <w:tcW w:w="388" w:type="pct"/>
            <w:vAlign w:val="center"/>
          </w:tcPr>
          <w:p w14:paraId="43E8AFFE" w14:textId="223AD8DD" w:rsidR="00B86E36" w:rsidRPr="003A6407" w:rsidRDefault="009E03DD" w:rsidP="00AB4F91">
            <w:pPr>
              <w:spacing w:before="120" w:after="120" w:line="240" w:lineRule="auto"/>
              <w:jc w:val="center"/>
              <w:rPr>
                <w:noProof/>
                <w:sz w:val="16"/>
                <w:szCs w:val="16"/>
              </w:rPr>
            </w:pPr>
            <w:r w:rsidRPr="003A6407">
              <w:rPr>
                <w:noProof/>
                <w:sz w:val="16"/>
                <w:szCs w:val="16"/>
              </w:rPr>
              <w:t>SL</w:t>
            </w:r>
          </w:p>
        </w:tc>
        <w:tc>
          <w:tcPr>
            <w:tcW w:w="615" w:type="pct"/>
            <w:vAlign w:val="center"/>
          </w:tcPr>
          <w:p w14:paraId="50B48DD2" w14:textId="77777777" w:rsidR="00B86E36" w:rsidRPr="003A6407" w:rsidRDefault="00B86E36" w:rsidP="00AB4F91">
            <w:pPr>
              <w:spacing w:before="120" w:after="120" w:line="240" w:lineRule="auto"/>
              <w:jc w:val="center"/>
              <w:rPr>
                <w:noProof/>
                <w:sz w:val="16"/>
                <w:szCs w:val="16"/>
              </w:rPr>
            </w:pPr>
          </w:p>
        </w:tc>
      </w:tr>
      <w:tr w:rsidR="00B86E36" w:rsidRPr="003A6407" w14:paraId="7E4E4F38" w14:textId="77777777" w:rsidTr="00B30C4B">
        <w:trPr>
          <w:trHeight w:val="340"/>
        </w:trPr>
        <w:tc>
          <w:tcPr>
            <w:tcW w:w="5000" w:type="pct"/>
            <w:gridSpan w:val="11"/>
          </w:tcPr>
          <w:p w14:paraId="6CE26F42" w14:textId="65FF8B1C" w:rsidR="00B86E36" w:rsidRPr="003A6407" w:rsidRDefault="00B86E36" w:rsidP="00313525">
            <w:pPr>
              <w:spacing w:before="200"/>
            </w:pPr>
            <w:r w:rsidRPr="003A6407">
              <w:t>Metodologia:</w:t>
            </w:r>
          </w:p>
          <w:p w14:paraId="45D33262" w14:textId="77777777" w:rsidR="00B86E36" w:rsidRPr="003A6407" w:rsidRDefault="00B86E36" w:rsidP="00313525">
            <w:r w:rsidRPr="003A6407">
              <w:t xml:space="preserve">Dane źródłowe - Pomiary ruchu rowerowego 2020, Warszawa, wrzesień 2020: </w:t>
            </w:r>
            <w:hyperlink r:id="rId17" w:history="1">
              <w:r w:rsidRPr="003A6407">
                <w:rPr>
                  <w:color w:val="0000FF" w:themeColor="hyperlink"/>
                  <w:u w:val="single"/>
                </w:rPr>
                <w:t>https://zdm.waw.pl/wp-content/uploads/2020/11/Pomiary-ruchu-rowerowego-2020-w-Warszawie-raport.pdf</w:t>
              </w:r>
            </w:hyperlink>
          </w:p>
          <w:p w14:paraId="5240B9BC" w14:textId="77777777" w:rsidR="00B86E36" w:rsidRPr="003A6407" w:rsidRDefault="00B86E36" w:rsidP="00313525">
            <w:r w:rsidRPr="003A6407">
              <w:t>Średnia tygodniowa na podstawie średniej dobowej natężenia ruchu rowerowego w Warszawie na podstawie ww. dokumentu wynosi ok. 48 tyś. użytkowników rowerów na dobę.</w:t>
            </w:r>
          </w:p>
          <w:p w14:paraId="18223CDD" w14:textId="77777777" w:rsidR="00B86E36" w:rsidRPr="003A6407" w:rsidRDefault="00B86E36" w:rsidP="00313525">
            <w:r w:rsidRPr="003A6407">
              <w:t>Warszawa ma ok. 1,76 mln mieszkańców. Wrocław ma ok. 640 mieszkańców co stanowi ok. 36% mieszkańców Warszawy.</w:t>
            </w:r>
          </w:p>
          <w:p w14:paraId="74859C69" w14:textId="77777777" w:rsidR="00B86E36" w:rsidRPr="003A6407" w:rsidRDefault="00B86E36" w:rsidP="00313525">
            <w:r w:rsidRPr="003A6407">
              <w:t xml:space="preserve">Wobec powyższego we Wrocławiu założono udział 36% * 48 tyś użytkowników rowerów/dobę = 17 280 użytkowników rowerów na dobę. </w:t>
            </w:r>
          </w:p>
          <w:p w14:paraId="44CE55D7" w14:textId="77777777" w:rsidR="00B86E36" w:rsidRPr="003A6407" w:rsidRDefault="00B86E36" w:rsidP="00313525">
            <w:pPr>
              <w:spacing w:before="60" w:after="60" w:line="240" w:lineRule="auto"/>
              <w:jc w:val="both"/>
            </w:pPr>
            <w:r w:rsidRPr="003A6407">
              <w:t>Jednocześnie należy zwrócić szczególną uwagę na następujące czynniki ryzyka, które może mogą mieć wpływ na poziom osiągnięcia założonej wartości docelowej:</w:t>
            </w:r>
          </w:p>
          <w:p w14:paraId="3ABFEFF3" w14:textId="77777777" w:rsidR="00B86E36" w:rsidRPr="003A6407" w:rsidRDefault="00B86E36" w:rsidP="00313525">
            <w:pPr>
              <w:spacing w:before="60" w:after="60" w:line="240" w:lineRule="auto"/>
              <w:jc w:val="both"/>
            </w:pPr>
            <w:r w:rsidRPr="003A6407">
              <w:t>•</w:t>
            </w:r>
            <w:r w:rsidRPr="003A6407">
              <w:rPr>
                <w:b/>
              </w:rPr>
              <w:t>ryzyko zmieniającej się ceny</w:t>
            </w:r>
            <w:r w:rsidRPr="003A6407">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poważna)</w:t>
            </w:r>
          </w:p>
          <w:p w14:paraId="706504C2" w14:textId="77777777" w:rsidR="00B86E36" w:rsidRPr="003A6407" w:rsidRDefault="00B86E36" w:rsidP="00313525">
            <w:pPr>
              <w:spacing w:before="60" w:after="60" w:line="240" w:lineRule="auto"/>
              <w:jc w:val="both"/>
            </w:pPr>
            <w:r w:rsidRPr="003A6407">
              <w:t>•</w:t>
            </w:r>
            <w:r w:rsidRPr="003A6407">
              <w:rPr>
                <w:b/>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6E746B41" w14:textId="77777777" w:rsidR="00B86E36" w:rsidRPr="003A6407" w:rsidRDefault="00B86E36" w:rsidP="00313525">
            <w:pPr>
              <w:spacing w:before="60" w:after="60" w:line="240" w:lineRule="auto"/>
              <w:jc w:val="both"/>
            </w:pPr>
            <w:r w:rsidRPr="003A6407">
              <w:t>•</w:t>
            </w:r>
            <w:r w:rsidRPr="003A6407">
              <w:rPr>
                <w:b/>
              </w:rPr>
              <w:t>zawieszenie płatności przez KE dla danej osi priorytetowej</w:t>
            </w:r>
            <w:r w:rsidRPr="003A6407">
              <w:t>; (istotność: umiarkowana)</w:t>
            </w:r>
          </w:p>
          <w:p w14:paraId="0343824C" w14:textId="77777777" w:rsidR="00B86E36" w:rsidRPr="003A6407" w:rsidRDefault="00B86E36" w:rsidP="00313525">
            <w:pPr>
              <w:spacing w:before="60" w:after="60" w:line="240" w:lineRule="auto"/>
              <w:jc w:val="both"/>
            </w:pPr>
            <w:r w:rsidRPr="003A6407">
              <w:t>•</w:t>
            </w:r>
            <w:r w:rsidRPr="003A6407">
              <w:rPr>
                <w:b/>
                <w:bCs/>
              </w:rPr>
              <w:t xml:space="preserve">czynniki które mogą wpłynąć na harmonogram realizacji planów działania dot. spełnienia warunków wstępnych (ex </w:t>
            </w:r>
            <w:proofErr w:type="spellStart"/>
            <w:r w:rsidRPr="003A6407">
              <w:rPr>
                <w:b/>
                <w:bCs/>
              </w:rPr>
              <w:t>ante</w:t>
            </w:r>
            <w:proofErr w:type="spellEnd"/>
            <w:r w:rsidRPr="003A6407">
              <w:rPr>
                <w:b/>
                <w:bCs/>
              </w:rPr>
              <w:t>),</w:t>
            </w:r>
            <w:r w:rsidRPr="003A6407">
              <w:t xml:space="preserve"> a które są poza kompetencjami IZ oraz instytucji odpowiedzialnych za spełnienie tych warunków; (istotność: umiarkowana)</w:t>
            </w:r>
          </w:p>
          <w:p w14:paraId="4FEA3D74" w14:textId="77777777" w:rsidR="00B86E36" w:rsidRPr="003A6407" w:rsidRDefault="00B86E36" w:rsidP="00313525">
            <w:pPr>
              <w:spacing w:before="60" w:after="60" w:line="240" w:lineRule="auto"/>
              <w:jc w:val="both"/>
            </w:pPr>
            <w:r w:rsidRPr="003A6407">
              <w:t>•</w:t>
            </w:r>
            <w:r w:rsidRPr="003A6407">
              <w:rPr>
                <w:b/>
              </w:rPr>
              <w:t>ostateczne ustalenia dot. występowania i poziomu pomocy publicznej</w:t>
            </w:r>
            <w:r w:rsidRPr="003A6407">
              <w:t>; (istotność: umiarkowana)</w:t>
            </w:r>
          </w:p>
          <w:p w14:paraId="68446C8C" w14:textId="77777777" w:rsidR="00B86E36" w:rsidRPr="003A6407" w:rsidRDefault="00B86E36" w:rsidP="00313525">
            <w:pPr>
              <w:spacing w:before="60" w:after="60" w:line="240" w:lineRule="auto"/>
              <w:jc w:val="both"/>
            </w:pPr>
            <w:r w:rsidRPr="003A6407">
              <w:t>•</w:t>
            </w:r>
            <w:r w:rsidRPr="003A6407">
              <w:rPr>
                <w:b/>
              </w:rPr>
              <w:t>problemy z zabezpieczeniem</w:t>
            </w:r>
            <w:r w:rsidRPr="003A6407">
              <w:t xml:space="preserve"> </w:t>
            </w:r>
            <w:r w:rsidRPr="003A6407">
              <w:rPr>
                <w:b/>
              </w:rPr>
              <w:t>wkładu własnego wnioskodawcy</w:t>
            </w:r>
            <w:r w:rsidRPr="003A6407">
              <w:t>; (istotność: umiarkowana)</w:t>
            </w:r>
          </w:p>
          <w:p w14:paraId="24052CCC" w14:textId="77777777" w:rsidR="00B86E36" w:rsidRPr="003A6407" w:rsidRDefault="00B86E36" w:rsidP="00313525">
            <w:pPr>
              <w:spacing w:before="60" w:after="60" w:line="240" w:lineRule="auto"/>
              <w:jc w:val="both"/>
              <w:rPr>
                <w:b/>
              </w:rPr>
            </w:pPr>
            <w:r w:rsidRPr="003A6407">
              <w:rPr>
                <w:b/>
              </w:rPr>
              <w:t xml:space="preserve">•opóźnienia, </w:t>
            </w:r>
            <w:r w:rsidRPr="003A6407">
              <w:rPr>
                <w:bCs/>
              </w:rPr>
              <w:t>bądź niewykonanie projektu związane z procedurami wynikającymi z zamówień publicznych; (istotność: poważna)</w:t>
            </w:r>
          </w:p>
          <w:p w14:paraId="75946433" w14:textId="77777777" w:rsidR="00B86E36" w:rsidRPr="003A6407" w:rsidRDefault="00B86E36" w:rsidP="00313525">
            <w:pPr>
              <w:spacing w:before="60" w:after="60" w:line="240" w:lineRule="auto"/>
              <w:jc w:val="both"/>
              <w:rPr>
                <w:b/>
              </w:rPr>
            </w:pPr>
            <w:r w:rsidRPr="003A6407">
              <w:rPr>
                <w:b/>
              </w:rPr>
              <w:t xml:space="preserve">•zmiany w uwarunkowaniach prawnych mające wpływ na planowanie i realizację projektu. </w:t>
            </w:r>
            <w:r w:rsidRPr="003A6407">
              <w:rPr>
                <w:bCs/>
              </w:rPr>
              <w:t>(istotność: umiarkowana)</w:t>
            </w:r>
          </w:p>
          <w:p w14:paraId="58D4ED6A" w14:textId="77777777" w:rsidR="00B86E36" w:rsidRPr="003A6407" w:rsidRDefault="00B86E36" w:rsidP="00313525">
            <w:pPr>
              <w:spacing w:before="60" w:after="60" w:line="240" w:lineRule="auto"/>
              <w:jc w:val="both"/>
              <w:rPr>
                <w:bCs/>
              </w:rPr>
            </w:pPr>
            <w:r w:rsidRPr="003A6407">
              <w:rPr>
                <w:b/>
              </w:rPr>
              <w:t xml:space="preserve">•wpływ pandemii koronawirusa SARS-CoV-2 </w:t>
            </w:r>
            <w:r w:rsidRPr="003A6407">
              <w:rPr>
                <w:bCs/>
              </w:rPr>
              <w:t>na gospodarkę regionalną, potencjalne możliwości realizacji projektów, na zdolności inwestycyjne i nastroje przedsiębiorstw oraz innych beneficjentów do inwestowania, zdolność administracyjną i kadrową. (istotność: umiarkowana)</w:t>
            </w:r>
          </w:p>
          <w:p w14:paraId="7BA4E321" w14:textId="77777777" w:rsidR="00B86E36" w:rsidRPr="003A6407" w:rsidRDefault="00B86E36" w:rsidP="00313525">
            <w:pPr>
              <w:spacing w:before="60" w:after="60" w:line="240" w:lineRule="auto"/>
              <w:jc w:val="both"/>
            </w:pPr>
          </w:p>
          <w:p w14:paraId="7FAA7134" w14:textId="77777777" w:rsidR="00B86E36" w:rsidRPr="003A6407" w:rsidRDefault="00B86E36" w:rsidP="00313525">
            <w:pPr>
              <w:spacing w:before="60" w:after="60" w:line="240" w:lineRule="auto"/>
              <w:jc w:val="both"/>
            </w:pPr>
            <w:r w:rsidRPr="003A6407">
              <w:t xml:space="preserve">Mając na uwadze powyższe wskaźnik kompensacji wynosi: </w:t>
            </w:r>
          </w:p>
          <w:p w14:paraId="48C5E0C9" w14:textId="77777777" w:rsidR="00B86E36" w:rsidRPr="003A6407" w:rsidRDefault="00B86E36" w:rsidP="00313525">
            <w:pPr>
              <w:spacing w:before="60" w:after="60" w:line="240" w:lineRule="auto"/>
              <w:jc w:val="both"/>
            </w:pPr>
            <w:r w:rsidRPr="003A6407">
              <w:t>R: [(6*25)+(3*68)]/9 = 39,3%</w:t>
            </w:r>
          </w:p>
          <w:p w14:paraId="6A4D5376" w14:textId="77777777" w:rsidR="00B86E36" w:rsidRPr="003A6407" w:rsidRDefault="00B86E36" w:rsidP="00313525"/>
          <w:p w14:paraId="3387CAE8" w14:textId="77777777" w:rsidR="00B86E36" w:rsidRPr="003A6407" w:rsidRDefault="00B86E36" w:rsidP="00313525">
            <w:r w:rsidRPr="003A6407">
              <w:t>Zatem we Wrocławiu średnia liczba użytkowników rowerów dobowo to 17 280 * (1-0,393) = 10 489 użytkowników rowerów na dobę.</w:t>
            </w:r>
          </w:p>
          <w:p w14:paraId="7B7FF57A" w14:textId="77777777" w:rsidR="00B86E36" w:rsidRPr="003A6407" w:rsidRDefault="00B86E36" w:rsidP="00313525">
            <w:r w:rsidRPr="003A6407">
              <w:t xml:space="preserve">Jednocześnie mając na uwadze, iż realizacja przedmiotowego wskaźnika będzie zależna od realizacji projektu uwzględnionego w Kontrakcie Programowym FEDS 2021-2027 pn. Dolnośląska </w:t>
            </w:r>
            <w:proofErr w:type="spellStart"/>
            <w:r w:rsidRPr="003A6407">
              <w:t>Cyklostrada</w:t>
            </w:r>
            <w:proofErr w:type="spellEnd"/>
            <w:r w:rsidRPr="003A6407">
              <w:t xml:space="preserve"> – rozwój zeroemisyjnej mobilności rowerowej poprzez budowę sieci głównych tras rowerowych łączących najważniejsze ośrodki regionu, na podstawie szacunkowych przebiegów tras przedstawianych przez Instytut Rozwoju Terytorialnego można założyć, iż:</w:t>
            </w:r>
          </w:p>
          <w:p w14:paraId="76F9494B" w14:textId="77777777" w:rsidR="00B86E36" w:rsidRPr="003A6407" w:rsidRDefault="00B86E36" w:rsidP="00313525">
            <w:r w:rsidRPr="003A6407">
              <w:t>82% to obszary przyrodniczo chronione oraz pozostałe tereny</w:t>
            </w:r>
          </w:p>
          <w:p w14:paraId="547DCBBD" w14:textId="77777777" w:rsidR="00B86E36" w:rsidRPr="003A6407" w:rsidRDefault="00B86E36" w:rsidP="00313525">
            <w:r w:rsidRPr="003A6407">
              <w:t>18% to MOF</w:t>
            </w:r>
          </w:p>
          <w:p w14:paraId="78FDF77C" w14:textId="77777777" w:rsidR="00B86E36" w:rsidRPr="003A6407" w:rsidRDefault="00B86E36" w:rsidP="00313525">
            <w:r w:rsidRPr="003A6407">
              <w:t xml:space="preserve">Mając na uwadze powyższe </w:t>
            </w:r>
          </w:p>
          <w:p w14:paraId="420C4A7B" w14:textId="77777777" w:rsidR="00B86E36" w:rsidRPr="003A6407" w:rsidRDefault="00B86E36" w:rsidP="00313525">
            <w:r w:rsidRPr="003A6407">
              <w:t>82% * 10 489 = 8 601 / dobę. Co w skali roku daje 8 601 * 365 = 3 139 365 użytkowników rowerów rocznie</w:t>
            </w:r>
          </w:p>
          <w:p w14:paraId="6C922307" w14:textId="77777777" w:rsidR="00B86E36" w:rsidRPr="003A6407" w:rsidRDefault="00B86E36" w:rsidP="00313525">
            <w:r w:rsidRPr="003A6407">
              <w:t>18% * 10 489 = 1 888 / dobę. Co w skali roku daje 1 888 * 365 = 689 120 użytkowników rowerów rocznie</w:t>
            </w:r>
          </w:p>
          <w:p w14:paraId="3D56B549" w14:textId="77777777" w:rsidR="00B86E36" w:rsidRPr="003A6407" w:rsidRDefault="00B86E36" w:rsidP="00313525">
            <w:r w:rsidRPr="003A6407">
              <w:t>Kod interwencji 083 Infrastruktura rowerowa wskazany jest w FEDS do realizacji w następujących celach szczegółowych:</w:t>
            </w:r>
          </w:p>
          <w:p w14:paraId="4275812B" w14:textId="7517CEBC" w:rsidR="00B86E36" w:rsidRPr="003A6407" w:rsidRDefault="00B86E36" w:rsidP="00313525">
            <w:r w:rsidRPr="003A6407">
              <w:t xml:space="preserve">Ochrona przyrody i klimatu – </w:t>
            </w:r>
            <w:r w:rsidR="00CF377A">
              <w:t>37 059 428</w:t>
            </w:r>
            <w:r w:rsidRPr="003A6407">
              <w:t xml:space="preserve"> EUR</w:t>
            </w:r>
          </w:p>
          <w:p w14:paraId="30E92BAF" w14:textId="2D62FE3B" w:rsidR="00B86E36" w:rsidRPr="003A6407" w:rsidRDefault="00B86E36" w:rsidP="00313525">
            <w:r w:rsidRPr="003A6407">
              <w:t>Mobilność miejska i aglomeracyjna – 27 585 97</w:t>
            </w:r>
            <w:r w:rsidR="00CF377A">
              <w:t>7</w:t>
            </w:r>
            <w:r w:rsidRPr="003A6407">
              <w:t xml:space="preserve"> EUR</w:t>
            </w:r>
          </w:p>
          <w:p w14:paraId="7C3DA2FA" w14:textId="49BFE1B1" w:rsidR="00B86E36" w:rsidRPr="003A6407" w:rsidRDefault="00B86E36" w:rsidP="00313525">
            <w:r w:rsidRPr="003A6407">
              <w:t xml:space="preserve">Zrównoważona kultura i turystyka – </w:t>
            </w:r>
            <w:r w:rsidR="00C41AFE">
              <w:t>27 741 457</w:t>
            </w:r>
            <w:r w:rsidRPr="003A6407">
              <w:t xml:space="preserve"> EUR</w:t>
            </w:r>
          </w:p>
          <w:p w14:paraId="63A238D2" w14:textId="77777777" w:rsidR="00B86E36" w:rsidRPr="003A6407" w:rsidRDefault="00B86E36" w:rsidP="00313525">
            <w:r w:rsidRPr="003A6407">
              <w:t xml:space="preserve">Dla celu szczegółowego Mobilność miejska i aglomeracyjna założono, że będzie on realizował wartość wskaźnika zgodny z przebiegiem trasy </w:t>
            </w:r>
            <w:proofErr w:type="spellStart"/>
            <w:r w:rsidRPr="003A6407">
              <w:t>Cyklostrady</w:t>
            </w:r>
            <w:proofErr w:type="spellEnd"/>
            <w:r w:rsidRPr="003A6407">
              <w:t xml:space="preserve"> w ramach MOF tj. 689 120 użytkowników rocznie. Mając na uwadze zapisy dokumenty będącego źródłem danych pn. Pomiary ruchu rowerowego 2020, Warszawa, wrzesień 2020: nastąpił ok. 17 - procentowy przyrost w 2020 r. użytkowników infrastruktury rowerowej w stosunku do roku ubiegłego (2019). Mając to na uwadze zastosowano 17% udział (jako przyrost nowych użytkowników infrastruktury rowerowej) jako wartość niniejszego wskaźnika:</w:t>
            </w:r>
          </w:p>
          <w:p w14:paraId="616AAE9F" w14:textId="19C366EF" w:rsidR="00B86E36" w:rsidRPr="003A6407" w:rsidRDefault="00B86E36" w:rsidP="00313525">
            <w:pPr>
              <w:spacing w:before="200"/>
            </w:pPr>
            <w:r w:rsidRPr="003A6407">
              <w:t>17% * 689 120 = 117</w:t>
            </w:r>
            <w:r w:rsidR="00493B71" w:rsidRPr="003A6407">
              <w:t> </w:t>
            </w:r>
            <w:r w:rsidRPr="003A6407">
              <w:t>150</w:t>
            </w:r>
          </w:p>
          <w:p w14:paraId="704E4FF6" w14:textId="77777777" w:rsidR="00493B71" w:rsidRPr="003A6407" w:rsidRDefault="00493B71" w:rsidP="00493B71">
            <w:pPr>
              <w:pStyle w:val="Bezodstpw"/>
              <w:jc w:val="both"/>
              <w:rPr>
                <w:b/>
                <w:bCs/>
                <w:sz w:val="22"/>
                <w:szCs w:val="22"/>
              </w:rPr>
            </w:pPr>
          </w:p>
          <w:p w14:paraId="54B9FDE6" w14:textId="5A6724E1" w:rsidR="00493B71" w:rsidRPr="003A6407" w:rsidRDefault="00493B71" w:rsidP="000B4691">
            <w:pPr>
              <w:pStyle w:val="Bezodstpw"/>
              <w:jc w:val="both"/>
            </w:pPr>
          </w:p>
        </w:tc>
      </w:tr>
    </w:tbl>
    <w:p w14:paraId="78788894" w14:textId="4D0E634C" w:rsidR="000B4691" w:rsidRDefault="000B4691"/>
    <w:tbl>
      <w:tblPr>
        <w:tblW w:w="523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666"/>
        <w:gridCol w:w="752"/>
        <w:gridCol w:w="488"/>
        <w:gridCol w:w="1902"/>
        <w:gridCol w:w="742"/>
        <w:gridCol w:w="847"/>
        <w:gridCol w:w="845"/>
        <w:gridCol w:w="740"/>
        <w:gridCol w:w="738"/>
        <w:gridCol w:w="1162"/>
      </w:tblGrid>
      <w:tr w:rsidR="00160708" w:rsidRPr="003A6407" w14:paraId="1C9D4884" w14:textId="77777777" w:rsidTr="00B30C4B">
        <w:trPr>
          <w:cantSplit/>
          <w:trHeight w:val="1871"/>
        </w:trPr>
        <w:tc>
          <w:tcPr>
            <w:tcW w:w="321" w:type="pct"/>
            <w:vAlign w:val="center"/>
          </w:tcPr>
          <w:p w14:paraId="2B77B264" w14:textId="77777777" w:rsidR="00160708" w:rsidRPr="003A6407" w:rsidRDefault="00160708" w:rsidP="008352E3">
            <w:pPr>
              <w:spacing w:before="120" w:after="120" w:line="240" w:lineRule="auto"/>
              <w:jc w:val="center"/>
              <w:rPr>
                <w:b/>
                <w:noProof/>
                <w:sz w:val="16"/>
                <w:szCs w:val="16"/>
              </w:rPr>
            </w:pPr>
            <w:r w:rsidRPr="003A6407">
              <w:rPr>
                <w:b/>
                <w:noProof/>
                <w:sz w:val="16"/>
                <w:szCs w:val="16"/>
              </w:rPr>
              <w:t>CP 2</w:t>
            </w:r>
          </w:p>
          <w:p w14:paraId="2A03766E" w14:textId="77777777" w:rsidR="00160708" w:rsidRPr="003A6407" w:rsidRDefault="00160708" w:rsidP="008352E3">
            <w:pPr>
              <w:spacing w:before="120" w:after="120" w:line="240" w:lineRule="auto"/>
              <w:jc w:val="center"/>
              <w:rPr>
                <w:b/>
                <w:noProof/>
                <w:sz w:val="16"/>
                <w:szCs w:val="16"/>
              </w:rPr>
            </w:pPr>
            <w:r w:rsidRPr="003A6407">
              <w:rPr>
                <w:b/>
                <w:noProof/>
                <w:sz w:val="16"/>
                <w:szCs w:val="16"/>
              </w:rPr>
              <w:t>Cel szczegółowy</w:t>
            </w:r>
          </w:p>
        </w:tc>
        <w:tc>
          <w:tcPr>
            <w:tcW w:w="351" w:type="pct"/>
            <w:vAlign w:val="center"/>
          </w:tcPr>
          <w:p w14:paraId="61E3141B" w14:textId="77777777" w:rsidR="00160708" w:rsidRPr="003A6407" w:rsidRDefault="00160708" w:rsidP="008352E3">
            <w:pPr>
              <w:spacing w:before="120" w:after="120" w:line="240" w:lineRule="auto"/>
              <w:jc w:val="center"/>
              <w:rPr>
                <w:b/>
                <w:noProof/>
                <w:sz w:val="16"/>
                <w:szCs w:val="16"/>
              </w:rPr>
            </w:pPr>
            <w:r w:rsidRPr="003A6407">
              <w:rPr>
                <w:b/>
                <w:noProof/>
                <w:sz w:val="16"/>
                <w:szCs w:val="16"/>
              </w:rPr>
              <w:t>Fundusz</w:t>
            </w:r>
          </w:p>
        </w:tc>
        <w:tc>
          <w:tcPr>
            <w:tcW w:w="396" w:type="pct"/>
            <w:vAlign w:val="center"/>
          </w:tcPr>
          <w:p w14:paraId="5F8727D9" w14:textId="77777777" w:rsidR="00160708" w:rsidRPr="003A6407" w:rsidRDefault="00160708" w:rsidP="008352E3">
            <w:pPr>
              <w:spacing w:before="120" w:after="120" w:line="240" w:lineRule="auto"/>
              <w:jc w:val="center"/>
              <w:rPr>
                <w:b/>
                <w:noProof/>
                <w:sz w:val="16"/>
                <w:szCs w:val="16"/>
              </w:rPr>
            </w:pPr>
            <w:r w:rsidRPr="003A6407">
              <w:rPr>
                <w:b/>
                <w:noProof/>
                <w:sz w:val="16"/>
                <w:szCs w:val="16"/>
              </w:rPr>
              <w:t>Kategoria regionu</w:t>
            </w:r>
          </w:p>
        </w:tc>
        <w:tc>
          <w:tcPr>
            <w:tcW w:w="257" w:type="pct"/>
            <w:textDirection w:val="btLr"/>
            <w:vAlign w:val="center"/>
          </w:tcPr>
          <w:p w14:paraId="5F109A14" w14:textId="77777777" w:rsidR="00160708" w:rsidRPr="003A6407" w:rsidRDefault="00160708" w:rsidP="008352E3">
            <w:pPr>
              <w:spacing w:before="120" w:after="120" w:line="240" w:lineRule="auto"/>
              <w:ind w:left="113" w:right="113"/>
              <w:jc w:val="center"/>
              <w:rPr>
                <w:b/>
                <w:noProof/>
                <w:sz w:val="16"/>
                <w:szCs w:val="16"/>
              </w:rPr>
            </w:pPr>
            <w:r w:rsidRPr="003A6407">
              <w:rPr>
                <w:b/>
                <w:noProof/>
                <w:sz w:val="16"/>
                <w:szCs w:val="16"/>
              </w:rPr>
              <w:t>Nr identyfikacyjny [5]</w:t>
            </w:r>
          </w:p>
        </w:tc>
        <w:tc>
          <w:tcPr>
            <w:tcW w:w="1002" w:type="pct"/>
            <w:shd w:val="clear" w:color="auto" w:fill="auto"/>
            <w:vAlign w:val="center"/>
          </w:tcPr>
          <w:p w14:paraId="1AF3E0D6" w14:textId="77777777" w:rsidR="00160708" w:rsidRPr="003A6407" w:rsidRDefault="00160708" w:rsidP="008352E3">
            <w:pPr>
              <w:spacing w:before="120" w:after="120" w:line="240" w:lineRule="auto"/>
              <w:jc w:val="center"/>
              <w:rPr>
                <w:b/>
                <w:noProof/>
                <w:sz w:val="16"/>
                <w:szCs w:val="16"/>
              </w:rPr>
            </w:pPr>
            <w:r w:rsidRPr="003A6407">
              <w:rPr>
                <w:b/>
                <w:noProof/>
                <w:sz w:val="16"/>
                <w:szCs w:val="16"/>
              </w:rPr>
              <w:t>Wskaźnik [255]</w:t>
            </w:r>
          </w:p>
        </w:tc>
        <w:tc>
          <w:tcPr>
            <w:tcW w:w="391" w:type="pct"/>
            <w:textDirection w:val="btLr"/>
            <w:vAlign w:val="center"/>
          </w:tcPr>
          <w:p w14:paraId="190536FB" w14:textId="77777777" w:rsidR="00160708" w:rsidRPr="003A6407" w:rsidRDefault="00160708" w:rsidP="008352E3">
            <w:pPr>
              <w:spacing w:before="120" w:after="120" w:line="240" w:lineRule="auto"/>
              <w:ind w:left="113" w:right="113"/>
              <w:jc w:val="center"/>
              <w:rPr>
                <w:b/>
                <w:noProof/>
                <w:sz w:val="16"/>
                <w:szCs w:val="16"/>
              </w:rPr>
            </w:pPr>
            <w:r w:rsidRPr="003A6407">
              <w:rPr>
                <w:b/>
                <w:noProof/>
                <w:sz w:val="16"/>
                <w:szCs w:val="16"/>
              </w:rPr>
              <w:t>Jednostka miary</w:t>
            </w:r>
          </w:p>
        </w:tc>
        <w:tc>
          <w:tcPr>
            <w:tcW w:w="446" w:type="pct"/>
            <w:textDirection w:val="btLr"/>
            <w:vAlign w:val="center"/>
          </w:tcPr>
          <w:p w14:paraId="781AE85D" w14:textId="77777777" w:rsidR="00160708" w:rsidRPr="003A6407" w:rsidRDefault="00160708" w:rsidP="008352E3">
            <w:pPr>
              <w:spacing w:before="120" w:after="120" w:line="240" w:lineRule="auto"/>
              <w:ind w:left="113" w:right="113"/>
              <w:jc w:val="center"/>
              <w:rPr>
                <w:b/>
                <w:noProof/>
                <w:sz w:val="16"/>
                <w:szCs w:val="16"/>
              </w:rPr>
            </w:pPr>
            <w:r w:rsidRPr="003A6407">
              <w:rPr>
                <w:b/>
                <w:noProof/>
                <w:sz w:val="16"/>
                <w:szCs w:val="16"/>
              </w:rPr>
              <w:t>Wartość bazowa lub wartość odniesienia</w:t>
            </w:r>
          </w:p>
        </w:tc>
        <w:tc>
          <w:tcPr>
            <w:tcW w:w="445" w:type="pct"/>
            <w:textDirection w:val="btLr"/>
            <w:vAlign w:val="center"/>
          </w:tcPr>
          <w:p w14:paraId="3B5125EE" w14:textId="77777777" w:rsidR="00160708" w:rsidRPr="003A6407" w:rsidRDefault="00160708" w:rsidP="008352E3">
            <w:pPr>
              <w:spacing w:before="120" w:after="120" w:line="240" w:lineRule="auto"/>
              <w:ind w:left="113" w:right="113"/>
              <w:jc w:val="center"/>
              <w:rPr>
                <w:b/>
                <w:noProof/>
                <w:sz w:val="16"/>
                <w:szCs w:val="16"/>
              </w:rPr>
            </w:pPr>
            <w:r w:rsidRPr="003A6407">
              <w:rPr>
                <w:b/>
                <w:noProof/>
                <w:sz w:val="16"/>
                <w:szCs w:val="16"/>
              </w:rPr>
              <w:t>Rok referencyjny</w:t>
            </w:r>
          </w:p>
        </w:tc>
        <w:tc>
          <w:tcPr>
            <w:tcW w:w="390" w:type="pct"/>
            <w:shd w:val="clear" w:color="auto" w:fill="auto"/>
            <w:vAlign w:val="center"/>
          </w:tcPr>
          <w:p w14:paraId="3328F5E7" w14:textId="77777777" w:rsidR="00160708" w:rsidRPr="003A6407" w:rsidRDefault="00160708" w:rsidP="008352E3">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456E5B9C" w14:textId="77777777" w:rsidR="00160708" w:rsidRPr="003A6407" w:rsidRDefault="00160708" w:rsidP="008352E3">
            <w:pPr>
              <w:spacing w:before="120" w:after="120" w:line="240" w:lineRule="auto"/>
              <w:jc w:val="center"/>
              <w:rPr>
                <w:b/>
                <w:noProof/>
                <w:sz w:val="16"/>
                <w:szCs w:val="16"/>
              </w:rPr>
            </w:pPr>
          </w:p>
        </w:tc>
        <w:tc>
          <w:tcPr>
            <w:tcW w:w="389" w:type="pct"/>
            <w:shd w:val="clear" w:color="auto" w:fill="auto"/>
            <w:vAlign w:val="center"/>
          </w:tcPr>
          <w:p w14:paraId="35BD4E75" w14:textId="77777777" w:rsidR="00160708" w:rsidRPr="003A6407" w:rsidRDefault="00160708" w:rsidP="008352E3">
            <w:pPr>
              <w:spacing w:before="120" w:after="120" w:line="240" w:lineRule="auto"/>
              <w:jc w:val="center"/>
              <w:rPr>
                <w:b/>
                <w:noProof/>
                <w:sz w:val="16"/>
                <w:szCs w:val="16"/>
              </w:rPr>
            </w:pPr>
            <w:r w:rsidRPr="003A6407">
              <w:rPr>
                <w:rFonts w:eastAsia="Calibri" w:cs="Times New Roman"/>
                <w:b/>
                <w:noProof/>
                <w:sz w:val="16"/>
                <w:szCs w:val="16"/>
                <w:lang w:eastAsia="pl-PL"/>
              </w:rPr>
              <w:t>Źródło danych [200]</w:t>
            </w:r>
          </w:p>
        </w:tc>
        <w:tc>
          <w:tcPr>
            <w:tcW w:w="614" w:type="pct"/>
            <w:vAlign w:val="center"/>
          </w:tcPr>
          <w:p w14:paraId="3A77AFBA" w14:textId="77777777" w:rsidR="00160708" w:rsidRPr="003A6407" w:rsidRDefault="00160708" w:rsidP="008352E3">
            <w:pPr>
              <w:spacing w:before="120" w:after="120" w:line="240" w:lineRule="auto"/>
              <w:jc w:val="center"/>
              <w:rPr>
                <w:b/>
                <w:noProof/>
                <w:sz w:val="16"/>
                <w:szCs w:val="16"/>
              </w:rPr>
            </w:pPr>
            <w:r w:rsidRPr="003A6407">
              <w:rPr>
                <w:rFonts w:eastAsia="Calibri" w:cs="Times New Roman"/>
                <w:b/>
                <w:noProof/>
                <w:sz w:val="16"/>
                <w:szCs w:val="16"/>
                <w:lang w:eastAsia="pl-PL"/>
              </w:rPr>
              <w:t>Uwagi [200]</w:t>
            </w:r>
          </w:p>
        </w:tc>
      </w:tr>
      <w:tr w:rsidR="00160708" w:rsidRPr="003A6407" w14:paraId="170B9906" w14:textId="77777777" w:rsidTr="00B30C4B">
        <w:trPr>
          <w:trHeight w:val="340"/>
        </w:trPr>
        <w:tc>
          <w:tcPr>
            <w:tcW w:w="321" w:type="pct"/>
            <w:vAlign w:val="center"/>
          </w:tcPr>
          <w:p w14:paraId="58F3B08A" w14:textId="77777777" w:rsidR="00160708" w:rsidRDefault="00160708" w:rsidP="00160708">
            <w:pPr>
              <w:spacing w:before="120" w:after="120" w:line="240" w:lineRule="auto"/>
              <w:jc w:val="center"/>
              <w:rPr>
                <w:noProof/>
                <w:sz w:val="16"/>
                <w:szCs w:val="16"/>
              </w:rPr>
            </w:pPr>
            <w:r w:rsidRPr="003A6407">
              <w:rPr>
                <w:noProof/>
                <w:sz w:val="16"/>
                <w:szCs w:val="16"/>
              </w:rPr>
              <w:lastRenderedPageBreak/>
              <w:t>2 (viii)</w:t>
            </w:r>
          </w:p>
          <w:p w14:paraId="17C88E01" w14:textId="77777777" w:rsidR="00160708" w:rsidRPr="003A6407" w:rsidRDefault="00160708" w:rsidP="00160708">
            <w:pPr>
              <w:spacing w:before="120" w:after="120" w:line="240" w:lineRule="auto"/>
              <w:jc w:val="center"/>
              <w:rPr>
                <w:noProof/>
                <w:sz w:val="16"/>
                <w:szCs w:val="16"/>
              </w:rPr>
            </w:pPr>
            <w:r>
              <w:rPr>
                <w:noProof/>
                <w:sz w:val="16"/>
                <w:szCs w:val="16"/>
              </w:rPr>
              <w:t>2.8</w:t>
            </w:r>
          </w:p>
        </w:tc>
        <w:tc>
          <w:tcPr>
            <w:tcW w:w="351" w:type="pct"/>
            <w:vAlign w:val="center"/>
          </w:tcPr>
          <w:p w14:paraId="03FC771C" w14:textId="77777777" w:rsidR="00160708" w:rsidRPr="003A6407" w:rsidRDefault="00160708" w:rsidP="00160708">
            <w:pPr>
              <w:spacing w:before="120" w:after="120" w:line="240" w:lineRule="auto"/>
              <w:jc w:val="center"/>
              <w:rPr>
                <w:noProof/>
                <w:sz w:val="16"/>
                <w:szCs w:val="16"/>
              </w:rPr>
            </w:pPr>
            <w:r w:rsidRPr="003A6407">
              <w:rPr>
                <w:noProof/>
                <w:sz w:val="16"/>
                <w:szCs w:val="16"/>
              </w:rPr>
              <w:t>EFRR</w:t>
            </w:r>
          </w:p>
        </w:tc>
        <w:tc>
          <w:tcPr>
            <w:tcW w:w="396" w:type="pct"/>
            <w:vAlign w:val="center"/>
          </w:tcPr>
          <w:p w14:paraId="0772303D" w14:textId="77777777" w:rsidR="00160708" w:rsidRPr="003A6407" w:rsidRDefault="00160708" w:rsidP="00160708">
            <w:pPr>
              <w:spacing w:before="120" w:after="120" w:line="240" w:lineRule="auto"/>
              <w:jc w:val="center"/>
              <w:rPr>
                <w:noProof/>
                <w:sz w:val="16"/>
                <w:szCs w:val="16"/>
              </w:rPr>
            </w:pPr>
            <w:r w:rsidRPr="003A6407">
              <w:rPr>
                <w:noProof/>
                <w:sz w:val="16"/>
                <w:szCs w:val="16"/>
              </w:rPr>
              <w:t>przejściowy</w:t>
            </w:r>
          </w:p>
        </w:tc>
        <w:tc>
          <w:tcPr>
            <w:tcW w:w="257" w:type="pct"/>
            <w:vAlign w:val="center"/>
          </w:tcPr>
          <w:p w14:paraId="42B13714" w14:textId="6FC3D353" w:rsidR="00160708" w:rsidRPr="003A6407" w:rsidRDefault="00160708" w:rsidP="00160708">
            <w:pPr>
              <w:spacing w:before="120" w:after="120" w:line="240" w:lineRule="auto"/>
              <w:jc w:val="center"/>
              <w:rPr>
                <w:noProof/>
                <w:sz w:val="16"/>
                <w:szCs w:val="16"/>
              </w:rPr>
            </w:pPr>
            <w:r w:rsidRPr="003A6407">
              <w:rPr>
                <w:noProof/>
                <w:sz w:val="16"/>
                <w:szCs w:val="16"/>
              </w:rPr>
              <w:t>RCR</w:t>
            </w:r>
            <w:r>
              <w:rPr>
                <w:noProof/>
                <w:sz w:val="16"/>
                <w:szCs w:val="16"/>
              </w:rPr>
              <w:t>29</w:t>
            </w:r>
          </w:p>
        </w:tc>
        <w:tc>
          <w:tcPr>
            <w:tcW w:w="1002" w:type="pct"/>
            <w:shd w:val="clear" w:color="auto" w:fill="auto"/>
            <w:vAlign w:val="center"/>
          </w:tcPr>
          <w:p w14:paraId="239AC678" w14:textId="2BC0A84B" w:rsidR="00160708" w:rsidRPr="003A6407" w:rsidRDefault="00160708" w:rsidP="00160708">
            <w:pPr>
              <w:keepNext/>
              <w:keepLines/>
              <w:spacing w:before="200" w:after="0"/>
              <w:jc w:val="center"/>
              <w:outlineLvl w:val="2"/>
              <w:rPr>
                <w:rFonts w:eastAsiaTheme="majorEastAsia" w:cstheme="majorBidi"/>
                <w:b/>
                <w:bCs/>
                <w:noProof/>
                <w:sz w:val="16"/>
                <w:szCs w:val="16"/>
              </w:rPr>
            </w:pPr>
            <w:bookmarkStart w:id="170" w:name="_Toc120464418"/>
            <w:r w:rsidRPr="003A6407">
              <w:rPr>
                <w:rFonts w:asciiTheme="minorHAnsi" w:eastAsia="Times New Roman" w:hAnsiTheme="minorHAnsi" w:cstheme="minorHAnsi"/>
                <w:bCs/>
                <w:noProof/>
                <w:sz w:val="16"/>
                <w:szCs w:val="16"/>
              </w:rPr>
              <w:t>Szacowan</w:t>
            </w:r>
            <w:r w:rsidR="00D544BC">
              <w:rPr>
                <w:rFonts w:asciiTheme="minorHAnsi" w:eastAsia="Times New Roman" w:hAnsiTheme="minorHAnsi" w:cstheme="minorHAnsi"/>
                <w:bCs/>
                <w:noProof/>
                <w:sz w:val="16"/>
                <w:szCs w:val="16"/>
              </w:rPr>
              <w:t>a</w:t>
            </w:r>
            <w:r w:rsidRPr="003A6407">
              <w:rPr>
                <w:rFonts w:asciiTheme="minorHAnsi" w:eastAsia="Times New Roman" w:hAnsiTheme="minorHAnsi" w:cstheme="minorHAnsi"/>
                <w:bCs/>
                <w:noProof/>
                <w:sz w:val="16"/>
                <w:szCs w:val="16"/>
              </w:rPr>
              <w:t xml:space="preserve"> emisj</w:t>
            </w:r>
            <w:r w:rsidR="00D544BC">
              <w:rPr>
                <w:rFonts w:asciiTheme="minorHAnsi" w:eastAsia="Times New Roman" w:hAnsiTheme="minorHAnsi" w:cstheme="minorHAnsi"/>
                <w:bCs/>
                <w:noProof/>
                <w:sz w:val="16"/>
                <w:szCs w:val="16"/>
              </w:rPr>
              <w:t>a</w:t>
            </w:r>
            <w:r w:rsidRPr="003A6407">
              <w:rPr>
                <w:rFonts w:asciiTheme="minorHAnsi" w:eastAsia="Times New Roman" w:hAnsiTheme="minorHAnsi" w:cstheme="minorHAnsi"/>
                <w:bCs/>
                <w:noProof/>
                <w:sz w:val="16"/>
                <w:szCs w:val="16"/>
              </w:rPr>
              <w:t xml:space="preserve"> gazów cieplarnianych</w:t>
            </w:r>
            <w:bookmarkEnd w:id="170"/>
          </w:p>
        </w:tc>
        <w:tc>
          <w:tcPr>
            <w:tcW w:w="391" w:type="pct"/>
            <w:vAlign w:val="center"/>
          </w:tcPr>
          <w:p w14:paraId="03BCB906" w14:textId="6D8789AD" w:rsidR="00160708" w:rsidRPr="003A6407" w:rsidRDefault="00160708" w:rsidP="00160708">
            <w:pPr>
              <w:spacing w:before="120" w:after="120" w:line="240" w:lineRule="auto"/>
              <w:jc w:val="center"/>
              <w:rPr>
                <w:noProof/>
                <w:sz w:val="16"/>
                <w:szCs w:val="16"/>
              </w:rPr>
            </w:pPr>
            <w:r w:rsidRPr="003A6407">
              <w:rPr>
                <w:noProof/>
                <w:sz w:val="16"/>
                <w:szCs w:val="16"/>
              </w:rPr>
              <w:t xml:space="preserve">Tony </w:t>
            </w:r>
            <w:r w:rsidR="005C5387">
              <w:rPr>
                <w:noProof/>
                <w:sz w:val="16"/>
                <w:szCs w:val="16"/>
              </w:rPr>
              <w:t>ekwiwalentu</w:t>
            </w:r>
            <w:r w:rsidR="0081194E">
              <w:rPr>
                <w:noProof/>
                <w:sz w:val="16"/>
                <w:szCs w:val="16"/>
              </w:rPr>
              <w:t xml:space="preserve"> </w:t>
            </w:r>
            <w:r w:rsidRPr="003A6407">
              <w:rPr>
                <w:noProof/>
                <w:sz w:val="16"/>
                <w:szCs w:val="16"/>
              </w:rPr>
              <w:t>CO2/rok</w:t>
            </w:r>
          </w:p>
        </w:tc>
        <w:tc>
          <w:tcPr>
            <w:tcW w:w="446" w:type="pct"/>
            <w:vAlign w:val="center"/>
          </w:tcPr>
          <w:p w14:paraId="7A12BCF8" w14:textId="03B9AE15" w:rsidR="00160708" w:rsidRPr="003A6407" w:rsidRDefault="001425BE" w:rsidP="00160708">
            <w:pPr>
              <w:spacing w:before="120" w:after="120" w:line="240" w:lineRule="auto"/>
              <w:jc w:val="center"/>
              <w:rPr>
                <w:noProof/>
                <w:sz w:val="16"/>
                <w:szCs w:val="16"/>
              </w:rPr>
            </w:pPr>
            <w:r>
              <w:rPr>
                <w:noProof/>
                <w:sz w:val="16"/>
                <w:szCs w:val="16"/>
              </w:rPr>
              <w:t>94 127,00</w:t>
            </w:r>
          </w:p>
        </w:tc>
        <w:tc>
          <w:tcPr>
            <w:tcW w:w="445" w:type="pct"/>
            <w:shd w:val="clear" w:color="auto" w:fill="auto"/>
            <w:vAlign w:val="center"/>
          </w:tcPr>
          <w:p w14:paraId="3BE87339" w14:textId="05581567" w:rsidR="00160708" w:rsidRPr="003A6407" w:rsidRDefault="00160708" w:rsidP="00160708">
            <w:pPr>
              <w:spacing w:before="120" w:after="120" w:line="240" w:lineRule="auto"/>
              <w:jc w:val="center"/>
              <w:rPr>
                <w:noProof/>
                <w:sz w:val="16"/>
                <w:szCs w:val="16"/>
              </w:rPr>
            </w:pPr>
            <w:r w:rsidRPr="003A6407">
              <w:rPr>
                <w:noProof/>
                <w:sz w:val="16"/>
                <w:szCs w:val="16"/>
              </w:rPr>
              <w:t>202</w:t>
            </w:r>
            <w:r w:rsidR="001425BE">
              <w:rPr>
                <w:noProof/>
                <w:sz w:val="16"/>
                <w:szCs w:val="16"/>
              </w:rPr>
              <w:t>0</w:t>
            </w:r>
          </w:p>
        </w:tc>
        <w:tc>
          <w:tcPr>
            <w:tcW w:w="390" w:type="pct"/>
            <w:shd w:val="clear" w:color="auto" w:fill="auto"/>
            <w:vAlign w:val="center"/>
          </w:tcPr>
          <w:p w14:paraId="5F9938BB" w14:textId="1F39C59F" w:rsidR="00160708" w:rsidRPr="003A6407" w:rsidRDefault="001425BE" w:rsidP="00160708">
            <w:pPr>
              <w:spacing w:before="120" w:after="120" w:line="240" w:lineRule="auto"/>
              <w:jc w:val="center"/>
              <w:rPr>
                <w:noProof/>
                <w:sz w:val="16"/>
                <w:szCs w:val="16"/>
              </w:rPr>
            </w:pPr>
            <w:r w:rsidRPr="001425BE">
              <w:rPr>
                <w:noProof/>
                <w:sz w:val="16"/>
                <w:szCs w:val="16"/>
              </w:rPr>
              <w:t>74 785</w:t>
            </w:r>
            <w:r w:rsidR="00160708">
              <w:rPr>
                <w:noProof/>
                <w:sz w:val="16"/>
                <w:szCs w:val="16"/>
              </w:rPr>
              <w:t>,00</w:t>
            </w:r>
          </w:p>
        </w:tc>
        <w:tc>
          <w:tcPr>
            <w:tcW w:w="389" w:type="pct"/>
            <w:vAlign w:val="center"/>
          </w:tcPr>
          <w:p w14:paraId="142254C6" w14:textId="77777777" w:rsidR="00160708" w:rsidRPr="003A6407" w:rsidRDefault="00160708" w:rsidP="00160708">
            <w:pPr>
              <w:spacing w:before="120" w:after="120" w:line="240" w:lineRule="auto"/>
              <w:jc w:val="center"/>
              <w:rPr>
                <w:noProof/>
                <w:sz w:val="16"/>
                <w:szCs w:val="16"/>
              </w:rPr>
            </w:pPr>
            <w:r w:rsidRPr="003A6407">
              <w:rPr>
                <w:noProof/>
                <w:sz w:val="16"/>
                <w:szCs w:val="16"/>
              </w:rPr>
              <w:t>SL</w:t>
            </w:r>
          </w:p>
        </w:tc>
        <w:tc>
          <w:tcPr>
            <w:tcW w:w="614" w:type="pct"/>
            <w:vAlign w:val="center"/>
          </w:tcPr>
          <w:p w14:paraId="041AE68E" w14:textId="146AC875" w:rsidR="00160708" w:rsidRPr="003A6407" w:rsidRDefault="0081194E" w:rsidP="00160708">
            <w:pPr>
              <w:spacing w:before="120" w:after="120" w:line="240" w:lineRule="auto"/>
              <w:jc w:val="center"/>
              <w:rPr>
                <w:noProof/>
                <w:sz w:val="16"/>
                <w:szCs w:val="16"/>
              </w:rPr>
            </w:pPr>
            <w:r>
              <w:rPr>
                <w:noProof/>
                <w:sz w:val="16"/>
                <w:szCs w:val="16"/>
              </w:rPr>
              <w:t>Wartości wskaźnika mają charakter tymczasowy i będą podlegały rewizji w ramach przeglądu śródokresowego</w:t>
            </w:r>
          </w:p>
        </w:tc>
      </w:tr>
      <w:tr w:rsidR="00160708" w:rsidRPr="003A6407" w14:paraId="7A1CB2D1" w14:textId="77777777" w:rsidTr="00B30C4B">
        <w:trPr>
          <w:trHeight w:val="340"/>
        </w:trPr>
        <w:tc>
          <w:tcPr>
            <w:tcW w:w="5000" w:type="pct"/>
            <w:gridSpan w:val="11"/>
          </w:tcPr>
          <w:p w14:paraId="0B034D29" w14:textId="77777777" w:rsidR="00160708" w:rsidRPr="00160708" w:rsidRDefault="00160708" w:rsidP="00160708">
            <w:pPr>
              <w:pStyle w:val="Bezodstpw"/>
              <w:jc w:val="both"/>
              <w:rPr>
                <w:sz w:val="22"/>
                <w:szCs w:val="22"/>
              </w:rPr>
            </w:pPr>
            <w:r w:rsidRPr="00160708">
              <w:rPr>
                <w:sz w:val="22"/>
                <w:szCs w:val="22"/>
              </w:rPr>
              <w:t>Metodologia:</w:t>
            </w:r>
          </w:p>
          <w:p w14:paraId="6C9E5265" w14:textId="77777777" w:rsidR="001425BE" w:rsidRPr="001425BE" w:rsidRDefault="001425BE" w:rsidP="001425BE">
            <w:pPr>
              <w:pStyle w:val="Bezodstpw"/>
              <w:jc w:val="both"/>
              <w:rPr>
                <w:sz w:val="22"/>
                <w:szCs w:val="22"/>
              </w:rPr>
            </w:pPr>
            <w:r w:rsidRPr="001425BE">
              <w:rPr>
                <w:sz w:val="22"/>
                <w:szCs w:val="22"/>
              </w:rPr>
              <w:t xml:space="preserve">Wartość bazowa wskaźnika oparta jest na osiągniętym celu końcowym na rok 2020 w ramach wdrażania RPO WD 2014-2020 (prognoza przedstawiana przez beneficjentów) dla wskaźnika „Redukcja emisji gazów cieplarnianych: Szacowany roczny spadek emisji gazów cieplarnianych (CI 34)” i wynosi 94 127 ton równoważnika CO2. </w:t>
            </w:r>
          </w:p>
          <w:p w14:paraId="10CBE21B" w14:textId="77777777" w:rsidR="001425BE" w:rsidRPr="001425BE" w:rsidRDefault="001425BE" w:rsidP="001425BE">
            <w:pPr>
              <w:pStyle w:val="Bezodstpw"/>
              <w:jc w:val="both"/>
              <w:rPr>
                <w:sz w:val="22"/>
                <w:szCs w:val="22"/>
              </w:rPr>
            </w:pPr>
          </w:p>
          <w:p w14:paraId="133D0E8B" w14:textId="78ADF18F" w:rsidR="001425BE" w:rsidRDefault="001425BE" w:rsidP="001425BE">
            <w:pPr>
              <w:pStyle w:val="Bezodstpw"/>
              <w:jc w:val="both"/>
              <w:rPr>
                <w:sz w:val="22"/>
                <w:szCs w:val="22"/>
              </w:rPr>
            </w:pPr>
            <w:r w:rsidRPr="001425BE">
              <w:rPr>
                <w:sz w:val="22"/>
                <w:szCs w:val="22"/>
              </w:rPr>
              <w:t>Poniżej wyliczono jaki wpływ na osiągnięcie wskaźnika będą miały poszczególne projekty przy dostępnej alokacji.</w:t>
            </w:r>
          </w:p>
          <w:p w14:paraId="63061862" w14:textId="77777777" w:rsidR="001425BE" w:rsidRDefault="001425BE" w:rsidP="00160708">
            <w:pPr>
              <w:pStyle w:val="Bezodstpw"/>
              <w:jc w:val="both"/>
              <w:rPr>
                <w:sz w:val="22"/>
                <w:szCs w:val="22"/>
              </w:rPr>
            </w:pPr>
          </w:p>
          <w:p w14:paraId="18B3C695" w14:textId="73B43299" w:rsidR="00160708" w:rsidRPr="00160708" w:rsidRDefault="00160708" w:rsidP="00160708">
            <w:pPr>
              <w:pStyle w:val="Bezodstpw"/>
              <w:jc w:val="both"/>
              <w:rPr>
                <w:sz w:val="22"/>
                <w:szCs w:val="22"/>
              </w:rPr>
            </w:pPr>
            <w:r w:rsidRPr="00160708">
              <w:rPr>
                <w:sz w:val="22"/>
                <w:szCs w:val="22"/>
              </w:rPr>
              <w:t>Wskaźnik realizuje kody interwencji: 081 Infrastruktura na potrzeby czystego transportu miejskiego w kwocie 22 689 484 EUR, 082 Tabor na potrzeby czystego transportu miejskiego w kwocie 15 689 484 EUR oraz kod 083 Infrastruktura przeznaczona dla rowerów o wartości 27 585 977 o łącznej wartości 65 964 945 EUR. Uwzględniając (odejmując) koszty uproszczone na poziomie 7%, wartość alokacji realizującej dany wskaźnik wynosi 61 347 398,90 EUR.</w:t>
            </w:r>
          </w:p>
          <w:p w14:paraId="43D60DCE" w14:textId="77777777" w:rsidR="00160708" w:rsidRPr="00160708" w:rsidRDefault="00160708" w:rsidP="00160708">
            <w:pPr>
              <w:pStyle w:val="Bezodstpw"/>
              <w:jc w:val="both"/>
              <w:rPr>
                <w:sz w:val="22"/>
                <w:szCs w:val="22"/>
              </w:rPr>
            </w:pPr>
            <w:r w:rsidRPr="00160708">
              <w:rPr>
                <w:sz w:val="22"/>
                <w:szCs w:val="22"/>
              </w:rPr>
              <w:t xml:space="preserve">Historyczny koszt jednostkowy na bazie doświadczeń z perspektywy 2014-2020 wynosi 10 133,99 PLN. Koszt jednostkowy został skorygowany w oparciu o wartość inflacji na poziomie 15% i wynosi 11 654,09 PLN, a wartość dofinansowania na poziomie 70% wynosi 8 157,86 PLN; biorąc pod uwagę kurs EUR na poziomie 4,45 koszt jednostkowy wynosi 1 833,23 EUR; na podstawie tych danych wyliczono wartość wskaźnika. Jednocześnie na podstawie </w:t>
            </w:r>
            <w:proofErr w:type="spellStart"/>
            <w:r w:rsidRPr="00160708">
              <w:rPr>
                <w:sz w:val="22"/>
                <w:szCs w:val="22"/>
              </w:rPr>
              <w:t>ryzyk</w:t>
            </w:r>
            <w:proofErr w:type="spellEnd"/>
            <w:r w:rsidRPr="00160708">
              <w:rPr>
                <w:sz w:val="22"/>
                <w:szCs w:val="22"/>
              </w:rPr>
              <w:t xml:space="preserve"> związanych z realizacją tego typu projektów określono wskaźnik kompensacji:</w:t>
            </w:r>
          </w:p>
          <w:p w14:paraId="05DC8336" w14:textId="77777777" w:rsidR="00160708" w:rsidRPr="00160708" w:rsidRDefault="00160708" w:rsidP="00160708">
            <w:pPr>
              <w:pStyle w:val="Bezodstpw"/>
              <w:jc w:val="both"/>
              <w:rPr>
                <w:sz w:val="22"/>
                <w:szCs w:val="22"/>
              </w:rPr>
            </w:pPr>
            <w:r w:rsidRPr="00160708">
              <w:rPr>
                <w:sz w:val="22"/>
                <w:szCs w:val="22"/>
              </w:rPr>
              <w:t xml:space="preserve"> </w:t>
            </w:r>
          </w:p>
          <w:p w14:paraId="77A26D41" w14:textId="77777777" w:rsidR="00160708" w:rsidRPr="00160708" w:rsidRDefault="00160708" w:rsidP="00160708">
            <w:pPr>
              <w:pStyle w:val="Bezodstpw"/>
              <w:jc w:val="both"/>
              <w:rPr>
                <w:sz w:val="22"/>
                <w:szCs w:val="22"/>
              </w:rPr>
            </w:pPr>
            <w:r w:rsidRPr="00160708">
              <w:rPr>
                <w:sz w:val="22"/>
                <w:szCs w:val="22"/>
              </w:rPr>
              <w:t>R: [(6*25)+(4*68)]/10 = 42,2%</w:t>
            </w:r>
          </w:p>
          <w:p w14:paraId="2D46511F" w14:textId="77777777" w:rsidR="00160708" w:rsidRPr="00160708" w:rsidRDefault="00160708" w:rsidP="00160708">
            <w:pPr>
              <w:pStyle w:val="Bezodstpw"/>
              <w:jc w:val="both"/>
              <w:rPr>
                <w:sz w:val="22"/>
                <w:szCs w:val="22"/>
              </w:rPr>
            </w:pPr>
          </w:p>
          <w:p w14:paraId="7DA2EB7F" w14:textId="77777777" w:rsidR="00160708" w:rsidRPr="00160708" w:rsidRDefault="00160708" w:rsidP="00160708">
            <w:pPr>
              <w:pStyle w:val="Bezodstpw"/>
              <w:jc w:val="both"/>
              <w:rPr>
                <w:sz w:val="22"/>
                <w:szCs w:val="22"/>
              </w:rPr>
            </w:pPr>
            <w:r w:rsidRPr="00160708">
              <w:rPr>
                <w:sz w:val="22"/>
                <w:szCs w:val="22"/>
              </w:rPr>
              <w:t>Wyliczenie:</w:t>
            </w:r>
          </w:p>
          <w:p w14:paraId="6E317426" w14:textId="63BAA4C0" w:rsidR="00160708" w:rsidRDefault="00160708" w:rsidP="00160708">
            <w:pPr>
              <w:pStyle w:val="Bezodstpw"/>
              <w:jc w:val="both"/>
              <w:rPr>
                <w:sz w:val="22"/>
                <w:szCs w:val="22"/>
              </w:rPr>
            </w:pPr>
            <w:r w:rsidRPr="00160708">
              <w:rPr>
                <w:sz w:val="22"/>
                <w:szCs w:val="22"/>
              </w:rPr>
              <w:t>61 347 398,90 / 1 833,23 * (1- 0,422) = 19 342 ton równoważnika CO2/rok</w:t>
            </w:r>
          </w:p>
          <w:p w14:paraId="0A4F3AC9" w14:textId="50B4D0D2" w:rsidR="001425BE" w:rsidRDefault="001425BE" w:rsidP="00160708">
            <w:pPr>
              <w:pStyle w:val="Bezodstpw"/>
              <w:jc w:val="both"/>
              <w:rPr>
                <w:sz w:val="22"/>
                <w:szCs w:val="22"/>
              </w:rPr>
            </w:pPr>
          </w:p>
          <w:p w14:paraId="43BBDA69" w14:textId="0404678D" w:rsidR="001425BE" w:rsidRPr="00160708" w:rsidRDefault="001425BE" w:rsidP="00160708">
            <w:pPr>
              <w:pStyle w:val="Bezodstpw"/>
              <w:jc w:val="both"/>
              <w:rPr>
                <w:sz w:val="22"/>
                <w:szCs w:val="22"/>
              </w:rPr>
            </w:pPr>
            <w:r w:rsidRPr="001425BE">
              <w:rPr>
                <w:sz w:val="22"/>
                <w:szCs w:val="22"/>
              </w:rPr>
              <w:t xml:space="preserve">Określenie wartości docelowej wskaźnika: 94 127 – </w:t>
            </w:r>
            <w:r>
              <w:rPr>
                <w:sz w:val="22"/>
                <w:szCs w:val="22"/>
              </w:rPr>
              <w:t>19 342</w:t>
            </w:r>
            <w:r w:rsidRPr="001425BE">
              <w:rPr>
                <w:sz w:val="22"/>
                <w:szCs w:val="22"/>
              </w:rPr>
              <w:t xml:space="preserve"> = 74</w:t>
            </w:r>
            <w:r>
              <w:rPr>
                <w:sz w:val="22"/>
                <w:szCs w:val="22"/>
              </w:rPr>
              <w:t> </w:t>
            </w:r>
            <w:r w:rsidRPr="001425BE">
              <w:rPr>
                <w:sz w:val="22"/>
                <w:szCs w:val="22"/>
              </w:rPr>
              <w:t>785</w:t>
            </w:r>
            <w:r>
              <w:rPr>
                <w:sz w:val="22"/>
                <w:szCs w:val="22"/>
              </w:rPr>
              <w:t xml:space="preserve"> </w:t>
            </w:r>
            <w:r w:rsidRPr="001425BE">
              <w:rPr>
                <w:sz w:val="22"/>
                <w:szCs w:val="22"/>
              </w:rPr>
              <w:t>ton równoważnika CO2/rok</w:t>
            </w:r>
          </w:p>
          <w:p w14:paraId="7A41D04F" w14:textId="77777777" w:rsidR="00160708" w:rsidRPr="00160708" w:rsidRDefault="00160708" w:rsidP="00160708">
            <w:pPr>
              <w:pStyle w:val="Bezodstpw"/>
              <w:jc w:val="both"/>
              <w:rPr>
                <w:sz w:val="22"/>
                <w:szCs w:val="22"/>
              </w:rPr>
            </w:pPr>
          </w:p>
          <w:p w14:paraId="49E1664D" w14:textId="77777777" w:rsidR="00160708" w:rsidRPr="00160708" w:rsidRDefault="00160708" w:rsidP="00160708">
            <w:pPr>
              <w:pStyle w:val="Bezodstpw"/>
              <w:jc w:val="both"/>
              <w:rPr>
                <w:sz w:val="22"/>
                <w:szCs w:val="22"/>
              </w:rPr>
            </w:pPr>
            <w:r w:rsidRPr="00160708">
              <w:rPr>
                <w:sz w:val="22"/>
                <w:szCs w:val="22"/>
              </w:rPr>
              <w:t>Należy zwrócić szczególną uwagę na następujące czynniki ryzyka, które może mogą mieć wpływ na poziom osiągnięcia założonej wartości docelowej:</w:t>
            </w:r>
          </w:p>
          <w:p w14:paraId="671E7EB3" w14:textId="77777777" w:rsidR="00160708" w:rsidRPr="00160708" w:rsidRDefault="00160708" w:rsidP="00160708">
            <w:pPr>
              <w:pStyle w:val="Bezodstpw"/>
              <w:jc w:val="both"/>
              <w:rPr>
                <w:sz w:val="22"/>
                <w:szCs w:val="22"/>
              </w:rPr>
            </w:pPr>
            <w:r w:rsidRPr="00160708">
              <w:rPr>
                <w:sz w:val="22"/>
                <w:szCs w:val="22"/>
              </w:rPr>
              <w:t>•ryzyko wzrostu cen - ryzyko związane ze wzrostem cen gazu, energii, materiałów, sprzętu i usług; ryzyko związane z poziomem inflacji również obciążenia (istotność: poważna)</w:t>
            </w:r>
          </w:p>
          <w:p w14:paraId="17EF73FE" w14:textId="77777777" w:rsidR="00160708" w:rsidRPr="00160708" w:rsidRDefault="00160708" w:rsidP="00160708">
            <w:pPr>
              <w:pStyle w:val="Bezodstpw"/>
              <w:jc w:val="both"/>
              <w:rPr>
                <w:sz w:val="22"/>
                <w:szCs w:val="22"/>
              </w:rPr>
            </w:pPr>
            <w:r w:rsidRPr="00160708">
              <w:rPr>
                <w:sz w:val="22"/>
                <w:szCs w:val="22"/>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58419E61" w14:textId="77777777" w:rsidR="00160708" w:rsidRPr="00160708" w:rsidRDefault="00160708" w:rsidP="00160708">
            <w:pPr>
              <w:pStyle w:val="Bezodstpw"/>
              <w:jc w:val="both"/>
              <w:rPr>
                <w:sz w:val="22"/>
                <w:szCs w:val="22"/>
              </w:rPr>
            </w:pPr>
            <w:r w:rsidRPr="00160708">
              <w:rPr>
                <w:sz w:val="22"/>
                <w:szCs w:val="22"/>
              </w:rPr>
              <w:t>•zawieszenie płatności przez KE dla danej osi priorytetowej; (istotność: umiarkowana)</w:t>
            </w:r>
          </w:p>
          <w:p w14:paraId="6865D789" w14:textId="77777777" w:rsidR="00160708" w:rsidRPr="00160708" w:rsidRDefault="00160708" w:rsidP="00160708">
            <w:pPr>
              <w:pStyle w:val="Bezodstpw"/>
              <w:jc w:val="both"/>
              <w:rPr>
                <w:sz w:val="22"/>
                <w:szCs w:val="22"/>
              </w:rPr>
            </w:pPr>
            <w:r w:rsidRPr="00160708">
              <w:rPr>
                <w:sz w:val="22"/>
                <w:szCs w:val="22"/>
              </w:rPr>
              <w:t>•czynniki które mogą wpłynąć na harmonogram realizacji planów działania dot. spełnienia warunków podstawowych, a które są poza kompetencjami IZ oraz instytucji odpowiedzialnych za spełnienie tych warunków; (istotność: poważna)</w:t>
            </w:r>
          </w:p>
          <w:p w14:paraId="260A9CFB" w14:textId="77777777" w:rsidR="00160708" w:rsidRPr="00160708" w:rsidRDefault="00160708" w:rsidP="00160708">
            <w:pPr>
              <w:pStyle w:val="Bezodstpw"/>
              <w:jc w:val="both"/>
              <w:rPr>
                <w:sz w:val="22"/>
                <w:szCs w:val="22"/>
              </w:rPr>
            </w:pPr>
            <w:r w:rsidRPr="00160708">
              <w:rPr>
                <w:sz w:val="22"/>
                <w:szCs w:val="22"/>
              </w:rPr>
              <w:t>•ostateczne ustalenia dot. występowania i poziomu pomocy publicznej; (istotność: umiarkowana)</w:t>
            </w:r>
          </w:p>
          <w:p w14:paraId="0035067B" w14:textId="77777777" w:rsidR="00160708" w:rsidRPr="00160708" w:rsidRDefault="00160708" w:rsidP="00160708">
            <w:pPr>
              <w:pStyle w:val="Bezodstpw"/>
              <w:jc w:val="both"/>
              <w:rPr>
                <w:sz w:val="22"/>
                <w:szCs w:val="22"/>
              </w:rPr>
            </w:pPr>
            <w:r w:rsidRPr="00160708">
              <w:rPr>
                <w:sz w:val="22"/>
                <w:szCs w:val="22"/>
              </w:rPr>
              <w:lastRenderedPageBreak/>
              <w:t>•problemy z zabezpieczeniem wkładu własnego wnioskodawcy; (istotność: poważna)</w:t>
            </w:r>
          </w:p>
          <w:p w14:paraId="0D464021" w14:textId="77777777" w:rsidR="00160708" w:rsidRPr="00160708" w:rsidRDefault="00160708" w:rsidP="00160708">
            <w:pPr>
              <w:pStyle w:val="Bezodstpw"/>
              <w:jc w:val="both"/>
              <w:rPr>
                <w:sz w:val="22"/>
                <w:szCs w:val="22"/>
              </w:rPr>
            </w:pPr>
            <w:r w:rsidRPr="00160708">
              <w:rPr>
                <w:sz w:val="22"/>
                <w:szCs w:val="22"/>
              </w:rPr>
              <w:t>•opóźnienia, bądź niewykonanie projektu związane z brakiem wykonawców, sezonowością prac itp.; (istotność: poważna)</w:t>
            </w:r>
          </w:p>
          <w:p w14:paraId="5B16E23E" w14:textId="77777777" w:rsidR="00160708" w:rsidRPr="00160708" w:rsidRDefault="00160708" w:rsidP="00160708">
            <w:pPr>
              <w:pStyle w:val="Bezodstpw"/>
              <w:jc w:val="both"/>
              <w:rPr>
                <w:sz w:val="22"/>
                <w:szCs w:val="22"/>
              </w:rPr>
            </w:pPr>
            <w:r w:rsidRPr="00160708">
              <w:rPr>
                <w:sz w:val="22"/>
                <w:szCs w:val="22"/>
              </w:rPr>
              <w:t>•zmiany w uwarunkowaniach prawnych mające wpływ na planowanie i realizację projektu. (istotność: umiarkowana)</w:t>
            </w:r>
          </w:p>
          <w:p w14:paraId="17F24BD8" w14:textId="77777777" w:rsidR="00160708" w:rsidRPr="00160708" w:rsidRDefault="00160708" w:rsidP="00160708">
            <w:pPr>
              <w:pStyle w:val="Bezodstpw"/>
              <w:jc w:val="both"/>
              <w:rPr>
                <w:sz w:val="22"/>
                <w:szCs w:val="22"/>
              </w:rPr>
            </w:pPr>
            <w:r w:rsidRPr="00160708">
              <w:rPr>
                <w:sz w:val="22"/>
                <w:szCs w:val="22"/>
              </w:rPr>
              <w:t>•wpływ pandemii koronawirusa SARS-CoV-2 na możliwość terminowego pozyskiwania zgód i pozwoleń administracyjnych (istotność: umiarkowana)</w:t>
            </w:r>
          </w:p>
          <w:p w14:paraId="4C8C8050" w14:textId="4554542B" w:rsidR="00160708" w:rsidRPr="00160708" w:rsidRDefault="00160708" w:rsidP="00160708">
            <w:pPr>
              <w:pStyle w:val="Bezodstpw"/>
              <w:jc w:val="both"/>
              <w:rPr>
                <w:sz w:val="22"/>
                <w:szCs w:val="22"/>
              </w:rPr>
            </w:pPr>
            <w:r w:rsidRPr="00160708">
              <w:rPr>
                <w:sz w:val="22"/>
                <w:szCs w:val="22"/>
              </w:rPr>
              <w:t>•nakładanie się wsparcia z innych instrumentów np. programów krajowych lub finansowanych ze środków krajowych (istotność: umiarkowana).</w:t>
            </w:r>
          </w:p>
          <w:p w14:paraId="45236669" w14:textId="77777777" w:rsidR="00160708" w:rsidRPr="003A6407" w:rsidRDefault="00160708" w:rsidP="00160708">
            <w:pPr>
              <w:pStyle w:val="Bezodstpw"/>
              <w:jc w:val="both"/>
            </w:pPr>
          </w:p>
        </w:tc>
      </w:tr>
    </w:tbl>
    <w:p w14:paraId="3C044109" w14:textId="77777777" w:rsidR="00160708" w:rsidRPr="003A6407" w:rsidRDefault="00160708"/>
    <w:p w14:paraId="1E2F4D5D" w14:textId="66042643" w:rsidR="00205D19" w:rsidRDefault="00205D19" w:rsidP="00205D19">
      <w:bookmarkStart w:id="171" w:name="_Toc112845242"/>
      <w:bookmarkEnd w:id="167"/>
    </w:p>
    <w:p w14:paraId="483CD073" w14:textId="6015AC22" w:rsidR="00160708" w:rsidRDefault="00160708" w:rsidP="00205D19"/>
    <w:p w14:paraId="3A7984D2" w14:textId="5B0C47CB" w:rsidR="00160708" w:rsidRDefault="00160708" w:rsidP="00205D19"/>
    <w:p w14:paraId="012B0D24" w14:textId="6BA3E21C" w:rsidR="00160708" w:rsidRDefault="00160708" w:rsidP="00205D19"/>
    <w:p w14:paraId="092649AE" w14:textId="1CE560D2" w:rsidR="00160708" w:rsidRDefault="00160708" w:rsidP="00205D19"/>
    <w:p w14:paraId="26C00C24" w14:textId="77777777" w:rsidR="00160708" w:rsidRDefault="00160708" w:rsidP="00205D19"/>
    <w:p w14:paraId="57850B37" w14:textId="260C1CD1" w:rsidR="00205D19" w:rsidRDefault="00205D19" w:rsidP="00205D19"/>
    <w:p w14:paraId="39BA3D9E" w14:textId="12E4BBAA" w:rsidR="00205D19" w:rsidRDefault="00205D19" w:rsidP="00205D19"/>
    <w:p w14:paraId="6C0035EE" w14:textId="77777777" w:rsidR="00205D19" w:rsidRDefault="00205D19" w:rsidP="00205D19"/>
    <w:p w14:paraId="7B655753" w14:textId="77777777" w:rsidR="00205D19" w:rsidRPr="00205D19" w:rsidRDefault="00205D19" w:rsidP="00205D19"/>
    <w:p w14:paraId="642D27FB" w14:textId="696178B2" w:rsidR="0018363D" w:rsidRPr="003A6407" w:rsidRDefault="00A91801" w:rsidP="00B5211F">
      <w:pPr>
        <w:pStyle w:val="Nagwek1"/>
        <w:rPr>
          <w:lang w:val="pl-PL"/>
        </w:rPr>
      </w:pPr>
      <w:bookmarkStart w:id="172" w:name="_Toc120464419"/>
      <w:r w:rsidRPr="003A6407">
        <w:rPr>
          <w:lang w:val="pl-PL"/>
        </w:rPr>
        <w:t>PRIORYTET 4: FUNDUSZE EUROPEJSKIE NA RZECZ MOBILNOŚCI DOLNEGO ŚLĄSKA</w:t>
      </w:r>
      <w:r w:rsidR="0018363D" w:rsidRPr="003A6407">
        <w:t xml:space="preserve"> </w:t>
      </w:r>
      <w:r w:rsidR="0018363D" w:rsidRPr="003A6407">
        <w:rPr>
          <w:lang w:val="pl-PL"/>
        </w:rPr>
        <w:t>(</w:t>
      </w:r>
      <w:r w:rsidR="0018363D" w:rsidRPr="003A6407">
        <w:t>CP3</w:t>
      </w:r>
      <w:r w:rsidRPr="003A6407">
        <w:rPr>
          <w:lang w:val="pl-PL"/>
        </w:rPr>
        <w:t xml:space="preserve"> EFRR</w:t>
      </w:r>
      <w:r w:rsidR="0018363D" w:rsidRPr="003A6407">
        <w:rPr>
          <w:lang w:val="pl-PL"/>
        </w:rPr>
        <w:t>)</w:t>
      </w:r>
      <w:bookmarkEnd w:id="171"/>
      <w:bookmarkEnd w:id="172"/>
    </w:p>
    <w:p w14:paraId="3363AC70" w14:textId="77777777" w:rsidR="0018363D" w:rsidRPr="003A6407" w:rsidRDefault="0018363D" w:rsidP="007A098F"/>
    <w:p w14:paraId="11DB1FE1" w14:textId="023403C2" w:rsidR="0018363D" w:rsidRPr="003A6407" w:rsidRDefault="0018363D" w:rsidP="007A098F">
      <w:pPr>
        <w:pStyle w:val="Nagwek2"/>
        <w:spacing w:after="200"/>
      </w:pPr>
      <w:bookmarkStart w:id="173" w:name="_Toc112845243"/>
      <w:bookmarkStart w:id="174" w:name="_Toc120464420"/>
      <w:r w:rsidRPr="003A6407">
        <w:t>Cel szczegółowy:</w:t>
      </w:r>
      <w:bookmarkStart w:id="175" w:name="_Toc95740568"/>
      <w:r w:rsidRPr="003A6407">
        <w:t xml:space="preserve"> </w:t>
      </w:r>
      <w:bookmarkEnd w:id="175"/>
      <w:r w:rsidR="00980C2E" w:rsidRPr="00980C2E">
        <w:t>RSO3.2. Rozwój i udoskonalanie zrównoważonej, odpornej na zmiany klimatu, inteligentnej i intermodalnej mobilności na poziomie krajowym, regionalnym i lokalnym, w tym poprawa dostępu do TEN-T oraz mobilności transgranicznej (EFRR)</w:t>
      </w:r>
      <w:bookmarkEnd w:id="173"/>
      <w:bookmarkEnd w:id="174"/>
    </w:p>
    <w:p w14:paraId="1E62B064" w14:textId="77777777" w:rsidR="0018363D" w:rsidRPr="003A6407" w:rsidRDefault="0018363D" w:rsidP="007A098F">
      <w:pPr>
        <w:pStyle w:val="Nagwek2"/>
        <w:spacing w:after="200"/>
      </w:pPr>
      <w:bookmarkStart w:id="176" w:name="_Toc112845244"/>
      <w:bookmarkStart w:id="177" w:name="_Toc120464421"/>
      <w:r w:rsidRPr="003A6407">
        <w:t>Wskaźniki produktu</w:t>
      </w:r>
      <w:bookmarkEnd w:id="176"/>
      <w:bookmarkEnd w:id="177"/>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F06FB29" w14:textId="77777777" w:rsidTr="000B4691">
        <w:trPr>
          <w:cantSplit/>
          <w:trHeight w:val="1647"/>
        </w:trPr>
        <w:tc>
          <w:tcPr>
            <w:tcW w:w="451" w:type="pct"/>
            <w:vAlign w:val="center"/>
          </w:tcPr>
          <w:p w14:paraId="4B15A1E7"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CP 3</w:t>
            </w:r>
          </w:p>
          <w:p w14:paraId="17F0EFE4" w14:textId="60DC0150" w:rsidR="0018363D" w:rsidRPr="003A6407" w:rsidRDefault="0018363D" w:rsidP="000B46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112FB08F"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6D95104C"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0A9F3637" w14:textId="77777777" w:rsidR="0018363D" w:rsidRPr="003A6407" w:rsidRDefault="0018363D" w:rsidP="000B46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18EF802C" w14:textId="732B4DF9" w:rsidR="0018363D" w:rsidRPr="003A6407" w:rsidRDefault="0018363D" w:rsidP="000B46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3714E78F"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38042F0B"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pośredni (2024)</w:t>
            </w:r>
          </w:p>
          <w:p w14:paraId="138D8786" w14:textId="77777777" w:rsidR="0018363D" w:rsidRPr="003A6407" w:rsidRDefault="0018363D" w:rsidP="000B4691">
            <w:pPr>
              <w:spacing w:before="120" w:after="120" w:line="240" w:lineRule="auto"/>
              <w:jc w:val="center"/>
              <w:rPr>
                <w:b/>
                <w:noProof/>
                <w:sz w:val="16"/>
                <w:szCs w:val="16"/>
              </w:rPr>
            </w:pPr>
          </w:p>
        </w:tc>
        <w:tc>
          <w:tcPr>
            <w:tcW w:w="550" w:type="pct"/>
            <w:shd w:val="clear" w:color="auto" w:fill="auto"/>
            <w:vAlign w:val="center"/>
          </w:tcPr>
          <w:p w14:paraId="3794E0F1"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(2029)</w:t>
            </w:r>
          </w:p>
          <w:p w14:paraId="65865F68" w14:textId="77777777" w:rsidR="0018363D" w:rsidRPr="003A6407" w:rsidRDefault="0018363D" w:rsidP="000B4691">
            <w:pPr>
              <w:spacing w:before="120" w:after="120" w:line="240" w:lineRule="auto"/>
              <w:jc w:val="center"/>
              <w:rPr>
                <w:b/>
                <w:noProof/>
                <w:sz w:val="16"/>
                <w:szCs w:val="16"/>
              </w:rPr>
            </w:pPr>
          </w:p>
        </w:tc>
      </w:tr>
      <w:tr w:rsidR="00191FE2" w:rsidRPr="003A6407" w14:paraId="429C02AA" w14:textId="77777777" w:rsidTr="000B4691">
        <w:trPr>
          <w:trHeight w:val="340"/>
        </w:trPr>
        <w:tc>
          <w:tcPr>
            <w:tcW w:w="451" w:type="pct"/>
            <w:vAlign w:val="center"/>
          </w:tcPr>
          <w:p w14:paraId="0E265661" w14:textId="77777777" w:rsidR="0018363D" w:rsidRDefault="0018363D" w:rsidP="000B4691">
            <w:pPr>
              <w:spacing w:before="120" w:after="120" w:line="240" w:lineRule="auto"/>
              <w:jc w:val="center"/>
              <w:rPr>
                <w:noProof/>
                <w:sz w:val="16"/>
                <w:szCs w:val="16"/>
              </w:rPr>
            </w:pPr>
            <w:r w:rsidRPr="003A6407">
              <w:rPr>
                <w:noProof/>
                <w:sz w:val="16"/>
                <w:szCs w:val="16"/>
              </w:rPr>
              <w:t>3 (iii)</w:t>
            </w:r>
          </w:p>
          <w:p w14:paraId="79DE40B0" w14:textId="3D4E107D" w:rsidR="007053CA" w:rsidRPr="003A6407" w:rsidRDefault="007053CA" w:rsidP="000B4691">
            <w:pPr>
              <w:spacing w:before="120" w:after="120" w:line="240" w:lineRule="auto"/>
              <w:jc w:val="center"/>
              <w:rPr>
                <w:noProof/>
                <w:sz w:val="16"/>
                <w:szCs w:val="16"/>
              </w:rPr>
            </w:pPr>
            <w:r>
              <w:rPr>
                <w:noProof/>
                <w:sz w:val="16"/>
                <w:szCs w:val="16"/>
              </w:rPr>
              <w:t>3.2</w:t>
            </w:r>
          </w:p>
        </w:tc>
        <w:tc>
          <w:tcPr>
            <w:tcW w:w="494" w:type="pct"/>
            <w:vAlign w:val="center"/>
          </w:tcPr>
          <w:p w14:paraId="5E64963F" w14:textId="77777777" w:rsidR="0018363D" w:rsidRPr="003A6407" w:rsidRDefault="0018363D" w:rsidP="000B4691">
            <w:pPr>
              <w:spacing w:before="120" w:after="120" w:line="240" w:lineRule="auto"/>
              <w:jc w:val="center"/>
              <w:rPr>
                <w:noProof/>
                <w:sz w:val="16"/>
                <w:szCs w:val="16"/>
              </w:rPr>
            </w:pPr>
            <w:r w:rsidRPr="003A6407">
              <w:rPr>
                <w:noProof/>
                <w:sz w:val="16"/>
                <w:szCs w:val="16"/>
              </w:rPr>
              <w:t>EFRR</w:t>
            </w:r>
          </w:p>
        </w:tc>
        <w:tc>
          <w:tcPr>
            <w:tcW w:w="558" w:type="pct"/>
            <w:vAlign w:val="center"/>
          </w:tcPr>
          <w:p w14:paraId="53E4E7E5" w14:textId="77777777" w:rsidR="0018363D" w:rsidRPr="003A6407" w:rsidRDefault="0018363D" w:rsidP="000B46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0FA12372" w14:textId="78777D29" w:rsidR="0018363D" w:rsidRPr="003A6407" w:rsidRDefault="0018363D" w:rsidP="000B4691">
            <w:pPr>
              <w:spacing w:before="120" w:after="120" w:line="240" w:lineRule="auto"/>
              <w:jc w:val="center"/>
              <w:rPr>
                <w:noProof/>
                <w:sz w:val="16"/>
                <w:szCs w:val="16"/>
              </w:rPr>
            </w:pPr>
            <w:r w:rsidRPr="003A6407">
              <w:rPr>
                <w:noProof/>
                <w:sz w:val="16"/>
                <w:szCs w:val="16"/>
              </w:rPr>
              <w:t>RCO 44</w:t>
            </w:r>
          </w:p>
        </w:tc>
        <w:tc>
          <w:tcPr>
            <w:tcW w:w="1411" w:type="pct"/>
            <w:shd w:val="clear" w:color="auto" w:fill="auto"/>
            <w:vAlign w:val="center"/>
          </w:tcPr>
          <w:p w14:paraId="33D98B6E" w14:textId="77777777" w:rsidR="0018363D" w:rsidRPr="003A6407" w:rsidRDefault="0018363D" w:rsidP="000B4691">
            <w:pPr>
              <w:keepNext/>
              <w:keepLines/>
              <w:spacing w:before="200" w:after="0"/>
              <w:jc w:val="center"/>
              <w:outlineLvl w:val="2"/>
              <w:rPr>
                <w:rFonts w:eastAsiaTheme="majorEastAsia" w:cstheme="majorBidi"/>
                <w:b/>
                <w:bCs/>
                <w:noProof/>
                <w:sz w:val="16"/>
                <w:szCs w:val="16"/>
              </w:rPr>
            </w:pPr>
            <w:bookmarkStart w:id="178" w:name="_Toc95740569"/>
            <w:bookmarkStart w:id="179" w:name="_Toc112845245"/>
            <w:bookmarkStart w:id="180" w:name="_Toc120464422"/>
            <w:r w:rsidRPr="003A6407">
              <w:rPr>
                <w:rFonts w:asciiTheme="minorHAnsi" w:eastAsia="Times New Roman" w:hAnsiTheme="minorHAnsi" w:cstheme="minorHAnsi"/>
                <w:bCs/>
                <w:noProof/>
                <w:sz w:val="16"/>
                <w:szCs w:val="16"/>
              </w:rPr>
              <w:t>Długość nowych lub rozbudowanych dróg - poza TEN-T</w:t>
            </w:r>
            <w:bookmarkEnd w:id="178"/>
            <w:bookmarkEnd w:id="179"/>
            <w:bookmarkEnd w:id="180"/>
          </w:p>
        </w:tc>
        <w:tc>
          <w:tcPr>
            <w:tcW w:w="549" w:type="pct"/>
            <w:vAlign w:val="center"/>
          </w:tcPr>
          <w:p w14:paraId="3BC6CB96" w14:textId="77777777" w:rsidR="0018363D" w:rsidRPr="003A6407" w:rsidRDefault="0018363D" w:rsidP="000B4691">
            <w:pPr>
              <w:spacing w:before="120" w:after="120" w:line="240" w:lineRule="auto"/>
              <w:jc w:val="center"/>
              <w:rPr>
                <w:noProof/>
                <w:sz w:val="16"/>
                <w:szCs w:val="16"/>
              </w:rPr>
            </w:pPr>
            <w:r w:rsidRPr="003A6407">
              <w:rPr>
                <w:noProof/>
                <w:sz w:val="16"/>
                <w:szCs w:val="16"/>
              </w:rPr>
              <w:t>km</w:t>
            </w:r>
          </w:p>
        </w:tc>
        <w:tc>
          <w:tcPr>
            <w:tcW w:w="627" w:type="pct"/>
            <w:shd w:val="clear" w:color="auto" w:fill="auto"/>
            <w:vAlign w:val="center"/>
          </w:tcPr>
          <w:p w14:paraId="547CFE0D" w14:textId="55F93C1A" w:rsidR="0018363D" w:rsidRPr="003A6407" w:rsidRDefault="009E03DD" w:rsidP="000B46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5A2B1A47" w14:textId="1B09736D" w:rsidR="0018363D" w:rsidRPr="003A6407" w:rsidRDefault="0018363D" w:rsidP="000B4691">
            <w:pPr>
              <w:spacing w:before="120" w:after="120" w:line="240" w:lineRule="auto"/>
              <w:jc w:val="center"/>
              <w:rPr>
                <w:noProof/>
                <w:sz w:val="16"/>
                <w:szCs w:val="16"/>
              </w:rPr>
            </w:pPr>
            <w:r w:rsidRPr="003A6407">
              <w:rPr>
                <w:noProof/>
                <w:sz w:val="16"/>
                <w:szCs w:val="16"/>
              </w:rPr>
              <w:t>16,</w:t>
            </w:r>
            <w:r w:rsidR="0047189A">
              <w:rPr>
                <w:noProof/>
                <w:sz w:val="16"/>
                <w:szCs w:val="16"/>
              </w:rPr>
              <w:t>00</w:t>
            </w:r>
          </w:p>
        </w:tc>
      </w:tr>
      <w:tr w:rsidR="0018363D" w:rsidRPr="003A6407" w14:paraId="3A4015F7" w14:textId="77777777" w:rsidTr="002B58A1">
        <w:trPr>
          <w:trHeight w:val="340"/>
        </w:trPr>
        <w:tc>
          <w:tcPr>
            <w:tcW w:w="5000" w:type="pct"/>
            <w:gridSpan w:val="8"/>
          </w:tcPr>
          <w:p w14:paraId="761F0AAC" w14:textId="77777777" w:rsidR="0018363D" w:rsidRPr="003A6407" w:rsidRDefault="0018363D" w:rsidP="007A098F">
            <w:pPr>
              <w:spacing w:before="60" w:after="60" w:line="240" w:lineRule="auto"/>
              <w:jc w:val="both"/>
            </w:pPr>
          </w:p>
          <w:p w14:paraId="1FE95D4D" w14:textId="77777777" w:rsidR="0018363D" w:rsidRPr="003A6407" w:rsidRDefault="0018363D" w:rsidP="007A098F">
            <w:pPr>
              <w:spacing w:before="60" w:after="60" w:line="240" w:lineRule="auto"/>
              <w:jc w:val="both"/>
            </w:pPr>
            <w:r w:rsidRPr="003A6407">
              <w:t>Metodologia:</w:t>
            </w:r>
          </w:p>
          <w:p w14:paraId="56AD0D57" w14:textId="236067AF" w:rsidR="0018363D" w:rsidRPr="003A6407" w:rsidRDefault="0018363D" w:rsidP="007A098F">
            <w:pPr>
              <w:spacing w:before="60" w:after="60" w:line="240" w:lineRule="auto"/>
              <w:jc w:val="both"/>
            </w:pPr>
            <w:r w:rsidRPr="003A6407">
              <w:t>Wskaźnik realizuje kod interwencji 090 Nowo wybudowane lub rozbudowane inne krajowe, regionalne i lokalne drogi dojazdowe o wartości 63 204 067,00 EUR.</w:t>
            </w:r>
          </w:p>
          <w:p w14:paraId="47E5AF8D" w14:textId="77777777" w:rsidR="0018363D" w:rsidRPr="003A6407" w:rsidRDefault="0018363D" w:rsidP="007A098F">
            <w:pPr>
              <w:shd w:val="clear" w:color="auto" w:fill="FFFFFF"/>
              <w:spacing w:before="60" w:after="60" w:line="240" w:lineRule="auto"/>
              <w:jc w:val="both"/>
              <w:rPr>
                <w:rFonts w:eastAsia="Calibri"/>
              </w:rPr>
            </w:pPr>
            <w:r w:rsidRPr="003A6407">
              <w:rPr>
                <w:rFonts w:eastAsia="Calibri"/>
              </w:rPr>
              <w:t xml:space="preserve">Historyczny koszt jednostkowy – nie dotyczy. </w:t>
            </w:r>
          </w:p>
          <w:p w14:paraId="518C921B" w14:textId="77777777" w:rsidR="0018363D" w:rsidRPr="003A6407" w:rsidRDefault="0018363D" w:rsidP="007A098F">
            <w:pPr>
              <w:spacing w:before="60" w:after="60" w:line="240" w:lineRule="auto"/>
              <w:jc w:val="both"/>
            </w:pPr>
            <w:r w:rsidRPr="003A6407">
              <w:t xml:space="preserve">Wskaźnik został oszacowany przez Dolnośląską Służbę Dróg i Kolei we Wrocławiu. Na potrzeby wyliczenia wartości wskaźnika, przyjęto założenie, że będzie on głównie realizowany poprzez realizację projektów priorytetowych dla województwa obejmujących budowę i rozbudowę dróg poza TEN-T, wybranych w niekonkurencyjnym trybie wyboru projektów. Wartość docelową oszacowano na podstawie wykazu przedsięwzięć priorytetowych planowanych do finansowania w ramach FEDS 2021-2027. </w:t>
            </w:r>
          </w:p>
          <w:p w14:paraId="18CE0681" w14:textId="44767B7E" w:rsidR="0018363D" w:rsidRPr="003A6407" w:rsidRDefault="0018363D" w:rsidP="007A098F">
            <w:pPr>
              <w:spacing w:before="60" w:after="60" w:line="240" w:lineRule="auto"/>
              <w:jc w:val="both"/>
            </w:pPr>
            <w:r w:rsidRPr="003A6407">
              <w:t>Dolnośląska Służba Dróg i Kolei we Wrocławiu po analizie danych dotyczących w/w projektów ustaliła wartość wskaźnika: 25,17 km.</w:t>
            </w:r>
          </w:p>
          <w:p w14:paraId="32DC3D89" w14:textId="106C5F3A" w:rsidR="0018363D" w:rsidRPr="003A6407" w:rsidRDefault="0018363D" w:rsidP="007A098F">
            <w:pPr>
              <w:spacing w:before="60" w:after="60" w:line="240" w:lineRule="auto"/>
              <w:jc w:val="both"/>
            </w:pPr>
            <w:r w:rsidRPr="003A6407">
              <w:t>Biorąc pod uwagę wskaźnik kompensacji na poziomie 34,6% wartość docelowa wskaźnika Długość nowych lub rozbudowanych dróg - poza TEN-T wynosi: 16,46 km</w:t>
            </w:r>
          </w:p>
          <w:p w14:paraId="46316CDD" w14:textId="549DD4DE" w:rsidR="0018363D" w:rsidRPr="003A6407" w:rsidRDefault="0018363D" w:rsidP="007A098F">
            <w:pPr>
              <w:spacing w:before="60" w:after="60" w:line="240" w:lineRule="auto"/>
              <w:jc w:val="both"/>
            </w:pPr>
            <w:r w:rsidRPr="003A6407">
              <w:t>25,17* (1-0,346) =16,</w:t>
            </w:r>
            <w:r w:rsidR="0081194E">
              <w:t>00</w:t>
            </w:r>
            <w:r w:rsidR="0081194E" w:rsidRPr="003A6407">
              <w:t xml:space="preserve"> </w:t>
            </w:r>
            <w:r w:rsidRPr="003A6407">
              <w:t>km</w:t>
            </w:r>
            <w:r w:rsidR="0081194E">
              <w:t xml:space="preserve"> (wartość zaokrąglono do pełnych km)</w:t>
            </w:r>
          </w:p>
          <w:p w14:paraId="712A27AF" w14:textId="77777777" w:rsidR="0018363D" w:rsidRPr="003A6407" w:rsidRDefault="0018363D" w:rsidP="007A098F">
            <w:pPr>
              <w:spacing w:before="60" w:after="60" w:line="240" w:lineRule="auto"/>
              <w:jc w:val="both"/>
            </w:pPr>
          </w:p>
          <w:p w14:paraId="794156C3" w14:textId="77777777" w:rsidR="0018363D" w:rsidRPr="003A6407" w:rsidRDefault="0018363D" w:rsidP="007A098F">
            <w:pPr>
              <w:spacing w:before="60" w:after="60" w:line="240" w:lineRule="auto"/>
              <w:jc w:val="both"/>
            </w:pPr>
            <w:r w:rsidRPr="003A6407">
              <w:t xml:space="preserve">Na podstawie </w:t>
            </w:r>
            <w:proofErr w:type="spellStart"/>
            <w:r w:rsidRPr="003A6407">
              <w:t>ryzyk</w:t>
            </w:r>
            <w:proofErr w:type="spellEnd"/>
            <w:r w:rsidRPr="003A6407">
              <w:t xml:space="preserve"> związanych z realizacją tego typu projektów określono wskaźnik kompensacji:</w:t>
            </w:r>
          </w:p>
          <w:p w14:paraId="5AAA7026" w14:textId="090619E3" w:rsidR="0018363D" w:rsidRPr="003A6407" w:rsidRDefault="0018363D" w:rsidP="007A098F">
            <w:pPr>
              <w:spacing w:before="60" w:after="60" w:line="240" w:lineRule="auto"/>
              <w:jc w:val="both"/>
            </w:pPr>
            <w:r w:rsidRPr="003A6407">
              <w:t>R: [(7*25)+(2*68)/9 = 34,6</w:t>
            </w:r>
            <w:r w:rsidR="00412D9C" w:rsidRPr="003A6407">
              <w:t>%</w:t>
            </w:r>
          </w:p>
          <w:p w14:paraId="579D3EA4" w14:textId="77777777" w:rsidR="0018363D" w:rsidRPr="003A6407" w:rsidRDefault="0018363D" w:rsidP="007A098F">
            <w:pPr>
              <w:spacing w:before="60" w:after="60" w:line="240" w:lineRule="auto"/>
              <w:jc w:val="both"/>
            </w:pPr>
            <w:r w:rsidRPr="003A6407">
              <w:t>Należy zwrócić szczególną uwagę na następujące czynniki ryzyka, które może mogą mieć wpływ na poziom osiągnięcia założonej wartości docelowej:</w:t>
            </w:r>
          </w:p>
          <w:p w14:paraId="4678F571" w14:textId="77777777" w:rsidR="0018363D" w:rsidRPr="003A6407" w:rsidRDefault="0018363D">
            <w:pPr>
              <w:numPr>
                <w:ilvl w:val="0"/>
                <w:numId w:val="66"/>
              </w:numPr>
              <w:spacing w:before="60" w:after="60" w:line="240" w:lineRule="auto"/>
              <w:contextualSpacing/>
              <w:jc w:val="both"/>
            </w:pPr>
            <w:r w:rsidRPr="003A6407">
              <w:rPr>
                <w:b/>
                <w:bCs/>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96CBE0E" w14:textId="77777777" w:rsidR="0018363D" w:rsidRPr="003A6407" w:rsidRDefault="0018363D">
            <w:pPr>
              <w:numPr>
                <w:ilvl w:val="0"/>
                <w:numId w:val="66"/>
              </w:numPr>
              <w:spacing w:before="60" w:after="60" w:line="240" w:lineRule="auto"/>
              <w:contextualSpacing/>
              <w:jc w:val="both"/>
            </w:pPr>
            <w:r w:rsidRPr="003A6407">
              <w:rPr>
                <w:rFonts w:eastAsia="Calibri" w:cs="Times New Roman"/>
                <w:b/>
                <w:color w:val="000000"/>
              </w:rPr>
              <w:t>Ryzyko wzrostu cen</w:t>
            </w:r>
            <w:r w:rsidRPr="003A6407">
              <w:rPr>
                <w:rFonts w:eastAsia="Calibri" w:cs="Times New Roman"/>
                <w:bCs/>
                <w:color w:val="000000"/>
              </w:rPr>
              <w:t xml:space="preserve"> -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4BC3D5EF" w14:textId="77777777" w:rsidR="0018363D" w:rsidRPr="003A6407" w:rsidRDefault="0018363D">
            <w:pPr>
              <w:numPr>
                <w:ilvl w:val="0"/>
                <w:numId w:val="66"/>
              </w:numPr>
              <w:spacing w:before="60" w:after="60" w:line="240" w:lineRule="auto"/>
              <w:contextualSpacing/>
              <w:jc w:val="both"/>
            </w:pPr>
            <w:r w:rsidRPr="003A6407">
              <w:rPr>
                <w:b/>
                <w:bCs/>
              </w:rPr>
              <w:t>Zawieszenie płatności przez KE</w:t>
            </w:r>
            <w:r w:rsidRPr="003A6407">
              <w:t xml:space="preserve"> dla danej osi priorytetowej; (istotność: umiarkowana).</w:t>
            </w:r>
          </w:p>
          <w:p w14:paraId="32F30A2A" w14:textId="77777777" w:rsidR="0018363D" w:rsidRPr="003A6407" w:rsidRDefault="0018363D">
            <w:pPr>
              <w:numPr>
                <w:ilvl w:val="0"/>
                <w:numId w:val="66"/>
              </w:numPr>
              <w:spacing w:before="60" w:after="60" w:line="240" w:lineRule="auto"/>
              <w:contextualSpacing/>
              <w:jc w:val="both"/>
            </w:pPr>
            <w:r w:rsidRPr="003A6407">
              <w:rPr>
                <w:b/>
                <w:bCs/>
              </w:rPr>
              <w:t>Opóźnienia, bądź niewykonanie projektu</w:t>
            </w:r>
            <w:r w:rsidRPr="003A6407">
              <w:t xml:space="preserve"> związane z procedurami wynikającymi z zamówień publicznych oraz koniecznością spełnienia wytycznych Unii Europejskiej w zakresie ochrony środowiska min. wynikających z art. 9 rozporządzenia (UE) nr 2020/852 (rozporządzenie w sprawie taksonomii); związane z brakiem / ograniczonym dostępem do materiałów/surowców/półproduktów oraz wpływem pandemii koronawirusa SARS-CoV-2 na gospodarkę regionalną, potencjalne możliwości realizacji projektów, na zdolności inwestycyjne i nastroje przedsiębiorstw oraz innych beneficjentów do inwestowania, zdolność administracyjną i kadrową (istotność: poważna). </w:t>
            </w:r>
          </w:p>
          <w:p w14:paraId="30D9CD04" w14:textId="77777777" w:rsidR="0018363D" w:rsidRPr="003A6407" w:rsidRDefault="0018363D">
            <w:pPr>
              <w:numPr>
                <w:ilvl w:val="0"/>
                <w:numId w:val="66"/>
              </w:numPr>
              <w:spacing w:before="60" w:after="60" w:line="240" w:lineRule="auto"/>
              <w:contextualSpacing/>
              <w:jc w:val="both"/>
            </w:pPr>
            <w:r w:rsidRPr="003A6407">
              <w:rPr>
                <w:b/>
                <w:bCs/>
              </w:rPr>
              <w:t>Rozwiązane umowy</w:t>
            </w:r>
            <w:r w:rsidRPr="003A6407">
              <w:t xml:space="preserve"> o dofinansowanie realizacji projektu – (istotność: umiarkowana).</w:t>
            </w:r>
          </w:p>
          <w:p w14:paraId="2E9AF18A" w14:textId="77777777" w:rsidR="0018363D" w:rsidRPr="003A6407" w:rsidRDefault="0018363D">
            <w:pPr>
              <w:numPr>
                <w:ilvl w:val="0"/>
                <w:numId w:val="66"/>
              </w:numPr>
              <w:spacing w:before="60" w:after="60" w:line="240" w:lineRule="auto"/>
              <w:contextualSpacing/>
              <w:jc w:val="both"/>
            </w:pPr>
            <w:r w:rsidRPr="003A6407">
              <w:rPr>
                <w:b/>
                <w:bCs/>
              </w:rPr>
              <w:t>Czynniki które mogą wpłynąć na harmonogram</w:t>
            </w:r>
            <w:r w:rsidRPr="003A6407">
              <w:t xml:space="preserve"> realizacji związane z koniecznością spełnienia </w:t>
            </w:r>
            <w:r w:rsidRPr="003A6407">
              <w:rPr>
                <w:b/>
                <w:bCs/>
              </w:rPr>
              <w:t>tematycznego warunku podstawowego</w:t>
            </w:r>
            <w:r w:rsidRPr="003A6407">
              <w:t xml:space="preserve"> 3.1. Kompleksowe planowanie transportu na odpowiednim poziomie oraz związanych z nim kryteriów, które będą oceniane, monitorowane i stosowane przez cały okres programowania. W związku z powyższym istnieje ryzyko związane z koniecznością przygotowania i aktualizacji stosownych dokumentów na poziomie krajowym i regionalnym (istotność: umiarkowana).</w:t>
            </w:r>
          </w:p>
          <w:p w14:paraId="093101DE" w14:textId="77777777" w:rsidR="0018363D" w:rsidRPr="003A6407" w:rsidRDefault="0018363D">
            <w:pPr>
              <w:numPr>
                <w:ilvl w:val="0"/>
                <w:numId w:val="66"/>
              </w:numPr>
              <w:spacing w:before="60" w:after="60" w:line="240" w:lineRule="auto"/>
              <w:contextualSpacing/>
              <w:jc w:val="both"/>
            </w:pPr>
            <w:r w:rsidRPr="003A6407">
              <w:rPr>
                <w:b/>
                <w:bCs/>
              </w:rPr>
              <w:t>Wartości planowanych w Kontrakcie Programowym projektów</w:t>
            </w:r>
            <w:r w:rsidRPr="003A6407">
              <w:t xml:space="preserve"> – mogą ulec zmianie podczas doprecyzowania projektów; mogą także ewentualnie nastąpić zmiany w planowanych do wsparcia projektach jeśli otrzymają inne źródło finansowania; (istotność: umiarkowana).</w:t>
            </w:r>
            <w:r w:rsidRPr="003A6407" w:rsidDel="00426972">
              <w:t xml:space="preserve"> </w:t>
            </w:r>
          </w:p>
          <w:p w14:paraId="3821671C" w14:textId="77777777" w:rsidR="0018363D" w:rsidRPr="003A6407" w:rsidRDefault="0018363D">
            <w:pPr>
              <w:numPr>
                <w:ilvl w:val="0"/>
                <w:numId w:val="66"/>
              </w:numPr>
              <w:spacing w:before="60" w:after="60" w:line="240" w:lineRule="auto"/>
              <w:contextualSpacing/>
              <w:jc w:val="both"/>
            </w:pPr>
            <w:r w:rsidRPr="003A6407">
              <w:rPr>
                <w:b/>
                <w:bCs/>
              </w:rPr>
              <w:t>Problemy z zabezpieczeniem wkładu własnego</w:t>
            </w:r>
            <w:r w:rsidRPr="003A6407">
              <w:t xml:space="preserve"> wnioskodawcy; (istotność: umiarkowana).</w:t>
            </w:r>
          </w:p>
          <w:p w14:paraId="747D5F41" w14:textId="707400E8" w:rsidR="0018363D" w:rsidRPr="003A6407" w:rsidRDefault="0018363D">
            <w:pPr>
              <w:numPr>
                <w:ilvl w:val="0"/>
                <w:numId w:val="66"/>
              </w:numPr>
              <w:spacing w:before="60" w:after="60" w:line="240" w:lineRule="auto"/>
              <w:contextualSpacing/>
              <w:jc w:val="both"/>
            </w:pPr>
            <w:r w:rsidRPr="003A6407">
              <w:rPr>
                <w:b/>
                <w:bCs/>
              </w:rPr>
              <w:t>Zmiany w uwarunkowaniach prawnych</w:t>
            </w:r>
            <w:r w:rsidRPr="003A6407">
              <w:t xml:space="preserve"> mające wpływ na planowanie i realizację projektu. (istotność: umiarkowana).</w:t>
            </w:r>
          </w:p>
          <w:p w14:paraId="06183467" w14:textId="77777777" w:rsidR="00DC3095" w:rsidRPr="003A6407" w:rsidRDefault="00DC3095" w:rsidP="00DC3095">
            <w:pPr>
              <w:spacing w:before="60" w:after="60" w:line="240" w:lineRule="auto"/>
              <w:contextualSpacing/>
              <w:jc w:val="both"/>
            </w:pPr>
          </w:p>
          <w:p w14:paraId="27A93695" w14:textId="2E5E3F5B" w:rsidR="00DC3095" w:rsidRPr="003A6407" w:rsidRDefault="00DC3095" w:rsidP="00DC3095">
            <w:pPr>
              <w:spacing w:before="60" w:after="60" w:line="240" w:lineRule="auto"/>
              <w:contextualSpacing/>
              <w:jc w:val="both"/>
              <w:rPr>
                <w:b/>
                <w:bCs/>
              </w:rPr>
            </w:pPr>
            <w:r w:rsidRPr="003A6407">
              <w:rPr>
                <w:b/>
                <w:bCs/>
              </w:rPr>
              <w:t>Uzasadnienie dla celu pośredniego:</w:t>
            </w:r>
          </w:p>
          <w:p w14:paraId="3F2826E8" w14:textId="111D0C01" w:rsidR="00DC3095" w:rsidRPr="003A6407" w:rsidRDefault="00DC3095" w:rsidP="00DC3095">
            <w:pPr>
              <w:spacing w:before="60" w:after="60" w:line="240" w:lineRule="auto"/>
              <w:contextualSpacing/>
              <w:jc w:val="both"/>
              <w:rPr>
                <w:b/>
                <w:bCs/>
              </w:rPr>
            </w:pPr>
            <w:r w:rsidRPr="003A6407">
              <w:rPr>
                <w:b/>
                <w:bCs/>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7b ), na podstawie Sprawozdania rocznego z 2021 r. - </w:t>
            </w:r>
            <w:r w:rsidRPr="003A6407">
              <w:rPr>
                <w:b/>
                <w:bCs/>
              </w:rPr>
              <w:lastRenderedPageBreak/>
              <w:t>wskaźnik pn. Całkowita długość nowych dróg (CI 13) w 2017 r. osiągnął wartość 0, co wobec wartości z wykonania na 2021 r. (34,44) stanowi 0%. Wskaźnik: Całkowita długość przebudowanych lub zmodernizowanych dróg (CI 14) dopiero w 2017 roku osiągnął wartość 2,66</w:t>
            </w:r>
            <w:r w:rsidR="00D75222">
              <w:rPr>
                <w:b/>
                <w:bCs/>
              </w:rPr>
              <w:t xml:space="preserve"> km</w:t>
            </w:r>
            <w:r w:rsidRPr="003A6407">
              <w:rPr>
                <w:b/>
                <w:bCs/>
              </w:rPr>
              <w:t>, co wobec wartości z wykonania na 2021 r. (78,51) stanowi zaledwie 3,39</w:t>
            </w:r>
            <w:r w:rsidR="00412D9C" w:rsidRPr="003A6407">
              <w:rPr>
                <w:b/>
                <w:bCs/>
              </w:rPr>
              <w:t>%</w:t>
            </w:r>
            <w:r w:rsidRPr="003A6407">
              <w:rPr>
                <w:b/>
                <w:bCs/>
              </w:rPr>
              <w:t>.</w:t>
            </w:r>
            <w:r w:rsidR="00087FE2">
              <w:rPr>
                <w:b/>
                <w:bCs/>
              </w:rPr>
              <w:t xml:space="preserve"> Niemniej biorąc pod uwagę wydłużone procedury środowiskowe, problemy związane z inflacja oraz brakiem dostępnych wykonawców inwestycji, postanawia się przyjąć cel pośredni równy 0.</w:t>
            </w:r>
          </w:p>
          <w:p w14:paraId="08BC48C3" w14:textId="06089ABE" w:rsidR="0018363D" w:rsidRPr="003A6407" w:rsidRDefault="0018363D" w:rsidP="00087FE2">
            <w:pPr>
              <w:spacing w:before="60" w:after="60" w:line="240" w:lineRule="auto"/>
              <w:contextualSpacing/>
              <w:jc w:val="both"/>
              <w:rPr>
                <w:noProof/>
                <w:color w:val="FF0000"/>
                <w:sz w:val="16"/>
                <w:szCs w:val="16"/>
              </w:rPr>
            </w:pPr>
          </w:p>
        </w:tc>
      </w:tr>
    </w:tbl>
    <w:p w14:paraId="47977641" w14:textId="77777777" w:rsidR="0018363D" w:rsidRPr="003A6407" w:rsidRDefault="0018363D" w:rsidP="007A098F"/>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4E07B0A" w14:textId="77777777" w:rsidTr="000B4691">
        <w:trPr>
          <w:cantSplit/>
          <w:trHeight w:val="1647"/>
        </w:trPr>
        <w:tc>
          <w:tcPr>
            <w:tcW w:w="451" w:type="pct"/>
            <w:vAlign w:val="center"/>
          </w:tcPr>
          <w:p w14:paraId="18A06712"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CP 3</w:t>
            </w:r>
          </w:p>
          <w:p w14:paraId="5C9ECDA4" w14:textId="4505B0E3" w:rsidR="0018363D" w:rsidRPr="003A6407" w:rsidRDefault="0018363D" w:rsidP="000B46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343FDF2"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7271FFEF"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1A74578E" w14:textId="77777777" w:rsidR="0018363D" w:rsidRPr="003A6407" w:rsidRDefault="0018363D" w:rsidP="000B46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7C4FB36E" w14:textId="065FCDEF" w:rsidR="0018363D" w:rsidRPr="003A6407" w:rsidRDefault="0018363D" w:rsidP="000B46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18A382CB"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53DD54BA"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pośredni (2024)</w:t>
            </w:r>
          </w:p>
          <w:p w14:paraId="6D083923" w14:textId="77777777" w:rsidR="0018363D" w:rsidRPr="003A6407" w:rsidRDefault="0018363D" w:rsidP="000B4691">
            <w:pPr>
              <w:spacing w:before="120" w:after="120" w:line="240" w:lineRule="auto"/>
              <w:jc w:val="center"/>
              <w:rPr>
                <w:b/>
                <w:noProof/>
                <w:sz w:val="16"/>
                <w:szCs w:val="16"/>
              </w:rPr>
            </w:pPr>
          </w:p>
        </w:tc>
        <w:tc>
          <w:tcPr>
            <w:tcW w:w="550" w:type="pct"/>
            <w:shd w:val="clear" w:color="auto" w:fill="auto"/>
            <w:vAlign w:val="center"/>
          </w:tcPr>
          <w:p w14:paraId="6F84DE2F"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(2029)</w:t>
            </w:r>
          </w:p>
          <w:p w14:paraId="574CB59F" w14:textId="77777777" w:rsidR="0018363D" w:rsidRPr="003A6407" w:rsidRDefault="0018363D" w:rsidP="000B4691">
            <w:pPr>
              <w:spacing w:before="120" w:after="120" w:line="240" w:lineRule="auto"/>
              <w:jc w:val="center"/>
              <w:rPr>
                <w:b/>
                <w:noProof/>
                <w:sz w:val="16"/>
                <w:szCs w:val="16"/>
              </w:rPr>
            </w:pPr>
          </w:p>
        </w:tc>
      </w:tr>
      <w:tr w:rsidR="00191FE2" w:rsidRPr="003A6407" w14:paraId="00045CCB" w14:textId="77777777" w:rsidTr="000B4691">
        <w:trPr>
          <w:trHeight w:val="340"/>
        </w:trPr>
        <w:tc>
          <w:tcPr>
            <w:tcW w:w="451" w:type="pct"/>
            <w:vAlign w:val="center"/>
          </w:tcPr>
          <w:p w14:paraId="1AB9C6FE" w14:textId="77777777" w:rsidR="0018363D" w:rsidRDefault="0018363D" w:rsidP="000B4691">
            <w:pPr>
              <w:spacing w:before="120" w:after="120" w:line="240" w:lineRule="auto"/>
              <w:jc w:val="center"/>
              <w:rPr>
                <w:noProof/>
                <w:sz w:val="16"/>
                <w:szCs w:val="16"/>
              </w:rPr>
            </w:pPr>
            <w:r w:rsidRPr="003A6407">
              <w:rPr>
                <w:noProof/>
                <w:sz w:val="16"/>
                <w:szCs w:val="16"/>
              </w:rPr>
              <w:t>3 (iii)</w:t>
            </w:r>
          </w:p>
          <w:p w14:paraId="22DD0627" w14:textId="24261B33" w:rsidR="007053CA" w:rsidRPr="003A6407" w:rsidRDefault="007053CA" w:rsidP="000B4691">
            <w:pPr>
              <w:spacing w:before="120" w:after="120" w:line="240" w:lineRule="auto"/>
              <w:jc w:val="center"/>
              <w:rPr>
                <w:noProof/>
                <w:sz w:val="16"/>
                <w:szCs w:val="16"/>
              </w:rPr>
            </w:pPr>
            <w:r>
              <w:rPr>
                <w:noProof/>
                <w:sz w:val="16"/>
                <w:szCs w:val="16"/>
              </w:rPr>
              <w:t>3.2</w:t>
            </w:r>
          </w:p>
        </w:tc>
        <w:tc>
          <w:tcPr>
            <w:tcW w:w="494" w:type="pct"/>
            <w:vAlign w:val="center"/>
          </w:tcPr>
          <w:p w14:paraId="1441BFA4" w14:textId="77777777" w:rsidR="0018363D" w:rsidRPr="003A6407" w:rsidRDefault="0018363D" w:rsidP="000B4691">
            <w:pPr>
              <w:spacing w:before="120" w:after="120" w:line="240" w:lineRule="auto"/>
              <w:jc w:val="center"/>
              <w:rPr>
                <w:noProof/>
                <w:sz w:val="16"/>
                <w:szCs w:val="16"/>
              </w:rPr>
            </w:pPr>
            <w:r w:rsidRPr="003A6407">
              <w:rPr>
                <w:noProof/>
                <w:sz w:val="16"/>
                <w:szCs w:val="16"/>
              </w:rPr>
              <w:t>EFRR</w:t>
            </w:r>
          </w:p>
        </w:tc>
        <w:tc>
          <w:tcPr>
            <w:tcW w:w="558" w:type="pct"/>
            <w:vAlign w:val="center"/>
          </w:tcPr>
          <w:p w14:paraId="3961B645" w14:textId="77777777" w:rsidR="0018363D" w:rsidRPr="003A6407" w:rsidRDefault="0018363D" w:rsidP="000B46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749A37AD" w14:textId="45FC324C" w:rsidR="0018363D" w:rsidRPr="003A6407" w:rsidRDefault="0018363D" w:rsidP="000B4691">
            <w:pPr>
              <w:spacing w:before="120" w:after="120" w:line="240" w:lineRule="auto"/>
              <w:jc w:val="center"/>
              <w:rPr>
                <w:noProof/>
                <w:sz w:val="16"/>
                <w:szCs w:val="16"/>
              </w:rPr>
            </w:pPr>
            <w:r w:rsidRPr="003A6407">
              <w:rPr>
                <w:noProof/>
                <w:sz w:val="16"/>
                <w:szCs w:val="16"/>
              </w:rPr>
              <w:t>RCO 46</w:t>
            </w:r>
          </w:p>
        </w:tc>
        <w:tc>
          <w:tcPr>
            <w:tcW w:w="1411" w:type="pct"/>
            <w:shd w:val="clear" w:color="auto" w:fill="auto"/>
            <w:vAlign w:val="center"/>
          </w:tcPr>
          <w:p w14:paraId="5B56D40B" w14:textId="77777777" w:rsidR="0018363D" w:rsidRPr="003A6407" w:rsidRDefault="0018363D" w:rsidP="000B4691">
            <w:pPr>
              <w:keepNext/>
              <w:keepLines/>
              <w:spacing w:before="200" w:after="0"/>
              <w:jc w:val="center"/>
              <w:outlineLvl w:val="2"/>
              <w:rPr>
                <w:rFonts w:asciiTheme="minorHAnsi" w:eastAsia="Times New Roman" w:hAnsiTheme="minorHAnsi" w:cstheme="minorHAnsi"/>
                <w:bCs/>
                <w:noProof/>
                <w:sz w:val="16"/>
                <w:szCs w:val="16"/>
              </w:rPr>
            </w:pPr>
            <w:bookmarkStart w:id="181" w:name="_Toc95740570"/>
            <w:bookmarkStart w:id="182" w:name="_Toc112845246"/>
            <w:bookmarkStart w:id="183" w:name="_Toc120464423"/>
            <w:r w:rsidRPr="003A6407">
              <w:rPr>
                <w:rFonts w:asciiTheme="minorHAnsi" w:eastAsia="Times New Roman" w:hAnsiTheme="minorHAnsi" w:cstheme="minorHAnsi"/>
                <w:bCs/>
                <w:noProof/>
                <w:sz w:val="16"/>
                <w:szCs w:val="16"/>
              </w:rPr>
              <w:t>Długość dróg przebudowanych lub zmodernizowanych – poza TEN-T</w:t>
            </w:r>
            <w:bookmarkEnd w:id="181"/>
            <w:bookmarkEnd w:id="182"/>
            <w:bookmarkEnd w:id="183"/>
          </w:p>
        </w:tc>
        <w:tc>
          <w:tcPr>
            <w:tcW w:w="549" w:type="pct"/>
            <w:vAlign w:val="center"/>
          </w:tcPr>
          <w:p w14:paraId="2D118EED" w14:textId="77777777" w:rsidR="0018363D" w:rsidRPr="003A6407" w:rsidRDefault="0018363D" w:rsidP="000B4691">
            <w:pPr>
              <w:spacing w:before="120" w:after="120" w:line="240" w:lineRule="auto"/>
              <w:jc w:val="center"/>
              <w:rPr>
                <w:noProof/>
                <w:sz w:val="16"/>
                <w:szCs w:val="16"/>
              </w:rPr>
            </w:pPr>
            <w:r w:rsidRPr="003A6407">
              <w:rPr>
                <w:noProof/>
                <w:sz w:val="16"/>
                <w:szCs w:val="16"/>
              </w:rPr>
              <w:t>km</w:t>
            </w:r>
          </w:p>
        </w:tc>
        <w:tc>
          <w:tcPr>
            <w:tcW w:w="627" w:type="pct"/>
            <w:shd w:val="clear" w:color="auto" w:fill="auto"/>
            <w:vAlign w:val="center"/>
          </w:tcPr>
          <w:p w14:paraId="15A4E747" w14:textId="64586552" w:rsidR="0018363D" w:rsidRPr="003A6407" w:rsidRDefault="009E03DD" w:rsidP="000B46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724945B6" w14:textId="77226BCB" w:rsidR="0018363D" w:rsidRPr="003A6407" w:rsidRDefault="0018363D" w:rsidP="000B4691">
            <w:pPr>
              <w:spacing w:before="120" w:after="120" w:line="240" w:lineRule="auto"/>
              <w:jc w:val="center"/>
              <w:rPr>
                <w:noProof/>
                <w:sz w:val="16"/>
                <w:szCs w:val="16"/>
              </w:rPr>
            </w:pPr>
            <w:r w:rsidRPr="003A6407">
              <w:rPr>
                <w:noProof/>
                <w:sz w:val="16"/>
                <w:szCs w:val="16"/>
              </w:rPr>
              <w:t>152,</w:t>
            </w:r>
            <w:r w:rsidR="0047189A">
              <w:rPr>
                <w:noProof/>
                <w:sz w:val="16"/>
                <w:szCs w:val="16"/>
              </w:rPr>
              <w:t>00</w:t>
            </w:r>
          </w:p>
        </w:tc>
      </w:tr>
      <w:tr w:rsidR="0018363D" w:rsidRPr="003A6407" w14:paraId="4D5AF123" w14:textId="77777777" w:rsidTr="002B58A1">
        <w:trPr>
          <w:trHeight w:val="340"/>
        </w:trPr>
        <w:tc>
          <w:tcPr>
            <w:tcW w:w="5000" w:type="pct"/>
            <w:gridSpan w:val="8"/>
          </w:tcPr>
          <w:p w14:paraId="3FF6D847" w14:textId="77777777" w:rsidR="0018363D" w:rsidRPr="003A6407" w:rsidRDefault="0018363D" w:rsidP="007A098F">
            <w:pPr>
              <w:spacing w:before="60" w:after="60" w:line="240" w:lineRule="auto"/>
              <w:jc w:val="both"/>
            </w:pPr>
            <w:r w:rsidRPr="003A6407">
              <w:t>Metodologia:</w:t>
            </w:r>
          </w:p>
          <w:p w14:paraId="7BD3ECDD" w14:textId="21AD59D9" w:rsidR="0018363D" w:rsidRPr="003A6407" w:rsidRDefault="0018363D" w:rsidP="007A098F">
            <w:pPr>
              <w:spacing w:before="60" w:after="60" w:line="240" w:lineRule="auto"/>
              <w:jc w:val="both"/>
            </w:pPr>
            <w:r w:rsidRPr="003A6407">
              <w:t>Wskaźnik realizuje kod interwencji 093 Inne drogi przebudowane lub zmodernizowane (autostrady, drogi krajowe, regionalne lub lokalne) o wartości 89 938 756, 00 EUR.</w:t>
            </w:r>
          </w:p>
          <w:p w14:paraId="0C32C8A8" w14:textId="77777777" w:rsidR="0018363D" w:rsidRPr="003A6407" w:rsidRDefault="0018363D" w:rsidP="007A098F">
            <w:pPr>
              <w:shd w:val="clear" w:color="auto" w:fill="FFFFFF"/>
              <w:spacing w:before="60" w:after="60" w:line="240" w:lineRule="auto"/>
              <w:jc w:val="both"/>
              <w:rPr>
                <w:rFonts w:eastAsia="Calibri"/>
              </w:rPr>
            </w:pPr>
            <w:r w:rsidRPr="003A6407">
              <w:rPr>
                <w:rFonts w:eastAsia="Calibri"/>
              </w:rPr>
              <w:t xml:space="preserve">Historyczny koszt jednostkowy – nie dotyczy. </w:t>
            </w:r>
          </w:p>
          <w:p w14:paraId="13489DF1" w14:textId="77777777" w:rsidR="0018363D" w:rsidRPr="003A6407" w:rsidRDefault="0018363D" w:rsidP="007A098F">
            <w:pPr>
              <w:spacing w:before="60" w:after="60" w:line="240" w:lineRule="auto"/>
              <w:jc w:val="both"/>
            </w:pPr>
            <w:r w:rsidRPr="003A6407">
              <w:t xml:space="preserve">Wskaźnik został oszacowany przez Dolnośląską Służbę Dróg i Kolei we Wrocławiu. Na potrzeby wyliczenia wartości wskaźnika, przyjęto założenie, że będzie on głównie realizowany poprzez realizację projektów priorytetowych dla województwa obejmujących przebudowę i modernizacje dróg poza TEN-T, wybranych w niekonkurencyjnym trybie wyboru projektów. Wartość docelową oszacowano na podstawie wykazu przedsięwzięć priorytetowych planowanych do finansowania w ramach FEDS 2021-2027. </w:t>
            </w:r>
          </w:p>
          <w:p w14:paraId="63DFCFE9" w14:textId="77777777" w:rsidR="0018363D" w:rsidRPr="003A6407" w:rsidRDefault="0018363D" w:rsidP="007A098F">
            <w:pPr>
              <w:spacing w:before="60" w:after="60" w:line="240" w:lineRule="auto"/>
              <w:jc w:val="both"/>
            </w:pPr>
            <w:r w:rsidRPr="003A6407">
              <w:t>Dolnośląska Służba Dróg i Kolei we Wrocławiu po analizie danych dotyczących w/w projektów ustaliła wartość wskaźnika na poziomie: 233,52 km.</w:t>
            </w:r>
          </w:p>
          <w:p w14:paraId="1C3801AD" w14:textId="77777777" w:rsidR="0018363D" w:rsidRPr="003A6407" w:rsidRDefault="0018363D" w:rsidP="007A098F">
            <w:pPr>
              <w:spacing w:before="60" w:after="60" w:line="240" w:lineRule="auto"/>
              <w:jc w:val="both"/>
            </w:pPr>
            <w:r w:rsidRPr="003A6407">
              <w:t>Biorąc pod uwagę wskaźnik kompensacji na poziomie 34,6% wartość docelowa wskaźnika Długość dróg przebudowanych lub zmodernizowanych – poza TEN-T wynosi: 152,72 km</w:t>
            </w:r>
          </w:p>
          <w:p w14:paraId="2BA51022" w14:textId="2FF8AAD4" w:rsidR="0018363D" w:rsidRPr="003A6407" w:rsidRDefault="0018363D" w:rsidP="007A098F">
            <w:pPr>
              <w:spacing w:before="60" w:after="60" w:line="240" w:lineRule="auto"/>
              <w:jc w:val="both"/>
            </w:pPr>
            <w:r w:rsidRPr="003A6407">
              <w:t xml:space="preserve">233,52* (1-0,346) = </w:t>
            </w:r>
            <w:r w:rsidR="0081194E" w:rsidRPr="003A6407">
              <w:t>15</w:t>
            </w:r>
            <w:r w:rsidR="0081194E">
              <w:t>3</w:t>
            </w:r>
            <w:r w:rsidRPr="003A6407">
              <w:t>,</w:t>
            </w:r>
            <w:r w:rsidR="0081194E">
              <w:t>00</w:t>
            </w:r>
            <w:r w:rsidR="0081194E" w:rsidRPr="003A6407">
              <w:t xml:space="preserve"> </w:t>
            </w:r>
            <w:r w:rsidRPr="003A6407">
              <w:t>km</w:t>
            </w:r>
            <w:r w:rsidR="0081194E">
              <w:t xml:space="preserve"> (wartość zaokrąglono do pełnych km)</w:t>
            </w:r>
          </w:p>
          <w:p w14:paraId="7668AA5C" w14:textId="77777777" w:rsidR="0018363D" w:rsidRPr="003A6407" w:rsidRDefault="0018363D" w:rsidP="007A098F">
            <w:pPr>
              <w:spacing w:before="60" w:after="60" w:line="240" w:lineRule="auto"/>
              <w:jc w:val="both"/>
            </w:pPr>
            <w:r w:rsidRPr="003A6407">
              <w:t xml:space="preserve">Na podstawie </w:t>
            </w:r>
            <w:proofErr w:type="spellStart"/>
            <w:r w:rsidRPr="003A6407">
              <w:t>ryzyk</w:t>
            </w:r>
            <w:proofErr w:type="spellEnd"/>
            <w:r w:rsidRPr="003A6407">
              <w:t xml:space="preserve"> związanych z realizacją tego typu projektów określono wskaźnik kompensacji:</w:t>
            </w:r>
          </w:p>
          <w:p w14:paraId="285C8C9A" w14:textId="244DDB00" w:rsidR="0018363D" w:rsidRPr="003A6407" w:rsidRDefault="0018363D" w:rsidP="007A098F">
            <w:pPr>
              <w:spacing w:before="60" w:after="60" w:line="240" w:lineRule="auto"/>
              <w:jc w:val="both"/>
            </w:pPr>
            <w:r w:rsidRPr="003A6407">
              <w:t>R: [(7*25)+(2*68)/9 = 34,6</w:t>
            </w:r>
            <w:r w:rsidR="00412D9C" w:rsidRPr="003A6407">
              <w:t>%</w:t>
            </w:r>
          </w:p>
          <w:p w14:paraId="018AA91F" w14:textId="77777777" w:rsidR="0018363D" w:rsidRPr="003A6407" w:rsidRDefault="0018363D" w:rsidP="007A098F">
            <w:pPr>
              <w:spacing w:before="60" w:after="60" w:line="240" w:lineRule="auto"/>
              <w:jc w:val="both"/>
            </w:pPr>
          </w:p>
          <w:p w14:paraId="3F86AE14" w14:textId="77777777" w:rsidR="0018363D" w:rsidRPr="003A6407" w:rsidRDefault="0018363D" w:rsidP="007A098F">
            <w:pPr>
              <w:spacing w:before="60" w:after="60" w:line="240" w:lineRule="auto"/>
              <w:jc w:val="both"/>
            </w:pPr>
            <w:r w:rsidRPr="003A6407">
              <w:t>Należy zwrócić szczególną uwagę na następujące czynniki ryzyka, które może mogą mieć wpływ na poziom osiągnięcia założonej wartości docelowej:</w:t>
            </w:r>
          </w:p>
          <w:p w14:paraId="2CD1085D" w14:textId="77777777" w:rsidR="0018363D" w:rsidRPr="003A6407" w:rsidRDefault="0018363D">
            <w:pPr>
              <w:numPr>
                <w:ilvl w:val="0"/>
                <w:numId w:val="67"/>
              </w:numPr>
              <w:spacing w:before="60" w:after="60" w:line="240" w:lineRule="auto"/>
              <w:contextualSpacing/>
              <w:jc w:val="both"/>
            </w:pPr>
            <w:r w:rsidRPr="003A6407">
              <w:rPr>
                <w:b/>
                <w:bCs/>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A3AA795" w14:textId="77777777" w:rsidR="0018363D" w:rsidRPr="003A6407" w:rsidRDefault="0018363D">
            <w:pPr>
              <w:numPr>
                <w:ilvl w:val="0"/>
                <w:numId w:val="67"/>
              </w:numPr>
              <w:spacing w:before="60" w:after="60" w:line="240" w:lineRule="auto"/>
              <w:contextualSpacing/>
              <w:jc w:val="both"/>
            </w:pPr>
            <w:r w:rsidRPr="003A6407">
              <w:rPr>
                <w:rFonts w:eastAsia="Calibri" w:cs="Times New Roman"/>
                <w:b/>
                <w:color w:val="000000"/>
              </w:rPr>
              <w:t>Ryzyko wzrostu cen</w:t>
            </w:r>
            <w:r w:rsidRPr="003A6407">
              <w:rPr>
                <w:rFonts w:eastAsia="Calibri" w:cs="Times New Roman"/>
                <w:bCs/>
                <w:color w:val="000000"/>
              </w:rPr>
              <w:t xml:space="preserve"> -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673BEA20" w14:textId="77777777" w:rsidR="0018363D" w:rsidRPr="003A6407" w:rsidRDefault="0018363D">
            <w:pPr>
              <w:numPr>
                <w:ilvl w:val="0"/>
                <w:numId w:val="67"/>
              </w:numPr>
              <w:spacing w:before="60" w:after="60" w:line="240" w:lineRule="auto"/>
              <w:contextualSpacing/>
              <w:jc w:val="both"/>
            </w:pPr>
            <w:r w:rsidRPr="003A6407">
              <w:rPr>
                <w:b/>
                <w:bCs/>
              </w:rPr>
              <w:t>Zawieszenie płatności przez KE</w:t>
            </w:r>
            <w:r w:rsidRPr="003A6407">
              <w:t xml:space="preserve"> dla danej osi priorytetowej; (istotność: umiarkowana).</w:t>
            </w:r>
          </w:p>
          <w:p w14:paraId="0091B627" w14:textId="77777777" w:rsidR="0018363D" w:rsidRPr="003A6407" w:rsidRDefault="0018363D">
            <w:pPr>
              <w:numPr>
                <w:ilvl w:val="0"/>
                <w:numId w:val="67"/>
              </w:numPr>
              <w:spacing w:before="60" w:after="60" w:line="240" w:lineRule="auto"/>
              <w:contextualSpacing/>
              <w:jc w:val="both"/>
            </w:pPr>
            <w:r w:rsidRPr="003A6407">
              <w:rPr>
                <w:b/>
                <w:bCs/>
              </w:rPr>
              <w:t>Opóźnienia, bądź niewykonanie projektu</w:t>
            </w:r>
            <w:r w:rsidRPr="003A6407">
              <w:t xml:space="preserve"> związane z procedurami wynikającymi z zamówień publicznych oraz koniecznością spełnienia wytycznych Unii Europejskiej w zakresie ochrony środowiska min. wynikających z art. 9 rozporządzenia (UE) nr 2020/852 (rozporządzenie w sprawie taksonomii); związane z brakiem / ograniczonym dostępem do materiałów/surowców/półproduktów oraz wpływem pandemii koronawirusa SARS-CoV-2 na gospodarkę regionalną, potencjalne możliwości realizacji projektów, na zdolności inwestycyjne i nastroje przedsiębiorstw oraz innych beneficjentów do inwestowania, zdolność administracyjną i kadrową (istotność: poważna). </w:t>
            </w:r>
          </w:p>
          <w:p w14:paraId="7105B88D" w14:textId="77777777" w:rsidR="0018363D" w:rsidRPr="003A6407" w:rsidRDefault="0018363D">
            <w:pPr>
              <w:numPr>
                <w:ilvl w:val="0"/>
                <w:numId w:val="67"/>
              </w:numPr>
              <w:spacing w:before="60" w:after="60" w:line="240" w:lineRule="auto"/>
              <w:contextualSpacing/>
              <w:jc w:val="both"/>
            </w:pPr>
            <w:r w:rsidRPr="003A6407">
              <w:rPr>
                <w:b/>
                <w:bCs/>
              </w:rPr>
              <w:t>Rozwiązane umowy</w:t>
            </w:r>
            <w:r w:rsidRPr="003A6407">
              <w:t xml:space="preserve"> o dofinansowanie realizacji projektu – (istotność: umiarkowana).</w:t>
            </w:r>
          </w:p>
          <w:p w14:paraId="0385F6E2" w14:textId="77777777" w:rsidR="0018363D" w:rsidRPr="003A6407" w:rsidRDefault="0018363D">
            <w:pPr>
              <w:numPr>
                <w:ilvl w:val="0"/>
                <w:numId w:val="67"/>
              </w:numPr>
              <w:spacing w:before="60" w:after="60" w:line="240" w:lineRule="auto"/>
              <w:contextualSpacing/>
              <w:jc w:val="both"/>
            </w:pPr>
            <w:r w:rsidRPr="003A6407">
              <w:rPr>
                <w:b/>
                <w:bCs/>
              </w:rPr>
              <w:lastRenderedPageBreak/>
              <w:t>Czynniki które mogą wpłynąć na harmonogram</w:t>
            </w:r>
            <w:r w:rsidRPr="003A6407">
              <w:t xml:space="preserve"> realizacji związane z koniecznością spełnienia </w:t>
            </w:r>
            <w:r w:rsidRPr="003A6407">
              <w:rPr>
                <w:b/>
                <w:bCs/>
              </w:rPr>
              <w:t>tematycznego warunku podstawowego</w:t>
            </w:r>
            <w:r w:rsidRPr="003A6407">
              <w:t xml:space="preserve"> 3.1. Kompleksowe planowanie transportu na odpowiednim poziomie oraz związanych z nim kryteriów, które będą oceniane, monitorowane i stosowane przez cały okres programowania. W związku z powyższym istnieje ryzyko związane z koniecznością przygotowania i aktualizacji stosownych dokumentów na poziomie krajowym i regionalnym (istotność: umiarkowana).</w:t>
            </w:r>
          </w:p>
          <w:p w14:paraId="455CEC48" w14:textId="77777777" w:rsidR="0018363D" w:rsidRPr="003A6407" w:rsidRDefault="0018363D">
            <w:pPr>
              <w:numPr>
                <w:ilvl w:val="0"/>
                <w:numId w:val="67"/>
              </w:numPr>
              <w:spacing w:before="60" w:after="60" w:line="240" w:lineRule="auto"/>
              <w:contextualSpacing/>
              <w:jc w:val="both"/>
            </w:pPr>
            <w:r w:rsidRPr="003A6407">
              <w:rPr>
                <w:b/>
                <w:bCs/>
              </w:rPr>
              <w:t>Wartości planowanych w Kontrakcie Programowym projektów</w:t>
            </w:r>
            <w:r w:rsidRPr="003A6407">
              <w:t xml:space="preserve"> – mogą ulec zmianie podczas doprecyzowania projektów; mogą także ewentualnie nastąpić zmiany w planowanych do wsparcia projektach jeśli otrzymają inne źródło finansowania; (istotność: umiarkowana).</w:t>
            </w:r>
            <w:r w:rsidRPr="003A6407" w:rsidDel="00426972">
              <w:t xml:space="preserve"> </w:t>
            </w:r>
          </w:p>
          <w:p w14:paraId="18E15821" w14:textId="77777777" w:rsidR="0018363D" w:rsidRPr="003A6407" w:rsidRDefault="0018363D">
            <w:pPr>
              <w:numPr>
                <w:ilvl w:val="0"/>
                <w:numId w:val="67"/>
              </w:numPr>
              <w:spacing w:before="60" w:after="60" w:line="240" w:lineRule="auto"/>
              <w:contextualSpacing/>
              <w:jc w:val="both"/>
            </w:pPr>
            <w:r w:rsidRPr="003A6407">
              <w:rPr>
                <w:b/>
                <w:bCs/>
              </w:rPr>
              <w:t>Problemy z zabezpieczeniem wkładu własnego</w:t>
            </w:r>
            <w:r w:rsidRPr="003A6407">
              <w:t xml:space="preserve"> wnioskodawcy; (istotność: umiarkowana).</w:t>
            </w:r>
          </w:p>
          <w:p w14:paraId="17FEB8E4" w14:textId="77777777" w:rsidR="0018363D" w:rsidRPr="003A6407" w:rsidRDefault="0018363D">
            <w:pPr>
              <w:numPr>
                <w:ilvl w:val="0"/>
                <w:numId w:val="67"/>
              </w:numPr>
              <w:spacing w:before="60" w:after="60" w:line="240" w:lineRule="auto"/>
              <w:contextualSpacing/>
              <w:jc w:val="both"/>
            </w:pPr>
            <w:r w:rsidRPr="003A6407">
              <w:rPr>
                <w:b/>
                <w:bCs/>
              </w:rPr>
              <w:t>Zmiany w uwarunkowaniach prawnych</w:t>
            </w:r>
            <w:r w:rsidRPr="003A6407">
              <w:t xml:space="preserve"> mające wpływ na planowanie i realizację projektu. (istotność: umiarkowana).</w:t>
            </w:r>
          </w:p>
          <w:p w14:paraId="5E716438" w14:textId="779DFEDE" w:rsidR="00DC3095" w:rsidRPr="003A6407" w:rsidRDefault="00DC3095" w:rsidP="007A098F">
            <w:pPr>
              <w:spacing w:before="60" w:after="60" w:line="240" w:lineRule="auto"/>
              <w:jc w:val="both"/>
              <w:rPr>
                <w:bCs/>
              </w:rPr>
            </w:pPr>
          </w:p>
          <w:p w14:paraId="03479113" w14:textId="54A78DBE" w:rsidR="00DC3095" w:rsidRPr="003A6407" w:rsidRDefault="00DC3095" w:rsidP="007A098F">
            <w:pPr>
              <w:spacing w:before="60" w:after="60" w:line="240" w:lineRule="auto"/>
              <w:jc w:val="both"/>
              <w:rPr>
                <w:b/>
              </w:rPr>
            </w:pPr>
            <w:r w:rsidRPr="003A6407">
              <w:rPr>
                <w:b/>
              </w:rPr>
              <w:t>Uzasadnienie dla celu pośredniego:</w:t>
            </w:r>
          </w:p>
          <w:p w14:paraId="1D97D39A" w14:textId="44C9C115" w:rsidR="00DC3095" w:rsidRPr="003A6407" w:rsidRDefault="00DC3095" w:rsidP="00C122CE">
            <w:pPr>
              <w:spacing w:before="60" w:after="60" w:line="240" w:lineRule="auto"/>
              <w:jc w:val="both"/>
              <w:rPr>
                <w:b/>
              </w:rPr>
            </w:pPr>
            <w:r w:rsidRPr="003A6407">
              <w:rPr>
                <w:b/>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7b ), na podstawie Sprawozdania rocznego z 2021 r. - Całkowita długość przebudowanych lub zmodernizowanych dróg (CI 14) dopiero w 2017 roku osiągnął wartość 2,66</w:t>
            </w:r>
            <w:r w:rsidR="00D75222">
              <w:rPr>
                <w:b/>
              </w:rPr>
              <w:t xml:space="preserve"> km</w:t>
            </w:r>
            <w:r w:rsidRPr="003A6407">
              <w:rPr>
                <w:b/>
              </w:rPr>
              <w:t>, co wobec wartości z wykonania na 2021 r. (78,51) stanowi zaledwie 3,39</w:t>
            </w:r>
            <w:r w:rsidR="00412D9C" w:rsidRPr="003A6407">
              <w:rPr>
                <w:b/>
              </w:rPr>
              <w:t>%</w:t>
            </w:r>
            <w:r w:rsidRPr="003A6407">
              <w:rPr>
                <w:b/>
              </w:rPr>
              <w:t>.</w:t>
            </w:r>
            <w:r w:rsidR="00087FE2">
              <w:rPr>
                <w:b/>
              </w:rPr>
              <w:t xml:space="preserve"> </w:t>
            </w:r>
            <w:r w:rsidR="00087FE2" w:rsidRPr="00087FE2">
              <w:rPr>
                <w:b/>
              </w:rPr>
              <w:t>Niemniej biorąc pod uwagę wydłużone procedury środowiskowe, problemy związane z inflacja oraz brakiem dostępnych wykonawców inwestycji, postanawia się przyjąć cel pośredni równy 0.</w:t>
            </w:r>
          </w:p>
          <w:p w14:paraId="1E736E4B" w14:textId="77777777" w:rsidR="0018363D" w:rsidRPr="003A6407" w:rsidRDefault="0018363D" w:rsidP="00087FE2">
            <w:pPr>
              <w:spacing w:before="60" w:after="60" w:line="240" w:lineRule="auto"/>
              <w:jc w:val="both"/>
              <w:rPr>
                <w:noProof/>
                <w:color w:val="FF0000"/>
                <w:sz w:val="16"/>
                <w:szCs w:val="16"/>
              </w:rPr>
            </w:pPr>
          </w:p>
        </w:tc>
      </w:tr>
    </w:tbl>
    <w:p w14:paraId="34E1A6E7" w14:textId="77777777" w:rsidR="0018363D" w:rsidRPr="003A6407" w:rsidRDefault="0018363D" w:rsidP="007A098F"/>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C315CDA" w14:textId="77777777" w:rsidTr="000B4691">
        <w:trPr>
          <w:cantSplit/>
          <w:trHeight w:val="1647"/>
        </w:trPr>
        <w:tc>
          <w:tcPr>
            <w:tcW w:w="451" w:type="pct"/>
            <w:vAlign w:val="center"/>
          </w:tcPr>
          <w:p w14:paraId="4FCCC7EE"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CP 3</w:t>
            </w:r>
          </w:p>
          <w:p w14:paraId="7E1ED165" w14:textId="11F18CD6" w:rsidR="0018363D" w:rsidRPr="003A6407" w:rsidRDefault="0018363D" w:rsidP="000B46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7F540B05"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637BE6B"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3390F599" w14:textId="77777777" w:rsidR="0018363D" w:rsidRPr="003A6407" w:rsidRDefault="0018363D" w:rsidP="000B46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5B2AC98B" w14:textId="7AB4AD5A" w:rsidR="0018363D" w:rsidRPr="003A6407" w:rsidRDefault="0018363D" w:rsidP="000B46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1382C6F8"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1B17DA09"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pośredni (2024)</w:t>
            </w:r>
          </w:p>
          <w:p w14:paraId="7D1438BF" w14:textId="77777777" w:rsidR="0018363D" w:rsidRPr="003A6407" w:rsidRDefault="0018363D" w:rsidP="000B4691">
            <w:pPr>
              <w:spacing w:before="120" w:after="120" w:line="240" w:lineRule="auto"/>
              <w:jc w:val="center"/>
              <w:rPr>
                <w:b/>
                <w:noProof/>
                <w:sz w:val="16"/>
                <w:szCs w:val="16"/>
              </w:rPr>
            </w:pPr>
          </w:p>
        </w:tc>
        <w:tc>
          <w:tcPr>
            <w:tcW w:w="550" w:type="pct"/>
            <w:shd w:val="clear" w:color="auto" w:fill="auto"/>
            <w:vAlign w:val="center"/>
          </w:tcPr>
          <w:p w14:paraId="0BD20168"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(2029)</w:t>
            </w:r>
          </w:p>
          <w:p w14:paraId="128CBCBD" w14:textId="77777777" w:rsidR="0018363D" w:rsidRPr="003A6407" w:rsidRDefault="0018363D" w:rsidP="000B4691">
            <w:pPr>
              <w:spacing w:before="120" w:after="120" w:line="240" w:lineRule="auto"/>
              <w:jc w:val="center"/>
              <w:rPr>
                <w:b/>
                <w:noProof/>
                <w:sz w:val="16"/>
                <w:szCs w:val="16"/>
              </w:rPr>
            </w:pPr>
          </w:p>
        </w:tc>
      </w:tr>
      <w:tr w:rsidR="00191FE2" w:rsidRPr="003A6407" w14:paraId="411609B7" w14:textId="77777777" w:rsidTr="000B4691">
        <w:trPr>
          <w:trHeight w:val="340"/>
        </w:trPr>
        <w:tc>
          <w:tcPr>
            <w:tcW w:w="451" w:type="pct"/>
            <w:vAlign w:val="center"/>
          </w:tcPr>
          <w:p w14:paraId="08969E84" w14:textId="77777777" w:rsidR="0018363D" w:rsidRDefault="0018363D" w:rsidP="000B4691">
            <w:pPr>
              <w:spacing w:before="120" w:after="120" w:line="240" w:lineRule="auto"/>
              <w:jc w:val="center"/>
              <w:rPr>
                <w:noProof/>
                <w:sz w:val="16"/>
                <w:szCs w:val="16"/>
              </w:rPr>
            </w:pPr>
            <w:r w:rsidRPr="003A6407">
              <w:rPr>
                <w:noProof/>
                <w:sz w:val="16"/>
                <w:szCs w:val="16"/>
              </w:rPr>
              <w:t>3 (iii)</w:t>
            </w:r>
          </w:p>
          <w:p w14:paraId="4CC3E7E5" w14:textId="728ABD49" w:rsidR="007053CA" w:rsidRPr="003A6407" w:rsidRDefault="007053CA" w:rsidP="000B4691">
            <w:pPr>
              <w:spacing w:before="120" w:after="120" w:line="240" w:lineRule="auto"/>
              <w:jc w:val="center"/>
              <w:rPr>
                <w:noProof/>
                <w:sz w:val="16"/>
                <w:szCs w:val="16"/>
              </w:rPr>
            </w:pPr>
            <w:r>
              <w:rPr>
                <w:noProof/>
                <w:sz w:val="16"/>
                <w:szCs w:val="16"/>
              </w:rPr>
              <w:t>3.2</w:t>
            </w:r>
          </w:p>
        </w:tc>
        <w:tc>
          <w:tcPr>
            <w:tcW w:w="494" w:type="pct"/>
            <w:vAlign w:val="center"/>
          </w:tcPr>
          <w:p w14:paraId="12A407B9" w14:textId="77777777" w:rsidR="0018363D" w:rsidRPr="003A6407" w:rsidRDefault="0018363D" w:rsidP="000B4691">
            <w:pPr>
              <w:spacing w:before="120" w:after="120" w:line="240" w:lineRule="auto"/>
              <w:jc w:val="center"/>
              <w:rPr>
                <w:noProof/>
                <w:sz w:val="16"/>
                <w:szCs w:val="16"/>
              </w:rPr>
            </w:pPr>
            <w:r w:rsidRPr="003A6407">
              <w:rPr>
                <w:noProof/>
                <w:sz w:val="16"/>
                <w:szCs w:val="16"/>
              </w:rPr>
              <w:t>EFRR</w:t>
            </w:r>
          </w:p>
        </w:tc>
        <w:tc>
          <w:tcPr>
            <w:tcW w:w="558" w:type="pct"/>
            <w:vAlign w:val="center"/>
          </w:tcPr>
          <w:p w14:paraId="39C8FB48" w14:textId="77777777" w:rsidR="0018363D" w:rsidRPr="003A6407" w:rsidRDefault="0018363D" w:rsidP="000B46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6E5CC009" w14:textId="0B012B62" w:rsidR="0018363D" w:rsidRPr="003A6407" w:rsidRDefault="0018363D" w:rsidP="000B4691">
            <w:pPr>
              <w:spacing w:before="120" w:after="120" w:line="240" w:lineRule="auto"/>
              <w:jc w:val="center"/>
              <w:rPr>
                <w:noProof/>
                <w:sz w:val="16"/>
                <w:szCs w:val="16"/>
              </w:rPr>
            </w:pPr>
            <w:r w:rsidRPr="003A6407">
              <w:rPr>
                <w:noProof/>
                <w:sz w:val="16"/>
                <w:szCs w:val="16"/>
              </w:rPr>
              <w:t>RCO 50</w:t>
            </w:r>
          </w:p>
        </w:tc>
        <w:tc>
          <w:tcPr>
            <w:tcW w:w="1411" w:type="pct"/>
            <w:shd w:val="clear" w:color="auto" w:fill="auto"/>
            <w:vAlign w:val="center"/>
          </w:tcPr>
          <w:p w14:paraId="77401306" w14:textId="77777777" w:rsidR="0018363D" w:rsidRPr="003A6407" w:rsidRDefault="0018363D" w:rsidP="000B4691">
            <w:pPr>
              <w:keepNext/>
              <w:keepLines/>
              <w:spacing w:before="200" w:after="0"/>
              <w:jc w:val="center"/>
              <w:outlineLvl w:val="2"/>
              <w:rPr>
                <w:rFonts w:eastAsiaTheme="majorEastAsia" w:cstheme="majorBidi"/>
                <w:b/>
                <w:bCs/>
                <w:noProof/>
                <w:sz w:val="16"/>
                <w:szCs w:val="16"/>
              </w:rPr>
            </w:pPr>
            <w:bookmarkStart w:id="184" w:name="_Toc95740571"/>
            <w:bookmarkStart w:id="185" w:name="_Toc112845247"/>
            <w:bookmarkStart w:id="186" w:name="_Toc120464424"/>
            <w:r w:rsidRPr="003A6407">
              <w:rPr>
                <w:rFonts w:asciiTheme="minorHAnsi" w:eastAsia="Times New Roman" w:hAnsiTheme="minorHAnsi" w:cstheme="minorHAnsi"/>
                <w:bCs/>
                <w:noProof/>
                <w:sz w:val="16"/>
                <w:szCs w:val="16"/>
              </w:rPr>
              <w:t>Długość przebudowanych lub zmodernizowanych linii kolejowych – poza TEN-T</w:t>
            </w:r>
            <w:bookmarkEnd w:id="184"/>
            <w:bookmarkEnd w:id="185"/>
            <w:bookmarkEnd w:id="186"/>
          </w:p>
        </w:tc>
        <w:tc>
          <w:tcPr>
            <w:tcW w:w="549" w:type="pct"/>
            <w:vAlign w:val="center"/>
          </w:tcPr>
          <w:p w14:paraId="7026D3D3" w14:textId="77777777" w:rsidR="0018363D" w:rsidRPr="003A6407" w:rsidRDefault="0018363D" w:rsidP="000B4691">
            <w:pPr>
              <w:spacing w:before="120" w:after="120" w:line="240" w:lineRule="auto"/>
              <w:jc w:val="center"/>
              <w:rPr>
                <w:noProof/>
                <w:sz w:val="16"/>
                <w:szCs w:val="16"/>
              </w:rPr>
            </w:pPr>
            <w:r w:rsidRPr="003A6407">
              <w:rPr>
                <w:noProof/>
                <w:sz w:val="16"/>
                <w:szCs w:val="16"/>
              </w:rPr>
              <w:t>km</w:t>
            </w:r>
          </w:p>
        </w:tc>
        <w:tc>
          <w:tcPr>
            <w:tcW w:w="627" w:type="pct"/>
            <w:shd w:val="clear" w:color="auto" w:fill="auto"/>
            <w:vAlign w:val="center"/>
          </w:tcPr>
          <w:p w14:paraId="1C992F3B" w14:textId="4CA8E1BC" w:rsidR="0018363D" w:rsidRPr="003A6407" w:rsidRDefault="009E03DD" w:rsidP="000B46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3BB59B5D" w14:textId="46E9FF88" w:rsidR="0018363D" w:rsidRPr="003A6407" w:rsidRDefault="0018363D" w:rsidP="000B4691">
            <w:pPr>
              <w:spacing w:before="120" w:after="120" w:line="240" w:lineRule="auto"/>
              <w:jc w:val="center"/>
              <w:rPr>
                <w:noProof/>
                <w:sz w:val="16"/>
                <w:szCs w:val="16"/>
              </w:rPr>
            </w:pPr>
            <w:r w:rsidRPr="003A6407">
              <w:rPr>
                <w:noProof/>
                <w:sz w:val="16"/>
                <w:szCs w:val="16"/>
              </w:rPr>
              <w:t>119,0</w:t>
            </w:r>
            <w:r w:rsidR="0047189A">
              <w:rPr>
                <w:noProof/>
                <w:sz w:val="16"/>
                <w:szCs w:val="16"/>
              </w:rPr>
              <w:t>0</w:t>
            </w:r>
          </w:p>
        </w:tc>
      </w:tr>
      <w:tr w:rsidR="0018363D" w:rsidRPr="003A6407" w14:paraId="286DEE97" w14:textId="77777777" w:rsidTr="002B58A1">
        <w:trPr>
          <w:trHeight w:val="340"/>
        </w:trPr>
        <w:tc>
          <w:tcPr>
            <w:tcW w:w="5000" w:type="pct"/>
            <w:gridSpan w:val="8"/>
          </w:tcPr>
          <w:p w14:paraId="057F7D89" w14:textId="77777777" w:rsidR="0018363D" w:rsidRPr="003A6407" w:rsidRDefault="0018363D" w:rsidP="007A098F">
            <w:pPr>
              <w:spacing w:before="60" w:after="60" w:line="240" w:lineRule="auto"/>
              <w:jc w:val="both"/>
            </w:pPr>
          </w:p>
          <w:p w14:paraId="06FFB243" w14:textId="77777777" w:rsidR="0018363D" w:rsidRPr="003A6407" w:rsidRDefault="0018363D" w:rsidP="007A098F">
            <w:pPr>
              <w:spacing w:before="60" w:after="60" w:line="240" w:lineRule="auto"/>
              <w:jc w:val="both"/>
            </w:pPr>
            <w:r w:rsidRPr="003A6407">
              <w:t>Metodologia:</w:t>
            </w:r>
          </w:p>
          <w:p w14:paraId="1A665E61" w14:textId="07043A94" w:rsidR="0018363D" w:rsidRPr="003A6407" w:rsidRDefault="0018363D" w:rsidP="007A098F">
            <w:pPr>
              <w:spacing w:before="60" w:after="60" w:line="240" w:lineRule="auto"/>
              <w:jc w:val="both"/>
            </w:pPr>
            <w:r w:rsidRPr="003A6407">
              <w:t>Wskaźnik realizuje kod interwencji 098 Inne nowo wybudowane lub rozbudowane linie kolejowe o wartości 131 142 823,00 EUR.</w:t>
            </w:r>
          </w:p>
          <w:p w14:paraId="643F5EE4" w14:textId="77777777" w:rsidR="0018363D" w:rsidRPr="003A6407" w:rsidRDefault="0018363D" w:rsidP="007A098F">
            <w:pPr>
              <w:shd w:val="clear" w:color="auto" w:fill="FFFFFF"/>
              <w:spacing w:before="60" w:after="60" w:line="240" w:lineRule="auto"/>
              <w:jc w:val="both"/>
              <w:rPr>
                <w:rFonts w:eastAsia="Calibri"/>
              </w:rPr>
            </w:pPr>
            <w:r w:rsidRPr="003A6407">
              <w:rPr>
                <w:rFonts w:eastAsia="Calibri"/>
              </w:rPr>
              <w:t xml:space="preserve">Historyczny koszt jednostkowy – nie dotyczy. </w:t>
            </w:r>
          </w:p>
          <w:p w14:paraId="6E283EBF" w14:textId="77777777" w:rsidR="0018363D" w:rsidRPr="003A6407" w:rsidRDefault="0018363D" w:rsidP="007A098F">
            <w:pPr>
              <w:spacing w:before="60" w:after="60" w:line="240" w:lineRule="auto"/>
              <w:jc w:val="both"/>
            </w:pPr>
            <w:r w:rsidRPr="003A6407">
              <w:t xml:space="preserve">Wskaźnik został oszacowany przez Dolnośląską Służbę Dróg i Kolei we Wrocławiu. Na potrzeby wyliczenia wartości wskaźnika, przyjęto założenie, że będzie on głównie realizowany poprzez realizację projektów priorytetowych dla województwa obejmujących przebudowę i modernizację linii kolejowych poza TEN-T, wybranych w niekonkurencyjnym trybie wyboru projektów. Wartość docelową oszacowano na podstawie wykazu przedsięwzięć priorytetowych planowanych do finansowania w ramach FEDS 2021-2027. </w:t>
            </w:r>
          </w:p>
          <w:p w14:paraId="18FC1123" w14:textId="4847EA1A" w:rsidR="0018363D" w:rsidRPr="003A6407" w:rsidRDefault="0018363D" w:rsidP="007A098F">
            <w:pPr>
              <w:spacing w:before="60" w:after="60" w:line="240" w:lineRule="auto"/>
              <w:jc w:val="both"/>
            </w:pPr>
            <w:r w:rsidRPr="003A6407">
              <w:t>Dolnośląska Służba Dróg i Kolei we Wrocławiu po analizie danych dotyczących w/w projektów ustaliła wartość wskaźnika na poziomie: 182,00 km.</w:t>
            </w:r>
          </w:p>
          <w:p w14:paraId="192A26FC" w14:textId="09ECB2FA" w:rsidR="0018363D" w:rsidRPr="003A6407" w:rsidRDefault="0018363D" w:rsidP="007A098F">
            <w:pPr>
              <w:spacing w:before="60" w:after="60" w:line="240" w:lineRule="auto"/>
              <w:jc w:val="both"/>
            </w:pPr>
            <w:r w:rsidRPr="003A6407">
              <w:t>Biorąc pod uwagę wskaźnik kompensacji na poziomie 34,6% wartość docelowa wskaźnika Długość dróg przebudowanych lub zmodernizowanych – poza TEN-T wynosi: 119,03 km</w:t>
            </w:r>
          </w:p>
          <w:p w14:paraId="01265F07" w14:textId="47593313" w:rsidR="0018363D" w:rsidRPr="003A6407" w:rsidRDefault="0018363D" w:rsidP="007A098F">
            <w:pPr>
              <w:spacing w:before="60" w:after="60" w:line="240" w:lineRule="auto"/>
              <w:jc w:val="both"/>
            </w:pPr>
            <w:r w:rsidRPr="003A6407">
              <w:t>182* (1-0,346) = 119,03 km</w:t>
            </w:r>
          </w:p>
          <w:p w14:paraId="38183BFA" w14:textId="77777777" w:rsidR="0018363D" w:rsidRPr="003A6407" w:rsidRDefault="0018363D" w:rsidP="007A098F">
            <w:pPr>
              <w:spacing w:before="60" w:after="60" w:line="240" w:lineRule="auto"/>
              <w:jc w:val="both"/>
            </w:pPr>
          </w:p>
          <w:p w14:paraId="14C1B4A6" w14:textId="77777777" w:rsidR="0018363D" w:rsidRPr="003A6407" w:rsidRDefault="0018363D" w:rsidP="007A098F">
            <w:pPr>
              <w:spacing w:before="60" w:after="60" w:line="240" w:lineRule="auto"/>
              <w:jc w:val="both"/>
            </w:pPr>
            <w:r w:rsidRPr="003A6407">
              <w:t xml:space="preserve">Na podstawie </w:t>
            </w:r>
            <w:proofErr w:type="spellStart"/>
            <w:r w:rsidRPr="003A6407">
              <w:t>ryzyk</w:t>
            </w:r>
            <w:proofErr w:type="spellEnd"/>
            <w:r w:rsidRPr="003A6407">
              <w:t xml:space="preserve"> związanych z realizacją tego typu projektów określono wskaźnik kompensacji:</w:t>
            </w:r>
          </w:p>
          <w:p w14:paraId="663C068A" w14:textId="40FBA6A3" w:rsidR="0018363D" w:rsidRPr="003A6407" w:rsidRDefault="0018363D" w:rsidP="007A098F">
            <w:pPr>
              <w:spacing w:before="60" w:after="60" w:line="240" w:lineRule="auto"/>
              <w:jc w:val="both"/>
            </w:pPr>
            <w:r w:rsidRPr="003A6407">
              <w:lastRenderedPageBreak/>
              <w:t>R: [(7*25)+(2*68)/9 = 34,6</w:t>
            </w:r>
            <w:r w:rsidR="00412D9C" w:rsidRPr="003A6407">
              <w:t>%</w:t>
            </w:r>
          </w:p>
          <w:p w14:paraId="27D3CBDA" w14:textId="77777777" w:rsidR="0018363D" w:rsidRPr="003A6407" w:rsidRDefault="0018363D" w:rsidP="007A098F">
            <w:pPr>
              <w:spacing w:before="60" w:after="60" w:line="240" w:lineRule="auto"/>
              <w:jc w:val="both"/>
            </w:pPr>
          </w:p>
          <w:p w14:paraId="03403D5F" w14:textId="77777777" w:rsidR="0018363D" w:rsidRPr="003A6407" w:rsidRDefault="0018363D" w:rsidP="007A098F">
            <w:pPr>
              <w:spacing w:before="60" w:after="60" w:line="240" w:lineRule="auto"/>
              <w:jc w:val="both"/>
            </w:pPr>
            <w:r w:rsidRPr="003A6407">
              <w:t>Należy zwrócić szczególną uwagę na następujące czynniki ryzyka, które może mogą mieć wpływ na poziom osiągnięcia założonej wartości docelowej:</w:t>
            </w:r>
          </w:p>
          <w:p w14:paraId="527F0A73" w14:textId="77777777" w:rsidR="0018363D" w:rsidRPr="003A6407" w:rsidRDefault="0018363D">
            <w:pPr>
              <w:numPr>
                <w:ilvl w:val="0"/>
                <w:numId w:val="68"/>
              </w:numPr>
              <w:spacing w:before="60" w:after="60" w:line="240" w:lineRule="auto"/>
              <w:contextualSpacing/>
              <w:jc w:val="both"/>
            </w:pPr>
            <w:r w:rsidRPr="003A6407">
              <w:rPr>
                <w:b/>
                <w:bCs/>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EC0CCAC" w14:textId="77777777" w:rsidR="0018363D" w:rsidRPr="003A6407" w:rsidRDefault="0018363D">
            <w:pPr>
              <w:numPr>
                <w:ilvl w:val="0"/>
                <w:numId w:val="68"/>
              </w:numPr>
              <w:spacing w:before="60" w:after="60" w:line="240" w:lineRule="auto"/>
              <w:contextualSpacing/>
              <w:jc w:val="both"/>
            </w:pPr>
            <w:r w:rsidRPr="003A6407">
              <w:rPr>
                <w:rFonts w:eastAsia="Calibri" w:cs="Times New Roman"/>
                <w:b/>
                <w:color w:val="000000"/>
              </w:rPr>
              <w:t>Ryzyko wzrostu cen</w:t>
            </w:r>
            <w:r w:rsidRPr="003A6407">
              <w:rPr>
                <w:rFonts w:eastAsia="Calibri" w:cs="Times New Roman"/>
                <w:bCs/>
                <w:color w:val="000000"/>
              </w:rPr>
              <w:t xml:space="preserve"> -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7578CCBB" w14:textId="77777777" w:rsidR="0018363D" w:rsidRPr="003A6407" w:rsidRDefault="0018363D">
            <w:pPr>
              <w:numPr>
                <w:ilvl w:val="0"/>
                <w:numId w:val="68"/>
              </w:numPr>
              <w:spacing w:before="60" w:after="60" w:line="240" w:lineRule="auto"/>
              <w:contextualSpacing/>
              <w:jc w:val="both"/>
            </w:pPr>
            <w:r w:rsidRPr="003A6407">
              <w:rPr>
                <w:b/>
                <w:bCs/>
              </w:rPr>
              <w:t>Zawieszenie płatności przez KE</w:t>
            </w:r>
            <w:r w:rsidRPr="003A6407">
              <w:t xml:space="preserve"> dla danej osi priorytetowej; (istotność: umiarkowana).</w:t>
            </w:r>
          </w:p>
          <w:p w14:paraId="365311A7" w14:textId="77777777" w:rsidR="0018363D" w:rsidRPr="003A6407" w:rsidRDefault="0018363D">
            <w:pPr>
              <w:numPr>
                <w:ilvl w:val="0"/>
                <w:numId w:val="68"/>
              </w:numPr>
              <w:spacing w:before="60" w:after="60" w:line="240" w:lineRule="auto"/>
              <w:contextualSpacing/>
              <w:jc w:val="both"/>
            </w:pPr>
            <w:r w:rsidRPr="003A6407">
              <w:rPr>
                <w:b/>
                <w:bCs/>
              </w:rPr>
              <w:t>Opóźnienia, bądź niewykonanie projektu</w:t>
            </w:r>
            <w:r w:rsidRPr="003A6407">
              <w:t xml:space="preserve"> związane z procedurami wynikającymi z zamówień publicznych oraz koniecznością spełnienia wytycznych Unii Europejskiej w zakresie ochrony środowiska min. wynikających z art. 9 rozporządzenia (UE) nr 2020/852 (rozporządzenie w sprawie taksonomii); związane z brakiem / ograniczonym dostępem do materiałów/surowców/półproduktów oraz wpływem pandemii koronawirusa SARS-CoV-2 na gospodarkę regionalną, potencjalne możliwości realizacji projektów, na zdolności inwestycyjne i nastroje przedsiębiorstw oraz innych beneficjentów do inwestowania, zdolność administracyjną i kadrową (istotność: poważna). </w:t>
            </w:r>
          </w:p>
          <w:p w14:paraId="2BD906EA" w14:textId="77777777" w:rsidR="0018363D" w:rsidRPr="003A6407" w:rsidRDefault="0018363D">
            <w:pPr>
              <w:numPr>
                <w:ilvl w:val="0"/>
                <w:numId w:val="68"/>
              </w:numPr>
              <w:spacing w:before="60" w:after="60" w:line="240" w:lineRule="auto"/>
              <w:contextualSpacing/>
              <w:jc w:val="both"/>
            </w:pPr>
            <w:r w:rsidRPr="003A6407">
              <w:rPr>
                <w:b/>
                <w:bCs/>
              </w:rPr>
              <w:t>Rozwiązane umowy</w:t>
            </w:r>
            <w:r w:rsidRPr="003A6407">
              <w:t xml:space="preserve"> o dofinansowanie realizacji projektu – (istotność: umiarkowana).</w:t>
            </w:r>
          </w:p>
          <w:p w14:paraId="3FEB1148" w14:textId="77777777" w:rsidR="0018363D" w:rsidRPr="003A6407" w:rsidRDefault="0018363D">
            <w:pPr>
              <w:numPr>
                <w:ilvl w:val="0"/>
                <w:numId w:val="68"/>
              </w:numPr>
              <w:spacing w:before="60" w:after="60" w:line="240" w:lineRule="auto"/>
              <w:contextualSpacing/>
              <w:jc w:val="both"/>
            </w:pPr>
            <w:r w:rsidRPr="003A6407">
              <w:rPr>
                <w:b/>
                <w:bCs/>
              </w:rPr>
              <w:t>Czynniki które mogą wpłynąć na harmonogram</w:t>
            </w:r>
            <w:r w:rsidRPr="003A6407">
              <w:t xml:space="preserve"> realizacji związane z koniecznością spełnienia </w:t>
            </w:r>
            <w:r w:rsidRPr="003A6407">
              <w:rPr>
                <w:b/>
                <w:bCs/>
              </w:rPr>
              <w:t>tematycznego warunku podstawowego</w:t>
            </w:r>
            <w:r w:rsidRPr="003A6407">
              <w:t xml:space="preserve"> 3.1. Kompleksowe planowanie transportu na odpowiednim poziomie oraz związanych z nim kryteriów, które będą oceniane, monitorowane i stosowane przez cały okres programowania. W związku z powyższym istnieje ryzyko związane z koniecznością przygotowania i aktualizacji stosownych dokumentów na poziomie krajowym i regionalnym (istotność: umiarkowana).</w:t>
            </w:r>
          </w:p>
          <w:p w14:paraId="3802BB91" w14:textId="77777777" w:rsidR="0018363D" w:rsidRPr="003A6407" w:rsidRDefault="0018363D">
            <w:pPr>
              <w:numPr>
                <w:ilvl w:val="0"/>
                <w:numId w:val="68"/>
              </w:numPr>
              <w:spacing w:before="60" w:after="60" w:line="240" w:lineRule="auto"/>
              <w:contextualSpacing/>
              <w:jc w:val="both"/>
            </w:pPr>
            <w:r w:rsidRPr="003A6407">
              <w:rPr>
                <w:b/>
                <w:bCs/>
              </w:rPr>
              <w:t>Wartości planowanych w Kontrakcie Programowym projektów</w:t>
            </w:r>
            <w:r w:rsidRPr="003A6407">
              <w:t xml:space="preserve"> – mogą ulec zmianie podczas doprecyzowania projektów; mogą także ewentualnie nastąpić zmiany w planowanych do wsparcia projektach jeśli otrzymają inne źródło finansowania; (istotność: umiarkowana).</w:t>
            </w:r>
            <w:r w:rsidRPr="003A6407" w:rsidDel="00426972">
              <w:t xml:space="preserve"> </w:t>
            </w:r>
          </w:p>
          <w:p w14:paraId="5BE27D4B" w14:textId="77777777" w:rsidR="0018363D" w:rsidRPr="003A6407" w:rsidRDefault="0018363D">
            <w:pPr>
              <w:numPr>
                <w:ilvl w:val="0"/>
                <w:numId w:val="68"/>
              </w:numPr>
              <w:spacing w:before="60" w:after="60" w:line="240" w:lineRule="auto"/>
              <w:contextualSpacing/>
              <w:jc w:val="both"/>
            </w:pPr>
            <w:r w:rsidRPr="003A6407">
              <w:rPr>
                <w:b/>
                <w:bCs/>
              </w:rPr>
              <w:t>Problemy z zabezpieczeniem wkładu własnego</w:t>
            </w:r>
            <w:r w:rsidRPr="003A6407">
              <w:t xml:space="preserve"> wnioskodawcy; (istotność: umiarkowana).</w:t>
            </w:r>
          </w:p>
          <w:p w14:paraId="71CE4C84" w14:textId="77777777" w:rsidR="0018363D" w:rsidRPr="003A6407" w:rsidRDefault="0018363D">
            <w:pPr>
              <w:numPr>
                <w:ilvl w:val="0"/>
                <w:numId w:val="68"/>
              </w:numPr>
              <w:spacing w:before="60" w:after="60" w:line="240" w:lineRule="auto"/>
              <w:contextualSpacing/>
              <w:jc w:val="both"/>
            </w:pPr>
            <w:r w:rsidRPr="003A6407">
              <w:rPr>
                <w:b/>
                <w:bCs/>
              </w:rPr>
              <w:t>Zmiany w uwarunkowaniach prawnych</w:t>
            </w:r>
            <w:r w:rsidRPr="003A6407">
              <w:t xml:space="preserve"> mające wpływ na planowanie i realizację projektu. (istotność: umiarkowana).</w:t>
            </w:r>
          </w:p>
          <w:p w14:paraId="694C881E" w14:textId="77777777" w:rsidR="00DC3095" w:rsidRPr="003A6407" w:rsidRDefault="00DC3095" w:rsidP="00DC3095">
            <w:pPr>
              <w:spacing w:before="60" w:after="60" w:line="240" w:lineRule="auto"/>
              <w:contextualSpacing/>
              <w:jc w:val="both"/>
            </w:pPr>
          </w:p>
          <w:p w14:paraId="0B3E2890" w14:textId="5FB93897" w:rsidR="00DC3095" w:rsidRPr="003A6407" w:rsidRDefault="00DC3095" w:rsidP="000B4691">
            <w:pPr>
              <w:spacing w:before="60" w:after="60" w:line="240" w:lineRule="auto"/>
              <w:contextualSpacing/>
              <w:jc w:val="both"/>
              <w:rPr>
                <w:b/>
                <w:bCs/>
              </w:rPr>
            </w:pPr>
            <w:r w:rsidRPr="003A6407">
              <w:rPr>
                <w:b/>
                <w:bCs/>
              </w:rPr>
              <w:t>Uzasadnienie dla celu pośredniego:</w:t>
            </w:r>
          </w:p>
          <w:p w14:paraId="1AED9B5D" w14:textId="665002FF" w:rsidR="00DC3095" w:rsidRPr="003A6407" w:rsidRDefault="00DC3095" w:rsidP="00087FE2">
            <w:pPr>
              <w:spacing w:before="60" w:after="60" w:line="240" w:lineRule="auto"/>
              <w:contextualSpacing/>
              <w:jc w:val="both"/>
            </w:pPr>
            <w:r w:rsidRPr="003A6407">
              <w:rPr>
                <w:b/>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7d ), na podstawie Sprawozdania rocznego z 2021 r. - wskaźnik pn.</w:t>
            </w:r>
            <w:r w:rsidR="000B4691" w:rsidRPr="003A6407">
              <w:rPr>
                <w:b/>
                <w:bCs/>
              </w:rPr>
              <w:t xml:space="preserve"> </w:t>
            </w:r>
            <w:r w:rsidRPr="003A6407">
              <w:rPr>
                <w:b/>
                <w:bCs/>
              </w:rPr>
              <w:t>Całkowita długość przebudowanych lub zmodernizowanych linii kolejowych (CI 12) w 2017 r. osiągnął wartość 0, co wobec wartości z wykonania na 2021 r. (11,28) stanowi 0%.</w:t>
            </w:r>
          </w:p>
        </w:tc>
      </w:tr>
    </w:tbl>
    <w:p w14:paraId="1C66EC5A" w14:textId="77777777" w:rsidR="0018363D" w:rsidRPr="003A6407" w:rsidRDefault="0018363D" w:rsidP="00270B09"/>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0DD8B3CA" w14:textId="77777777" w:rsidTr="000B4691">
        <w:trPr>
          <w:cantSplit/>
          <w:trHeight w:val="1647"/>
        </w:trPr>
        <w:tc>
          <w:tcPr>
            <w:tcW w:w="451" w:type="pct"/>
            <w:vAlign w:val="center"/>
          </w:tcPr>
          <w:p w14:paraId="3385F5D6"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CP 3</w:t>
            </w:r>
          </w:p>
          <w:p w14:paraId="3534F4F9" w14:textId="15BBF450" w:rsidR="0018363D" w:rsidRPr="003A6407" w:rsidRDefault="0018363D" w:rsidP="000B46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4BA6D351"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A05A29D"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253C5939" w14:textId="77777777" w:rsidR="0018363D" w:rsidRPr="003A6407" w:rsidRDefault="0018363D" w:rsidP="000B46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1737A0AC" w14:textId="669864B9" w:rsidR="0018363D" w:rsidRPr="003A6407" w:rsidRDefault="0018363D" w:rsidP="000B46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4C1BAC78"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5CB44418"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pośredni (2024)</w:t>
            </w:r>
          </w:p>
          <w:p w14:paraId="0AA53805" w14:textId="77777777" w:rsidR="0018363D" w:rsidRPr="003A6407" w:rsidRDefault="0018363D" w:rsidP="000B4691">
            <w:pPr>
              <w:spacing w:before="120" w:after="120" w:line="240" w:lineRule="auto"/>
              <w:jc w:val="center"/>
              <w:rPr>
                <w:b/>
                <w:noProof/>
                <w:sz w:val="16"/>
                <w:szCs w:val="16"/>
              </w:rPr>
            </w:pPr>
          </w:p>
        </w:tc>
        <w:tc>
          <w:tcPr>
            <w:tcW w:w="550" w:type="pct"/>
            <w:shd w:val="clear" w:color="auto" w:fill="auto"/>
            <w:vAlign w:val="center"/>
          </w:tcPr>
          <w:p w14:paraId="7F62CF7C"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(2029)</w:t>
            </w:r>
          </w:p>
          <w:p w14:paraId="0CBEC6AE" w14:textId="77777777" w:rsidR="0018363D" w:rsidRPr="003A6407" w:rsidRDefault="0018363D" w:rsidP="000B4691">
            <w:pPr>
              <w:spacing w:before="120" w:after="120" w:line="240" w:lineRule="auto"/>
              <w:jc w:val="center"/>
              <w:rPr>
                <w:b/>
                <w:noProof/>
                <w:sz w:val="16"/>
                <w:szCs w:val="16"/>
              </w:rPr>
            </w:pPr>
          </w:p>
        </w:tc>
      </w:tr>
      <w:tr w:rsidR="0018363D" w:rsidRPr="003A6407" w14:paraId="48AA03EE" w14:textId="77777777" w:rsidTr="000B4691">
        <w:trPr>
          <w:trHeight w:val="340"/>
        </w:trPr>
        <w:tc>
          <w:tcPr>
            <w:tcW w:w="451" w:type="pct"/>
            <w:vAlign w:val="center"/>
          </w:tcPr>
          <w:p w14:paraId="6D36B537" w14:textId="77777777" w:rsidR="0018363D" w:rsidRDefault="0018363D" w:rsidP="000B4691">
            <w:pPr>
              <w:spacing w:before="120" w:after="120" w:line="240" w:lineRule="auto"/>
              <w:jc w:val="center"/>
              <w:rPr>
                <w:noProof/>
                <w:sz w:val="16"/>
                <w:szCs w:val="16"/>
              </w:rPr>
            </w:pPr>
            <w:r w:rsidRPr="003A6407">
              <w:rPr>
                <w:noProof/>
                <w:sz w:val="16"/>
                <w:szCs w:val="16"/>
              </w:rPr>
              <w:t>3 (iii)</w:t>
            </w:r>
          </w:p>
          <w:p w14:paraId="4D761729" w14:textId="5E95AC61" w:rsidR="007053CA" w:rsidRPr="003A6407" w:rsidRDefault="007053CA" w:rsidP="000B4691">
            <w:pPr>
              <w:spacing w:before="120" w:after="120" w:line="240" w:lineRule="auto"/>
              <w:jc w:val="center"/>
              <w:rPr>
                <w:noProof/>
                <w:sz w:val="16"/>
                <w:szCs w:val="16"/>
              </w:rPr>
            </w:pPr>
            <w:r>
              <w:rPr>
                <w:noProof/>
                <w:sz w:val="16"/>
                <w:szCs w:val="16"/>
              </w:rPr>
              <w:t>3.2</w:t>
            </w:r>
          </w:p>
        </w:tc>
        <w:tc>
          <w:tcPr>
            <w:tcW w:w="494" w:type="pct"/>
            <w:vAlign w:val="center"/>
          </w:tcPr>
          <w:p w14:paraId="46636460" w14:textId="77777777" w:rsidR="0018363D" w:rsidRPr="003A6407" w:rsidRDefault="0018363D" w:rsidP="000B4691">
            <w:pPr>
              <w:spacing w:before="120" w:after="120" w:line="240" w:lineRule="auto"/>
              <w:jc w:val="center"/>
              <w:rPr>
                <w:noProof/>
                <w:sz w:val="16"/>
                <w:szCs w:val="16"/>
              </w:rPr>
            </w:pPr>
            <w:r w:rsidRPr="003A6407">
              <w:rPr>
                <w:noProof/>
                <w:sz w:val="16"/>
                <w:szCs w:val="16"/>
              </w:rPr>
              <w:t>EFRR</w:t>
            </w:r>
          </w:p>
        </w:tc>
        <w:tc>
          <w:tcPr>
            <w:tcW w:w="558" w:type="pct"/>
            <w:vAlign w:val="center"/>
          </w:tcPr>
          <w:p w14:paraId="6E0E809A" w14:textId="77777777" w:rsidR="0018363D" w:rsidRPr="003A6407" w:rsidRDefault="0018363D" w:rsidP="000B46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3D6889F5" w14:textId="19FCCF56" w:rsidR="0018363D" w:rsidRPr="003A6407" w:rsidRDefault="0018363D" w:rsidP="000B4691">
            <w:pPr>
              <w:spacing w:before="120" w:after="120" w:line="240" w:lineRule="auto"/>
              <w:jc w:val="center"/>
              <w:rPr>
                <w:noProof/>
                <w:sz w:val="16"/>
                <w:szCs w:val="16"/>
              </w:rPr>
            </w:pPr>
            <w:r w:rsidRPr="003A6407">
              <w:rPr>
                <w:noProof/>
                <w:sz w:val="16"/>
                <w:szCs w:val="16"/>
              </w:rPr>
              <w:t>RCO 57</w:t>
            </w:r>
          </w:p>
        </w:tc>
        <w:tc>
          <w:tcPr>
            <w:tcW w:w="1411" w:type="pct"/>
            <w:shd w:val="clear" w:color="auto" w:fill="auto"/>
            <w:vAlign w:val="center"/>
          </w:tcPr>
          <w:p w14:paraId="6E815923" w14:textId="77777777" w:rsidR="0018363D" w:rsidRPr="003A6407" w:rsidRDefault="0018363D" w:rsidP="000B4691">
            <w:pPr>
              <w:keepNext/>
              <w:keepLines/>
              <w:spacing w:before="200" w:after="0"/>
              <w:jc w:val="center"/>
              <w:outlineLvl w:val="2"/>
              <w:rPr>
                <w:rFonts w:eastAsiaTheme="majorEastAsia" w:cstheme="majorBidi"/>
                <w:b/>
                <w:bCs/>
                <w:noProof/>
                <w:sz w:val="16"/>
                <w:szCs w:val="16"/>
              </w:rPr>
            </w:pPr>
            <w:bookmarkStart w:id="187" w:name="_Toc112845248"/>
            <w:bookmarkStart w:id="188" w:name="_Toc120464425"/>
            <w:r w:rsidRPr="003A6407">
              <w:rPr>
                <w:rFonts w:asciiTheme="minorHAnsi" w:eastAsia="Times New Roman" w:hAnsiTheme="minorHAnsi" w:cstheme="minorHAnsi"/>
                <w:bCs/>
                <w:noProof/>
                <w:sz w:val="16"/>
                <w:szCs w:val="16"/>
              </w:rPr>
              <w:t>Pojemność ekologicznego taboru do zbiorowego transportu publicznego</w:t>
            </w:r>
            <w:bookmarkEnd w:id="187"/>
            <w:bookmarkEnd w:id="188"/>
          </w:p>
        </w:tc>
        <w:tc>
          <w:tcPr>
            <w:tcW w:w="549" w:type="pct"/>
            <w:vAlign w:val="center"/>
          </w:tcPr>
          <w:p w14:paraId="73458B73" w14:textId="12AAE24C" w:rsidR="0018363D" w:rsidRPr="003A6407" w:rsidRDefault="00A9008F" w:rsidP="000B4691">
            <w:pPr>
              <w:spacing w:before="120" w:after="120" w:line="240" w:lineRule="auto"/>
              <w:jc w:val="center"/>
              <w:rPr>
                <w:noProof/>
                <w:sz w:val="16"/>
                <w:szCs w:val="16"/>
              </w:rPr>
            </w:pPr>
            <w:r>
              <w:rPr>
                <w:noProof/>
                <w:sz w:val="16"/>
                <w:szCs w:val="16"/>
              </w:rPr>
              <w:t>pasażerowie</w:t>
            </w:r>
          </w:p>
        </w:tc>
        <w:tc>
          <w:tcPr>
            <w:tcW w:w="627" w:type="pct"/>
            <w:shd w:val="clear" w:color="auto" w:fill="auto"/>
            <w:vAlign w:val="center"/>
          </w:tcPr>
          <w:p w14:paraId="4E039ECE" w14:textId="360C1559" w:rsidR="0018363D" w:rsidRPr="003A6407" w:rsidRDefault="002A39EE" w:rsidP="000B4691">
            <w:pPr>
              <w:spacing w:before="120" w:after="120" w:line="240" w:lineRule="auto"/>
              <w:jc w:val="center"/>
              <w:rPr>
                <w:noProof/>
                <w:sz w:val="16"/>
                <w:szCs w:val="16"/>
              </w:rPr>
            </w:pPr>
            <w:r>
              <w:rPr>
                <w:noProof/>
                <w:sz w:val="16"/>
                <w:szCs w:val="16"/>
              </w:rPr>
              <w:t>353</w:t>
            </w:r>
            <w:r w:rsidR="009E03DD" w:rsidRPr="003A6407">
              <w:rPr>
                <w:noProof/>
                <w:sz w:val="16"/>
                <w:szCs w:val="16"/>
              </w:rPr>
              <w:t>,00</w:t>
            </w:r>
          </w:p>
        </w:tc>
        <w:tc>
          <w:tcPr>
            <w:tcW w:w="550" w:type="pct"/>
            <w:shd w:val="clear" w:color="auto" w:fill="auto"/>
            <w:vAlign w:val="center"/>
          </w:tcPr>
          <w:p w14:paraId="7BF0318E" w14:textId="264DE4D2" w:rsidR="0018363D" w:rsidRPr="003A6407" w:rsidRDefault="0018363D" w:rsidP="000B4691">
            <w:pPr>
              <w:spacing w:before="120" w:after="120" w:line="240" w:lineRule="auto"/>
              <w:jc w:val="center"/>
              <w:rPr>
                <w:noProof/>
                <w:sz w:val="16"/>
                <w:szCs w:val="16"/>
              </w:rPr>
            </w:pPr>
            <w:r w:rsidRPr="003A6407">
              <w:rPr>
                <w:noProof/>
                <w:sz w:val="16"/>
                <w:szCs w:val="16"/>
              </w:rPr>
              <w:t>353</w:t>
            </w:r>
            <w:r w:rsidR="000B4691" w:rsidRPr="003A6407">
              <w:rPr>
                <w:noProof/>
                <w:sz w:val="16"/>
                <w:szCs w:val="16"/>
              </w:rPr>
              <w:t>,00</w:t>
            </w:r>
          </w:p>
        </w:tc>
      </w:tr>
      <w:tr w:rsidR="0018363D" w:rsidRPr="003A6407" w14:paraId="77D94F44" w14:textId="77777777" w:rsidTr="002B58A1">
        <w:trPr>
          <w:trHeight w:val="340"/>
        </w:trPr>
        <w:tc>
          <w:tcPr>
            <w:tcW w:w="5000" w:type="pct"/>
            <w:gridSpan w:val="8"/>
          </w:tcPr>
          <w:p w14:paraId="7D90AFD0" w14:textId="77777777" w:rsidR="0018363D" w:rsidRPr="003A6407" w:rsidRDefault="0018363D" w:rsidP="00270B09">
            <w:pPr>
              <w:spacing w:before="60" w:after="60" w:line="240" w:lineRule="auto"/>
              <w:jc w:val="both"/>
            </w:pPr>
            <w:r w:rsidRPr="003A6407">
              <w:t>Metodologia:</w:t>
            </w:r>
          </w:p>
          <w:p w14:paraId="32B5C9B5" w14:textId="77777777" w:rsidR="0018363D" w:rsidRPr="003A6407" w:rsidRDefault="0018363D" w:rsidP="00270B09">
            <w:pPr>
              <w:spacing w:before="60" w:after="60" w:line="240" w:lineRule="auto"/>
              <w:jc w:val="both"/>
            </w:pPr>
            <w:r w:rsidRPr="003A6407">
              <w:t xml:space="preserve">Wskaźnik realizuje kod interwencji 107 - </w:t>
            </w:r>
            <w:proofErr w:type="spellStart"/>
            <w:r w:rsidRPr="003A6407">
              <w:t>bezemisyjny</w:t>
            </w:r>
            <w:proofErr w:type="spellEnd"/>
            <w:r w:rsidRPr="003A6407">
              <w:t xml:space="preserve"> / zasilany energią elektryczną tabor kolejowy o wartości 38 000 000,00 EUR.</w:t>
            </w:r>
          </w:p>
          <w:p w14:paraId="0307E413" w14:textId="77777777" w:rsidR="0018363D" w:rsidRPr="003A6407" w:rsidRDefault="0018363D" w:rsidP="00270B09">
            <w:pPr>
              <w:shd w:val="clear" w:color="auto" w:fill="FFFFFF"/>
              <w:spacing w:before="60" w:after="60" w:line="240" w:lineRule="auto"/>
              <w:jc w:val="both"/>
              <w:rPr>
                <w:rFonts w:eastAsia="Calibri"/>
              </w:rPr>
            </w:pPr>
            <w:r w:rsidRPr="003A6407">
              <w:rPr>
                <w:rFonts w:eastAsia="Calibri"/>
              </w:rPr>
              <w:lastRenderedPageBreak/>
              <w:t xml:space="preserve">Historyczny koszt jednostkowy – nie dotyczy. </w:t>
            </w:r>
          </w:p>
          <w:p w14:paraId="60C54CAC" w14:textId="77777777" w:rsidR="0018363D" w:rsidRPr="003A6407" w:rsidRDefault="0018363D" w:rsidP="00270B09">
            <w:pPr>
              <w:spacing w:before="60" w:after="60" w:line="240" w:lineRule="auto"/>
              <w:jc w:val="both"/>
            </w:pPr>
            <w:r w:rsidRPr="003A6407">
              <w:t xml:space="preserve">Wskaźnik został oszacowany przez Departament Infrastruktury UMWD. Na potrzeby wyliczenia wartości wskaźnika, przyjęto założenie, że będzie on głównie realizowany poprzez projekty priorytetowe dla województwa obejmujące przedsięwzięcia planowane do realizacji w ramach „Kontraktu Programowego dla Województwa Dolnośląskiego” dotyczące zakupu taboru. Wartość docelową oszacowano na podstawie dostępnej alokacji oraz wykazu przedsięwzięć priorytetowych planowanych do finansowania w ramach FEDS 2021-2027. </w:t>
            </w:r>
          </w:p>
          <w:p w14:paraId="0C1B3CEE" w14:textId="77777777" w:rsidR="0018363D" w:rsidRPr="003A6407" w:rsidRDefault="0018363D" w:rsidP="00270B09">
            <w:pPr>
              <w:spacing w:before="60" w:after="60" w:line="240" w:lineRule="auto"/>
              <w:jc w:val="both"/>
            </w:pPr>
            <w:r w:rsidRPr="003A6407">
              <w:t>Departament Infrastruktury po analizie danych dotyczących w/w projektów ustalił wartość wskaźnika na poziomie: 540 osób (przewóz 250 pasażerów na miejscach siedzących oraz 290 pasażerów na miejscach stojących).</w:t>
            </w:r>
          </w:p>
          <w:p w14:paraId="0BFD23CC" w14:textId="77777777" w:rsidR="0018363D" w:rsidRPr="003A6407" w:rsidRDefault="0018363D" w:rsidP="00270B09">
            <w:pPr>
              <w:spacing w:before="60" w:after="60" w:line="240" w:lineRule="auto"/>
              <w:jc w:val="both"/>
            </w:pPr>
            <w:r w:rsidRPr="003A6407">
              <w:t>Biorąc pod uwagę wskaźnik kompensacji na poziomie 34,6% wartość docelowa wskaźnika Pojemność ekologicznego taboru do zbiorowego transportu publicznego wynosi: 353 osoby.</w:t>
            </w:r>
          </w:p>
          <w:p w14:paraId="0952F878" w14:textId="77777777" w:rsidR="0018363D" w:rsidRPr="003A6407" w:rsidRDefault="0018363D" w:rsidP="00270B09">
            <w:pPr>
              <w:spacing w:before="60" w:after="60" w:line="240" w:lineRule="auto"/>
              <w:jc w:val="both"/>
            </w:pPr>
            <w:r w:rsidRPr="003A6407">
              <w:t>540* (1-0,346) = 353, 16 czyli 353 osoby</w:t>
            </w:r>
          </w:p>
          <w:p w14:paraId="4F12BF47" w14:textId="77777777" w:rsidR="0018363D" w:rsidRPr="003A6407" w:rsidRDefault="0018363D" w:rsidP="00270B09">
            <w:pPr>
              <w:spacing w:before="60" w:after="60" w:line="240" w:lineRule="auto"/>
              <w:jc w:val="both"/>
            </w:pPr>
          </w:p>
          <w:p w14:paraId="1D40DCAA" w14:textId="77777777" w:rsidR="0018363D" w:rsidRPr="003A6407" w:rsidRDefault="0018363D" w:rsidP="00270B09">
            <w:pPr>
              <w:spacing w:before="60" w:after="60" w:line="240" w:lineRule="auto"/>
              <w:jc w:val="both"/>
            </w:pPr>
            <w:r w:rsidRPr="003A6407">
              <w:t xml:space="preserve">Na podstawie </w:t>
            </w:r>
            <w:proofErr w:type="spellStart"/>
            <w:r w:rsidRPr="003A6407">
              <w:t>ryzyk</w:t>
            </w:r>
            <w:proofErr w:type="spellEnd"/>
            <w:r w:rsidRPr="003A6407">
              <w:t xml:space="preserve"> związanych z realizacją tego typu projektów określono wskaźnik kompensacji:</w:t>
            </w:r>
          </w:p>
          <w:p w14:paraId="5C5E1F60" w14:textId="2AD0DA0B" w:rsidR="0018363D" w:rsidRPr="003A6407" w:rsidRDefault="0018363D" w:rsidP="00270B09">
            <w:pPr>
              <w:spacing w:before="60" w:after="60" w:line="240" w:lineRule="auto"/>
              <w:jc w:val="both"/>
            </w:pPr>
            <w:r w:rsidRPr="003A6407">
              <w:t>R: [(7*25)+(2*68)/9 = 34,6</w:t>
            </w:r>
            <w:r w:rsidR="00412D9C" w:rsidRPr="003A6407">
              <w:t>%</w:t>
            </w:r>
          </w:p>
          <w:p w14:paraId="21E699DE" w14:textId="77777777" w:rsidR="0018363D" w:rsidRPr="003A6407" w:rsidRDefault="0018363D" w:rsidP="00270B09">
            <w:pPr>
              <w:spacing w:before="60" w:after="60" w:line="240" w:lineRule="auto"/>
              <w:jc w:val="both"/>
            </w:pPr>
          </w:p>
          <w:p w14:paraId="26A99405" w14:textId="77777777" w:rsidR="0018363D" w:rsidRPr="003A6407" w:rsidRDefault="0018363D" w:rsidP="00270B09">
            <w:pPr>
              <w:spacing w:before="60" w:after="60" w:line="240" w:lineRule="auto"/>
              <w:jc w:val="both"/>
            </w:pPr>
            <w:r w:rsidRPr="003A6407">
              <w:t>Należy zwrócić szczególną uwagę na następujące czynniki ryzyka, które może mogą mieć wpływ na poziom osiągnięcia założonej wartości docelowej:</w:t>
            </w:r>
          </w:p>
          <w:p w14:paraId="52A04A66" w14:textId="77777777" w:rsidR="0018363D" w:rsidRPr="003A6407" w:rsidRDefault="0018363D" w:rsidP="00EA08E0">
            <w:pPr>
              <w:numPr>
                <w:ilvl w:val="0"/>
                <w:numId w:val="96"/>
              </w:numPr>
              <w:spacing w:before="60" w:after="60" w:line="240" w:lineRule="auto"/>
              <w:contextualSpacing/>
              <w:jc w:val="both"/>
            </w:pPr>
            <w:r w:rsidRPr="003A6407">
              <w:rPr>
                <w:b/>
                <w:bCs/>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A5308F0" w14:textId="77777777" w:rsidR="0018363D" w:rsidRPr="003A6407" w:rsidRDefault="0018363D" w:rsidP="00EA08E0">
            <w:pPr>
              <w:numPr>
                <w:ilvl w:val="0"/>
                <w:numId w:val="96"/>
              </w:numPr>
              <w:spacing w:before="60" w:after="60" w:line="240" w:lineRule="auto"/>
              <w:contextualSpacing/>
              <w:jc w:val="both"/>
            </w:pPr>
            <w:r w:rsidRPr="003A6407">
              <w:rPr>
                <w:rFonts w:eastAsia="Calibri" w:cs="Times New Roman"/>
                <w:b/>
                <w:color w:val="000000"/>
              </w:rPr>
              <w:t>Ryzyko wzrostu cen</w:t>
            </w:r>
            <w:r w:rsidRPr="003A6407">
              <w:rPr>
                <w:rFonts w:eastAsia="Calibri" w:cs="Times New Roman"/>
                <w:bCs/>
                <w:color w:val="000000"/>
              </w:rPr>
              <w:t xml:space="preserve"> -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0E8ACFE2" w14:textId="77777777" w:rsidR="0018363D" w:rsidRPr="003A6407" w:rsidRDefault="0018363D" w:rsidP="00EA08E0">
            <w:pPr>
              <w:numPr>
                <w:ilvl w:val="0"/>
                <w:numId w:val="96"/>
              </w:numPr>
              <w:spacing w:before="60" w:after="60" w:line="240" w:lineRule="auto"/>
              <w:contextualSpacing/>
              <w:jc w:val="both"/>
            </w:pPr>
            <w:r w:rsidRPr="003A6407">
              <w:rPr>
                <w:b/>
                <w:bCs/>
              </w:rPr>
              <w:t>Zawieszenie płatności przez KE</w:t>
            </w:r>
            <w:r w:rsidRPr="003A6407">
              <w:t xml:space="preserve"> dla danej osi priorytetowej; (istotność: umiarkowana).</w:t>
            </w:r>
          </w:p>
          <w:p w14:paraId="7E55CBC4" w14:textId="77777777" w:rsidR="0018363D" w:rsidRPr="003A6407" w:rsidRDefault="0018363D" w:rsidP="00EA08E0">
            <w:pPr>
              <w:numPr>
                <w:ilvl w:val="0"/>
                <w:numId w:val="96"/>
              </w:numPr>
              <w:spacing w:before="60" w:after="60" w:line="240" w:lineRule="auto"/>
              <w:contextualSpacing/>
              <w:jc w:val="both"/>
            </w:pPr>
            <w:r w:rsidRPr="003A6407">
              <w:rPr>
                <w:b/>
                <w:bCs/>
              </w:rPr>
              <w:t>Opóźnienia, bądź niewykonanie projektu</w:t>
            </w:r>
            <w:r w:rsidRPr="003A6407">
              <w:t xml:space="preserve"> związane z procedurami wynikającymi z zamówień publicznych oraz koniecznością spełnienia wytycznych Unii Europejskiej w zakresie ochrony środowiska min. wynikających z art. 9 rozporządzenia (UE) nr 2020/852 (rozporządzenie w sprawie taksonomii); związane z brakiem / ograniczonym dostępem do materiałów/surowców/półproduktów oraz wpływem pandemii koronawirusa SARS-CoV-2 na gospodarkę regionalną, potencjalne możliwości realizacji projektów, na zdolności inwestycyjne i nastroje przedsiębiorstw oraz innych beneficjentów do inwestowania, zdolność administracyjną i kadrową (istotność: poważna). </w:t>
            </w:r>
          </w:p>
          <w:p w14:paraId="3C772706" w14:textId="77777777" w:rsidR="0018363D" w:rsidRPr="003A6407" w:rsidRDefault="0018363D" w:rsidP="00EA08E0">
            <w:pPr>
              <w:numPr>
                <w:ilvl w:val="0"/>
                <w:numId w:val="96"/>
              </w:numPr>
              <w:spacing w:before="60" w:after="60" w:line="240" w:lineRule="auto"/>
              <w:contextualSpacing/>
              <w:jc w:val="both"/>
            </w:pPr>
            <w:r w:rsidRPr="003A6407">
              <w:rPr>
                <w:b/>
                <w:bCs/>
              </w:rPr>
              <w:t>Rozwiązane umowy</w:t>
            </w:r>
            <w:r w:rsidRPr="003A6407">
              <w:t xml:space="preserve"> o dofinansowanie realizacji projektu – (istotność: umiarkowana).</w:t>
            </w:r>
          </w:p>
          <w:p w14:paraId="4220DEBB" w14:textId="77777777" w:rsidR="0018363D" w:rsidRPr="003A6407" w:rsidRDefault="0018363D" w:rsidP="00EA08E0">
            <w:pPr>
              <w:numPr>
                <w:ilvl w:val="0"/>
                <w:numId w:val="96"/>
              </w:numPr>
              <w:spacing w:before="60" w:after="60" w:line="240" w:lineRule="auto"/>
              <w:contextualSpacing/>
              <w:jc w:val="both"/>
            </w:pPr>
            <w:r w:rsidRPr="003A6407">
              <w:rPr>
                <w:b/>
                <w:bCs/>
              </w:rPr>
              <w:t>Czynniki które mogą wpłynąć na harmonogram</w:t>
            </w:r>
            <w:r w:rsidRPr="003A6407">
              <w:t xml:space="preserve"> realizacji związane z koniecznością spełnienia </w:t>
            </w:r>
            <w:r w:rsidRPr="003A6407">
              <w:rPr>
                <w:b/>
                <w:bCs/>
              </w:rPr>
              <w:t>tematycznego warunku podstawowego</w:t>
            </w:r>
            <w:r w:rsidRPr="003A6407">
              <w:t xml:space="preserve"> 3.1. Kompleksowe planowanie transportu na odpowiednim poziomie oraz związanych z nim kryteriów, które będą oceniane, monitorowane i stosowane przez cały okres programowania. W związku z powyższym istnieje ryzyko związane z koniecznością przygotowania i aktualizacji stosownych dokumentów na poziomie krajowym i regionalnym (istotność: umiarkowana).</w:t>
            </w:r>
          </w:p>
          <w:p w14:paraId="020D85B4" w14:textId="77777777" w:rsidR="0018363D" w:rsidRPr="003A6407" w:rsidRDefault="0018363D" w:rsidP="00EA08E0">
            <w:pPr>
              <w:numPr>
                <w:ilvl w:val="0"/>
                <w:numId w:val="96"/>
              </w:numPr>
              <w:spacing w:before="60" w:after="60" w:line="240" w:lineRule="auto"/>
              <w:contextualSpacing/>
              <w:jc w:val="both"/>
            </w:pPr>
            <w:r w:rsidRPr="003A6407">
              <w:rPr>
                <w:b/>
                <w:bCs/>
              </w:rPr>
              <w:t>Wartości planowanych w Kontrakcie Programowym projektów</w:t>
            </w:r>
            <w:r w:rsidRPr="003A6407">
              <w:t xml:space="preserve"> – mogą ulec zmianie podczas doprecyzowania projektów; mogą także ewentualnie nastąpić zmiany w planowanych do wsparcia projektach jeśli otrzymają inne źródło finansowania; (istotność: umiarkowana).</w:t>
            </w:r>
            <w:r w:rsidRPr="003A6407" w:rsidDel="00426972">
              <w:t xml:space="preserve"> </w:t>
            </w:r>
          </w:p>
          <w:p w14:paraId="5BCEEEBB" w14:textId="77777777" w:rsidR="0018363D" w:rsidRPr="003A6407" w:rsidRDefault="0018363D" w:rsidP="00EA08E0">
            <w:pPr>
              <w:numPr>
                <w:ilvl w:val="0"/>
                <w:numId w:val="96"/>
              </w:numPr>
              <w:spacing w:before="60" w:after="60" w:line="240" w:lineRule="auto"/>
              <w:contextualSpacing/>
              <w:jc w:val="both"/>
            </w:pPr>
            <w:r w:rsidRPr="003A6407">
              <w:rPr>
                <w:b/>
                <w:bCs/>
              </w:rPr>
              <w:t>Problemy z zabezpieczeniem wkładu własnego</w:t>
            </w:r>
            <w:r w:rsidRPr="003A6407">
              <w:t xml:space="preserve"> wnioskodawcy; (istotność: umiarkowana).</w:t>
            </w:r>
          </w:p>
          <w:p w14:paraId="1646B3F5" w14:textId="77777777" w:rsidR="0018363D" w:rsidRPr="003A6407" w:rsidRDefault="0018363D" w:rsidP="00EA08E0">
            <w:pPr>
              <w:numPr>
                <w:ilvl w:val="0"/>
                <w:numId w:val="96"/>
              </w:numPr>
              <w:spacing w:before="60" w:after="60" w:line="240" w:lineRule="auto"/>
              <w:contextualSpacing/>
              <w:jc w:val="both"/>
            </w:pPr>
            <w:r w:rsidRPr="003A6407">
              <w:rPr>
                <w:b/>
                <w:bCs/>
              </w:rPr>
              <w:t>Zmiany w uwarunkowaniach prawnych</w:t>
            </w:r>
            <w:r w:rsidRPr="003A6407">
              <w:t xml:space="preserve"> mające wpływ na planowanie i realizację projektu. (istotność: umiarkowana).</w:t>
            </w:r>
          </w:p>
          <w:p w14:paraId="72B289DD" w14:textId="77777777" w:rsidR="00E3655E" w:rsidRPr="003A6407" w:rsidRDefault="00E3655E" w:rsidP="00E3655E">
            <w:pPr>
              <w:spacing w:before="60" w:after="60" w:line="240" w:lineRule="auto"/>
              <w:contextualSpacing/>
              <w:jc w:val="both"/>
            </w:pPr>
          </w:p>
          <w:p w14:paraId="1CB65DD4" w14:textId="77777777" w:rsidR="00E3655E" w:rsidRPr="003A6407" w:rsidRDefault="00E3655E" w:rsidP="00E3655E">
            <w:pPr>
              <w:spacing w:before="60" w:after="60" w:line="240" w:lineRule="auto"/>
              <w:contextualSpacing/>
              <w:jc w:val="both"/>
              <w:rPr>
                <w:b/>
                <w:bCs/>
              </w:rPr>
            </w:pPr>
            <w:r w:rsidRPr="003A6407">
              <w:rPr>
                <w:b/>
                <w:bCs/>
              </w:rPr>
              <w:t>Uzasadnienie dla celu pośredniego:</w:t>
            </w:r>
          </w:p>
          <w:p w14:paraId="2CA95973" w14:textId="1550180B" w:rsidR="00E3655E" w:rsidRPr="003A6407" w:rsidRDefault="00E3655E" w:rsidP="000B4691">
            <w:pPr>
              <w:spacing w:before="60" w:after="60" w:line="240" w:lineRule="auto"/>
              <w:contextualSpacing/>
              <w:jc w:val="both"/>
            </w:pPr>
            <w:r w:rsidRPr="003A6407">
              <w:rPr>
                <w:b/>
                <w:bCs/>
              </w:rPr>
              <w:t xml:space="preserve">Z uwagi na liniowy charakter inwestycji drogowych, realizowanych długofalowo </w:t>
            </w:r>
            <w:r w:rsidRPr="003A6407">
              <w:rPr>
                <w:b/>
                <w:bCs/>
              </w:rPr>
              <w:br/>
              <w:t xml:space="preserve">i  wieloetapowo, określenie i osiągniecie wskaźników pośrednich w grudniu 2024 r. nie będzie możliwe. Bazuje się tutaj na doświadczeniach z realizacji perspektywy 2014-2020. </w:t>
            </w:r>
          </w:p>
        </w:tc>
      </w:tr>
    </w:tbl>
    <w:p w14:paraId="66C2D046" w14:textId="77777777" w:rsidR="0018363D" w:rsidRPr="003A6407" w:rsidRDefault="0018363D" w:rsidP="00270B09"/>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1FBFF5B0" w14:textId="77777777" w:rsidTr="000B4691">
        <w:trPr>
          <w:cantSplit/>
          <w:trHeight w:val="1647"/>
        </w:trPr>
        <w:tc>
          <w:tcPr>
            <w:tcW w:w="451" w:type="pct"/>
            <w:vAlign w:val="center"/>
          </w:tcPr>
          <w:p w14:paraId="5ABCEEE9" w14:textId="77777777" w:rsidR="0018363D" w:rsidRPr="003A6407" w:rsidRDefault="0018363D" w:rsidP="000B4691">
            <w:pPr>
              <w:spacing w:before="120" w:after="120" w:line="240" w:lineRule="auto"/>
              <w:jc w:val="center"/>
              <w:rPr>
                <w:b/>
                <w:noProof/>
                <w:sz w:val="16"/>
                <w:szCs w:val="16"/>
              </w:rPr>
            </w:pPr>
            <w:r w:rsidRPr="003A6407">
              <w:rPr>
                <w:b/>
                <w:noProof/>
                <w:sz w:val="16"/>
                <w:szCs w:val="16"/>
              </w:rPr>
              <w:lastRenderedPageBreak/>
              <w:t>CP 3</w:t>
            </w:r>
          </w:p>
          <w:p w14:paraId="1D26468D" w14:textId="3CB729F9" w:rsidR="0018363D" w:rsidRPr="003A6407" w:rsidRDefault="0018363D" w:rsidP="000B4691">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606D43E5"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5AD29CA1"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5CCFB0AA" w14:textId="77777777" w:rsidR="0018363D" w:rsidRPr="003A6407" w:rsidRDefault="0018363D" w:rsidP="000B4691">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26B96458" w14:textId="59D21657" w:rsidR="0018363D" w:rsidRPr="003A6407" w:rsidRDefault="0018363D" w:rsidP="000B4691">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314B3DBD"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2E8C5739"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pośredni (2024)</w:t>
            </w:r>
          </w:p>
          <w:p w14:paraId="58FAFE32" w14:textId="77777777" w:rsidR="0018363D" w:rsidRPr="003A6407" w:rsidRDefault="0018363D" w:rsidP="000B4691">
            <w:pPr>
              <w:spacing w:before="120" w:after="120" w:line="240" w:lineRule="auto"/>
              <w:jc w:val="center"/>
              <w:rPr>
                <w:b/>
                <w:noProof/>
                <w:sz w:val="16"/>
                <w:szCs w:val="16"/>
              </w:rPr>
            </w:pPr>
          </w:p>
        </w:tc>
        <w:tc>
          <w:tcPr>
            <w:tcW w:w="550" w:type="pct"/>
            <w:shd w:val="clear" w:color="auto" w:fill="auto"/>
            <w:vAlign w:val="center"/>
          </w:tcPr>
          <w:p w14:paraId="2FF6B1DC" w14:textId="77777777" w:rsidR="0018363D" w:rsidRPr="003A6407" w:rsidRDefault="0018363D" w:rsidP="000B4691">
            <w:pPr>
              <w:spacing w:before="120" w:after="120" w:line="240" w:lineRule="auto"/>
              <w:jc w:val="center"/>
              <w:rPr>
                <w:b/>
                <w:noProof/>
                <w:sz w:val="16"/>
                <w:szCs w:val="16"/>
              </w:rPr>
            </w:pPr>
            <w:r w:rsidRPr="003A6407">
              <w:rPr>
                <w:b/>
                <w:noProof/>
                <w:sz w:val="16"/>
                <w:szCs w:val="16"/>
              </w:rPr>
              <w:t>Cel (2029)</w:t>
            </w:r>
          </w:p>
          <w:p w14:paraId="26121BC4" w14:textId="77777777" w:rsidR="0018363D" w:rsidRPr="003A6407" w:rsidRDefault="0018363D" w:rsidP="000B4691">
            <w:pPr>
              <w:spacing w:before="120" w:after="120" w:line="240" w:lineRule="auto"/>
              <w:jc w:val="center"/>
              <w:rPr>
                <w:b/>
                <w:noProof/>
                <w:sz w:val="16"/>
                <w:szCs w:val="16"/>
              </w:rPr>
            </w:pPr>
          </w:p>
        </w:tc>
      </w:tr>
      <w:tr w:rsidR="00191FE2" w:rsidRPr="003A6407" w14:paraId="434BA82E" w14:textId="77777777" w:rsidTr="000B4691">
        <w:trPr>
          <w:trHeight w:val="340"/>
        </w:trPr>
        <w:tc>
          <w:tcPr>
            <w:tcW w:w="451" w:type="pct"/>
            <w:vAlign w:val="center"/>
          </w:tcPr>
          <w:p w14:paraId="5A0B9391" w14:textId="77777777" w:rsidR="0018363D" w:rsidRDefault="0018363D" w:rsidP="000B4691">
            <w:pPr>
              <w:spacing w:before="120" w:after="120" w:line="240" w:lineRule="auto"/>
              <w:jc w:val="center"/>
              <w:rPr>
                <w:noProof/>
                <w:sz w:val="16"/>
                <w:szCs w:val="16"/>
              </w:rPr>
            </w:pPr>
            <w:r w:rsidRPr="003A6407">
              <w:rPr>
                <w:noProof/>
                <w:sz w:val="16"/>
                <w:szCs w:val="16"/>
              </w:rPr>
              <w:t>3 (iii)</w:t>
            </w:r>
          </w:p>
          <w:p w14:paraId="22411F5B" w14:textId="0B7C8D87" w:rsidR="007053CA" w:rsidRPr="003A6407" w:rsidRDefault="007053CA" w:rsidP="000B4691">
            <w:pPr>
              <w:spacing w:before="120" w:after="120" w:line="240" w:lineRule="auto"/>
              <w:jc w:val="center"/>
              <w:rPr>
                <w:noProof/>
                <w:sz w:val="16"/>
                <w:szCs w:val="16"/>
              </w:rPr>
            </w:pPr>
            <w:r>
              <w:rPr>
                <w:noProof/>
                <w:sz w:val="16"/>
                <w:szCs w:val="16"/>
              </w:rPr>
              <w:t>3.2</w:t>
            </w:r>
          </w:p>
        </w:tc>
        <w:tc>
          <w:tcPr>
            <w:tcW w:w="494" w:type="pct"/>
            <w:vAlign w:val="center"/>
          </w:tcPr>
          <w:p w14:paraId="375CA54D" w14:textId="77777777" w:rsidR="0018363D" w:rsidRPr="003A6407" w:rsidRDefault="0018363D" w:rsidP="000B4691">
            <w:pPr>
              <w:spacing w:before="120" w:after="120" w:line="240" w:lineRule="auto"/>
              <w:jc w:val="center"/>
              <w:rPr>
                <w:noProof/>
                <w:sz w:val="16"/>
                <w:szCs w:val="16"/>
              </w:rPr>
            </w:pPr>
            <w:r w:rsidRPr="003A6407">
              <w:rPr>
                <w:noProof/>
                <w:sz w:val="16"/>
                <w:szCs w:val="16"/>
              </w:rPr>
              <w:t>EFRR</w:t>
            </w:r>
          </w:p>
        </w:tc>
        <w:tc>
          <w:tcPr>
            <w:tcW w:w="558" w:type="pct"/>
            <w:vAlign w:val="center"/>
          </w:tcPr>
          <w:p w14:paraId="783E3A22" w14:textId="77777777" w:rsidR="0018363D" w:rsidRPr="003A6407" w:rsidRDefault="0018363D" w:rsidP="000B4691">
            <w:pPr>
              <w:spacing w:before="120" w:after="120" w:line="240" w:lineRule="auto"/>
              <w:jc w:val="center"/>
              <w:rPr>
                <w:noProof/>
                <w:sz w:val="16"/>
                <w:szCs w:val="16"/>
              </w:rPr>
            </w:pPr>
            <w:r w:rsidRPr="003A6407">
              <w:rPr>
                <w:noProof/>
                <w:sz w:val="16"/>
                <w:szCs w:val="16"/>
              </w:rPr>
              <w:t>przejściowy</w:t>
            </w:r>
          </w:p>
        </w:tc>
        <w:tc>
          <w:tcPr>
            <w:tcW w:w="360" w:type="pct"/>
            <w:vAlign w:val="center"/>
          </w:tcPr>
          <w:p w14:paraId="06492F47" w14:textId="40B83F19" w:rsidR="0018363D" w:rsidRPr="003A6407" w:rsidRDefault="0018363D" w:rsidP="000B4691">
            <w:pPr>
              <w:spacing w:before="120" w:after="120" w:line="240" w:lineRule="auto"/>
              <w:jc w:val="center"/>
              <w:rPr>
                <w:noProof/>
                <w:sz w:val="16"/>
                <w:szCs w:val="16"/>
              </w:rPr>
            </w:pPr>
            <w:r w:rsidRPr="003A6407">
              <w:rPr>
                <w:noProof/>
                <w:sz w:val="16"/>
                <w:szCs w:val="16"/>
              </w:rPr>
              <w:t>RCO 53</w:t>
            </w:r>
          </w:p>
        </w:tc>
        <w:tc>
          <w:tcPr>
            <w:tcW w:w="1411" w:type="pct"/>
            <w:shd w:val="clear" w:color="auto" w:fill="auto"/>
            <w:vAlign w:val="center"/>
          </w:tcPr>
          <w:p w14:paraId="40A77343" w14:textId="77777777" w:rsidR="0018363D" w:rsidRPr="003A6407" w:rsidRDefault="0018363D" w:rsidP="000B4691">
            <w:pPr>
              <w:keepNext/>
              <w:keepLines/>
              <w:spacing w:before="200" w:after="0"/>
              <w:jc w:val="center"/>
              <w:outlineLvl w:val="2"/>
              <w:rPr>
                <w:rFonts w:eastAsiaTheme="majorEastAsia" w:cstheme="majorBidi"/>
                <w:b/>
                <w:bCs/>
                <w:noProof/>
                <w:sz w:val="16"/>
                <w:szCs w:val="16"/>
              </w:rPr>
            </w:pPr>
            <w:bookmarkStart w:id="189" w:name="_Toc112845249"/>
            <w:bookmarkStart w:id="190" w:name="_Toc120464426"/>
            <w:r w:rsidRPr="003A6407">
              <w:rPr>
                <w:rFonts w:asciiTheme="minorHAnsi" w:eastAsia="Times New Roman" w:hAnsiTheme="minorHAnsi" w:cstheme="minorHAnsi"/>
                <w:bCs/>
                <w:noProof/>
                <w:sz w:val="16"/>
                <w:szCs w:val="16"/>
              </w:rPr>
              <w:t>Nowe lub zmodernizowane stacje i przystanki kolejowe</w:t>
            </w:r>
            <w:bookmarkEnd w:id="189"/>
            <w:bookmarkEnd w:id="190"/>
          </w:p>
        </w:tc>
        <w:tc>
          <w:tcPr>
            <w:tcW w:w="549" w:type="pct"/>
            <w:vAlign w:val="center"/>
          </w:tcPr>
          <w:p w14:paraId="72FD9B37" w14:textId="7759727A" w:rsidR="0018363D" w:rsidRPr="003A6407" w:rsidRDefault="00A9008F" w:rsidP="000B4691">
            <w:pPr>
              <w:spacing w:before="120" w:after="120" w:line="240" w:lineRule="auto"/>
              <w:jc w:val="center"/>
              <w:rPr>
                <w:noProof/>
                <w:sz w:val="16"/>
                <w:szCs w:val="16"/>
              </w:rPr>
            </w:pPr>
            <w:r>
              <w:rPr>
                <w:noProof/>
                <w:sz w:val="16"/>
                <w:szCs w:val="16"/>
              </w:rPr>
              <w:t>stacje i przystanki</w:t>
            </w:r>
          </w:p>
        </w:tc>
        <w:tc>
          <w:tcPr>
            <w:tcW w:w="627" w:type="pct"/>
            <w:shd w:val="clear" w:color="auto" w:fill="auto"/>
            <w:vAlign w:val="center"/>
          </w:tcPr>
          <w:p w14:paraId="063890EF" w14:textId="60210E2E" w:rsidR="0018363D" w:rsidRPr="003A6407" w:rsidRDefault="009E03DD" w:rsidP="000B4691">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431CCF5B" w14:textId="6959FD5C" w:rsidR="0018363D" w:rsidRPr="003A6407" w:rsidRDefault="0018363D" w:rsidP="000B4691">
            <w:pPr>
              <w:spacing w:before="120" w:after="120" w:line="240" w:lineRule="auto"/>
              <w:jc w:val="center"/>
              <w:rPr>
                <w:noProof/>
                <w:sz w:val="16"/>
                <w:szCs w:val="16"/>
              </w:rPr>
            </w:pPr>
            <w:r w:rsidRPr="003A6407">
              <w:rPr>
                <w:noProof/>
                <w:sz w:val="16"/>
                <w:szCs w:val="16"/>
              </w:rPr>
              <w:t>16</w:t>
            </w:r>
            <w:r w:rsidR="000B4691" w:rsidRPr="003A6407">
              <w:rPr>
                <w:noProof/>
                <w:sz w:val="16"/>
                <w:szCs w:val="16"/>
              </w:rPr>
              <w:t>,00</w:t>
            </w:r>
          </w:p>
        </w:tc>
      </w:tr>
      <w:tr w:rsidR="0018363D" w:rsidRPr="003A6407" w14:paraId="1AAFA461" w14:textId="77777777" w:rsidTr="002B58A1">
        <w:trPr>
          <w:trHeight w:val="340"/>
        </w:trPr>
        <w:tc>
          <w:tcPr>
            <w:tcW w:w="5000" w:type="pct"/>
            <w:gridSpan w:val="8"/>
          </w:tcPr>
          <w:p w14:paraId="487FC98C" w14:textId="77777777" w:rsidR="0018363D" w:rsidRPr="003A6407" w:rsidRDefault="0018363D" w:rsidP="00270B09">
            <w:pPr>
              <w:spacing w:before="60" w:after="60" w:line="240" w:lineRule="auto"/>
              <w:jc w:val="both"/>
            </w:pPr>
          </w:p>
          <w:p w14:paraId="6963DBB8" w14:textId="77777777" w:rsidR="0018363D" w:rsidRPr="003A6407" w:rsidRDefault="0018363D" w:rsidP="00270B09">
            <w:pPr>
              <w:spacing w:before="60" w:after="60" w:line="240" w:lineRule="auto"/>
              <w:jc w:val="both"/>
            </w:pPr>
            <w:r w:rsidRPr="003A6407">
              <w:t>Metodologia:</w:t>
            </w:r>
          </w:p>
          <w:p w14:paraId="36F11635" w14:textId="3D89AEB4" w:rsidR="0018363D" w:rsidRPr="003A6407" w:rsidRDefault="0018363D" w:rsidP="00270B09">
            <w:pPr>
              <w:spacing w:before="60" w:after="60" w:line="240" w:lineRule="auto"/>
              <w:jc w:val="both"/>
            </w:pPr>
            <w:r w:rsidRPr="003A6407">
              <w:t xml:space="preserve">Wskaźnik realizuje kod interwencji 098 Inne nowo wybudowane lub rozbudowane linie kolejowe o wartości 131 142 </w:t>
            </w:r>
            <w:r w:rsidR="00A9008F" w:rsidRPr="003A6407">
              <w:t>82</w:t>
            </w:r>
            <w:r w:rsidR="00A9008F">
              <w:t>2</w:t>
            </w:r>
            <w:r w:rsidRPr="003A6407">
              <w:t>,00 EUR.</w:t>
            </w:r>
          </w:p>
          <w:p w14:paraId="59EDCC77" w14:textId="77777777" w:rsidR="0018363D" w:rsidRPr="003A6407" w:rsidRDefault="0018363D" w:rsidP="00270B09">
            <w:pPr>
              <w:shd w:val="clear" w:color="auto" w:fill="FFFFFF"/>
              <w:spacing w:before="60" w:after="60" w:line="240" w:lineRule="auto"/>
              <w:jc w:val="both"/>
              <w:rPr>
                <w:rFonts w:eastAsia="Calibri"/>
              </w:rPr>
            </w:pPr>
            <w:r w:rsidRPr="003A6407">
              <w:rPr>
                <w:rFonts w:eastAsia="Calibri"/>
              </w:rPr>
              <w:t xml:space="preserve">Historyczny koszt jednostkowy – nie dotyczy. </w:t>
            </w:r>
          </w:p>
          <w:p w14:paraId="12C9C993" w14:textId="77777777" w:rsidR="0018363D" w:rsidRPr="003A6407" w:rsidRDefault="0018363D" w:rsidP="00270B09">
            <w:pPr>
              <w:spacing w:before="60" w:after="60" w:line="240" w:lineRule="auto"/>
              <w:jc w:val="both"/>
            </w:pPr>
            <w:r w:rsidRPr="003A6407">
              <w:t xml:space="preserve">Wskaźnik został oszacowany przez Dolnośląską Służbę Dróg i Kolei we Wrocławiu. Na potrzeby wyliczenia wartości wskaźnika, przyjęto założenie, że będzie on głównie realizowany poprzez realizację projektów priorytetowych dla województwa obejmujących przebudowę i modernizację linii kolejowych poza TEN-T, wybranych w niekonkurencyjnym trybie wyboru projektów. Wartość docelową oszacowano na podstawie dostępnej alokacji, wykazu przedsięwzięć priorytetowych planowanych do finansowania w ramach FEDS 2021-2027 oraz liczby nowych lub zmodernizowanych przystanków/ stacji kolejowych, które zostaną objęte inwestycjami. </w:t>
            </w:r>
          </w:p>
          <w:p w14:paraId="6246C5CC" w14:textId="77777777" w:rsidR="0018363D" w:rsidRPr="003A6407" w:rsidRDefault="0018363D" w:rsidP="00270B09">
            <w:pPr>
              <w:spacing w:before="60" w:after="60" w:line="240" w:lineRule="auto"/>
              <w:jc w:val="both"/>
            </w:pPr>
            <w:r w:rsidRPr="003A6407">
              <w:t>Dolnośląska Służba Dróg i Kolei we Wrocławiu po analizie danych dotyczących w/w projektów oraz liczby nowych lub zmodernizowanych przystanków/ stacji kolejowych objętych projektami ustaliła wartość wskaźnika na poziomie: 25 szt.</w:t>
            </w:r>
          </w:p>
          <w:p w14:paraId="501F0231" w14:textId="65FFF6F2" w:rsidR="0018363D" w:rsidRPr="003A6407" w:rsidRDefault="0018363D" w:rsidP="00270B09">
            <w:pPr>
              <w:spacing w:before="60" w:after="60" w:line="240" w:lineRule="auto"/>
              <w:jc w:val="both"/>
            </w:pPr>
            <w:r w:rsidRPr="003A6407">
              <w:t xml:space="preserve">Biorąc pod uwagę wskaźnik kompensacji na poziomie 34,6% wartość docelowa wskaźnika Nowe lub zmodernizowane stacje i przystanki kolejowe wynosi: </w:t>
            </w:r>
            <w:r w:rsidR="00A9008F">
              <w:t>16</w:t>
            </w:r>
            <w:r w:rsidR="00A9008F" w:rsidRPr="003A6407">
              <w:t xml:space="preserve"> </w:t>
            </w:r>
            <w:r w:rsidRPr="003A6407">
              <w:t>szt.</w:t>
            </w:r>
          </w:p>
          <w:p w14:paraId="50A3FEE5" w14:textId="77777777" w:rsidR="0018363D" w:rsidRPr="003A6407" w:rsidRDefault="0018363D" w:rsidP="00270B09">
            <w:pPr>
              <w:spacing w:before="60" w:after="60" w:line="240" w:lineRule="auto"/>
              <w:jc w:val="both"/>
            </w:pPr>
            <w:r w:rsidRPr="003A6407">
              <w:t>25* (1-0,346) = 16,35 czyli 16 szt.</w:t>
            </w:r>
          </w:p>
          <w:p w14:paraId="3E768303" w14:textId="77777777" w:rsidR="0018363D" w:rsidRPr="003A6407" w:rsidRDefault="0018363D" w:rsidP="00270B09">
            <w:pPr>
              <w:spacing w:before="60" w:after="60" w:line="240" w:lineRule="auto"/>
              <w:jc w:val="both"/>
            </w:pPr>
          </w:p>
          <w:p w14:paraId="638CF28A" w14:textId="77777777" w:rsidR="0018363D" w:rsidRPr="003A6407" w:rsidRDefault="0018363D" w:rsidP="00270B09">
            <w:pPr>
              <w:spacing w:before="60" w:after="60" w:line="240" w:lineRule="auto"/>
              <w:jc w:val="both"/>
            </w:pPr>
            <w:r w:rsidRPr="003A6407">
              <w:t xml:space="preserve">Na podstawie </w:t>
            </w:r>
            <w:proofErr w:type="spellStart"/>
            <w:r w:rsidRPr="003A6407">
              <w:t>ryzyk</w:t>
            </w:r>
            <w:proofErr w:type="spellEnd"/>
            <w:r w:rsidRPr="003A6407">
              <w:t xml:space="preserve"> związanych z realizacją tego typu projektów określono wskaźnik kompensacji:</w:t>
            </w:r>
          </w:p>
          <w:p w14:paraId="314179EA" w14:textId="070800A8" w:rsidR="0018363D" w:rsidRPr="003A6407" w:rsidRDefault="0018363D" w:rsidP="00270B09">
            <w:pPr>
              <w:spacing w:before="60" w:after="60" w:line="240" w:lineRule="auto"/>
              <w:jc w:val="both"/>
            </w:pPr>
            <w:r w:rsidRPr="003A6407">
              <w:t>R: [(7*25)+(2*68)/9 = 34,6</w:t>
            </w:r>
            <w:r w:rsidR="00412D9C" w:rsidRPr="003A6407">
              <w:t>%</w:t>
            </w:r>
          </w:p>
          <w:p w14:paraId="37EEE16C" w14:textId="77777777" w:rsidR="0018363D" w:rsidRPr="003A6407" w:rsidRDefault="0018363D" w:rsidP="00270B09">
            <w:pPr>
              <w:spacing w:before="60" w:after="60" w:line="240" w:lineRule="auto"/>
              <w:jc w:val="both"/>
            </w:pPr>
          </w:p>
          <w:p w14:paraId="624AB6C9" w14:textId="77777777" w:rsidR="0018363D" w:rsidRPr="003A6407" w:rsidRDefault="0018363D" w:rsidP="00270B09">
            <w:pPr>
              <w:spacing w:before="60" w:after="60" w:line="240" w:lineRule="auto"/>
              <w:jc w:val="both"/>
            </w:pPr>
            <w:r w:rsidRPr="003A6407">
              <w:t>Należy zwrócić szczególną uwagę na następujące czynniki ryzyka, które może mogą mieć wpływ na poziom osiągnięcia założonej wartości docelowej:</w:t>
            </w:r>
          </w:p>
          <w:p w14:paraId="675332F4" w14:textId="77777777" w:rsidR="0018363D" w:rsidRPr="003A6407" w:rsidRDefault="0018363D" w:rsidP="00EA08E0">
            <w:pPr>
              <w:numPr>
                <w:ilvl w:val="0"/>
                <w:numId w:val="97"/>
              </w:numPr>
              <w:spacing w:before="60" w:after="60" w:line="240" w:lineRule="auto"/>
              <w:contextualSpacing/>
              <w:jc w:val="both"/>
            </w:pPr>
            <w:r w:rsidRPr="003A6407">
              <w:rPr>
                <w:b/>
                <w:bCs/>
              </w:rPr>
              <w:t>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7DD6B718" w14:textId="77777777" w:rsidR="0018363D" w:rsidRPr="003A6407" w:rsidRDefault="0018363D" w:rsidP="00EA08E0">
            <w:pPr>
              <w:numPr>
                <w:ilvl w:val="0"/>
                <w:numId w:val="97"/>
              </w:numPr>
              <w:spacing w:before="60" w:after="60" w:line="240" w:lineRule="auto"/>
              <w:contextualSpacing/>
              <w:jc w:val="both"/>
            </w:pPr>
            <w:r w:rsidRPr="003A6407">
              <w:rPr>
                <w:rFonts w:eastAsia="Calibri" w:cs="Times New Roman"/>
                <w:b/>
                <w:color w:val="000000"/>
              </w:rPr>
              <w:t>Ryzyko wzrostu cen</w:t>
            </w:r>
            <w:r w:rsidRPr="003A6407">
              <w:rPr>
                <w:rFonts w:eastAsia="Calibri" w:cs="Times New Roman"/>
                <w:bCs/>
                <w:color w:val="000000"/>
              </w:rPr>
              <w:t xml:space="preserve"> -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313B089C" w14:textId="77777777" w:rsidR="0018363D" w:rsidRPr="003A6407" w:rsidRDefault="0018363D" w:rsidP="00EA08E0">
            <w:pPr>
              <w:numPr>
                <w:ilvl w:val="0"/>
                <w:numId w:val="97"/>
              </w:numPr>
              <w:spacing w:before="60" w:after="60" w:line="240" w:lineRule="auto"/>
              <w:contextualSpacing/>
              <w:jc w:val="both"/>
            </w:pPr>
            <w:r w:rsidRPr="003A6407">
              <w:rPr>
                <w:b/>
                <w:bCs/>
              </w:rPr>
              <w:t>Zawieszenie płatności przez KE</w:t>
            </w:r>
            <w:r w:rsidRPr="003A6407">
              <w:t xml:space="preserve"> dla danej osi priorytetowej; (istotność: umiarkowana).</w:t>
            </w:r>
          </w:p>
          <w:p w14:paraId="40C609EF" w14:textId="77777777" w:rsidR="0018363D" w:rsidRPr="003A6407" w:rsidRDefault="0018363D" w:rsidP="00EA08E0">
            <w:pPr>
              <w:numPr>
                <w:ilvl w:val="0"/>
                <w:numId w:val="97"/>
              </w:numPr>
              <w:spacing w:before="60" w:after="60" w:line="240" w:lineRule="auto"/>
              <w:contextualSpacing/>
              <w:jc w:val="both"/>
            </w:pPr>
            <w:r w:rsidRPr="003A6407">
              <w:rPr>
                <w:b/>
                <w:bCs/>
              </w:rPr>
              <w:t>Opóźnienia, bądź niewykonanie projektu</w:t>
            </w:r>
            <w:r w:rsidRPr="003A6407">
              <w:t xml:space="preserve"> związane z procedurami wynikającymi z zamówień publicznych oraz koniecznością spełnienia wytycznych Unii Europejskiej w zakresie ochrony środowiska min. wynikających z art. 9 rozporządzenia (UE) nr 2020/852 (rozporządzenie w sprawie taksonomii); związane z brakiem / ograniczonym dostępem do materiałów/surowców/półproduktów oraz wpływem pandemii koronawirusa SARS-CoV-2 na gospodarkę regionalną, potencjalne możliwości realizacji projektów, na zdolności inwestycyjne i nastroje przedsiębiorstw oraz innych beneficjentów do inwestowania, zdolność administracyjną i kadrową (istotność: poważna). </w:t>
            </w:r>
          </w:p>
          <w:p w14:paraId="0877F7AF" w14:textId="77777777" w:rsidR="0018363D" w:rsidRPr="003A6407" w:rsidRDefault="0018363D" w:rsidP="00EA08E0">
            <w:pPr>
              <w:numPr>
                <w:ilvl w:val="0"/>
                <w:numId w:val="97"/>
              </w:numPr>
              <w:spacing w:before="60" w:after="60" w:line="240" w:lineRule="auto"/>
              <w:contextualSpacing/>
              <w:jc w:val="both"/>
            </w:pPr>
            <w:r w:rsidRPr="003A6407">
              <w:rPr>
                <w:b/>
                <w:bCs/>
              </w:rPr>
              <w:t>Rozwiązane umowy</w:t>
            </w:r>
            <w:r w:rsidRPr="003A6407">
              <w:t xml:space="preserve"> o dofinansowanie realizacji projektu – (istotność: umiarkowana).</w:t>
            </w:r>
          </w:p>
          <w:p w14:paraId="7D65B097" w14:textId="77777777" w:rsidR="0018363D" w:rsidRPr="003A6407" w:rsidRDefault="0018363D" w:rsidP="00EA08E0">
            <w:pPr>
              <w:numPr>
                <w:ilvl w:val="0"/>
                <w:numId w:val="97"/>
              </w:numPr>
              <w:spacing w:before="60" w:after="60" w:line="240" w:lineRule="auto"/>
              <w:contextualSpacing/>
              <w:jc w:val="both"/>
            </w:pPr>
            <w:r w:rsidRPr="003A6407">
              <w:rPr>
                <w:b/>
                <w:bCs/>
              </w:rPr>
              <w:t>Czynniki które mogą wpłynąć na harmonogram</w:t>
            </w:r>
            <w:r w:rsidRPr="003A6407">
              <w:t xml:space="preserve"> realizacji związane z koniecznością spełnienia </w:t>
            </w:r>
            <w:r w:rsidRPr="003A6407">
              <w:rPr>
                <w:b/>
                <w:bCs/>
              </w:rPr>
              <w:t>tematycznego warunku podstawowego</w:t>
            </w:r>
            <w:r w:rsidRPr="003A6407">
              <w:t xml:space="preserve"> 3.1. Kompleksowe planowanie transportu na odpowiednim poziomie oraz związanych z nim kryteriów, które będą oceniane, monitorowane i stosowane przez cały </w:t>
            </w:r>
            <w:r w:rsidRPr="003A6407">
              <w:lastRenderedPageBreak/>
              <w:t>okres programowania. W związku z powyższym istnieje ryzyko związane z koniecznością przygotowania i aktualizacji stosownych dokumentów na poziomie krajowym i regionalnym (istotność: umiarkowana).</w:t>
            </w:r>
          </w:p>
          <w:p w14:paraId="41347DA7" w14:textId="77777777" w:rsidR="0018363D" w:rsidRPr="003A6407" w:rsidRDefault="0018363D" w:rsidP="00EA08E0">
            <w:pPr>
              <w:numPr>
                <w:ilvl w:val="0"/>
                <w:numId w:val="97"/>
              </w:numPr>
              <w:spacing w:before="60" w:after="60" w:line="240" w:lineRule="auto"/>
              <w:contextualSpacing/>
              <w:jc w:val="both"/>
            </w:pPr>
            <w:r w:rsidRPr="003A6407">
              <w:rPr>
                <w:b/>
                <w:bCs/>
              </w:rPr>
              <w:t>Wartości planowanych w Kontrakcie Programowym projektów</w:t>
            </w:r>
            <w:r w:rsidRPr="003A6407">
              <w:t xml:space="preserve"> – mogą ulec zmianie podczas doprecyzowania projektów; mogą także ewentualnie nastąpić zmiany w planowanych do wsparcia projektach jeśli otrzymają inne źródło finansowania; (istotność: umiarkowana).</w:t>
            </w:r>
            <w:r w:rsidRPr="003A6407" w:rsidDel="00426972">
              <w:t xml:space="preserve"> </w:t>
            </w:r>
          </w:p>
          <w:p w14:paraId="15C53F9F" w14:textId="77777777" w:rsidR="0018363D" w:rsidRPr="003A6407" w:rsidRDefault="0018363D" w:rsidP="00EA08E0">
            <w:pPr>
              <w:numPr>
                <w:ilvl w:val="0"/>
                <w:numId w:val="97"/>
              </w:numPr>
              <w:spacing w:before="60" w:after="60" w:line="240" w:lineRule="auto"/>
              <w:contextualSpacing/>
              <w:jc w:val="both"/>
            </w:pPr>
            <w:r w:rsidRPr="003A6407">
              <w:rPr>
                <w:b/>
                <w:bCs/>
              </w:rPr>
              <w:t>Problemy z zabezpieczeniem wkładu własnego</w:t>
            </w:r>
            <w:r w:rsidRPr="003A6407">
              <w:t xml:space="preserve"> wnioskodawcy; (istotność: umiarkowana).</w:t>
            </w:r>
          </w:p>
          <w:p w14:paraId="343E85F9" w14:textId="77777777" w:rsidR="0018363D" w:rsidRPr="003A6407" w:rsidRDefault="0018363D" w:rsidP="00EA08E0">
            <w:pPr>
              <w:numPr>
                <w:ilvl w:val="0"/>
                <w:numId w:val="97"/>
              </w:numPr>
              <w:spacing w:before="60" w:after="60" w:line="240" w:lineRule="auto"/>
              <w:contextualSpacing/>
              <w:jc w:val="both"/>
            </w:pPr>
            <w:r w:rsidRPr="003A6407">
              <w:rPr>
                <w:b/>
                <w:bCs/>
              </w:rPr>
              <w:t>Zmiany w uwarunkowaniach prawnych</w:t>
            </w:r>
            <w:r w:rsidRPr="003A6407">
              <w:t xml:space="preserve"> mające wpływ na planowanie i realizację projektu. (istotność: umiarkowana).</w:t>
            </w:r>
          </w:p>
          <w:p w14:paraId="233E4E48" w14:textId="77777777" w:rsidR="004F6644" w:rsidRPr="003A6407" w:rsidRDefault="004F6644" w:rsidP="004F6644">
            <w:pPr>
              <w:spacing w:before="60" w:after="60" w:line="240" w:lineRule="auto"/>
              <w:contextualSpacing/>
              <w:jc w:val="both"/>
            </w:pPr>
          </w:p>
          <w:p w14:paraId="301BF095" w14:textId="4605D03E" w:rsidR="004F6644" w:rsidRPr="003A6407" w:rsidRDefault="004F6644" w:rsidP="004F6644">
            <w:pPr>
              <w:spacing w:before="60" w:after="60" w:line="240" w:lineRule="auto"/>
              <w:contextualSpacing/>
              <w:jc w:val="both"/>
              <w:rPr>
                <w:b/>
                <w:bCs/>
              </w:rPr>
            </w:pPr>
            <w:r w:rsidRPr="003A6407">
              <w:rPr>
                <w:b/>
                <w:bCs/>
              </w:rPr>
              <w:t>Uzasadnienie dla celu pośredniego:</w:t>
            </w:r>
          </w:p>
          <w:p w14:paraId="6CF8F83C" w14:textId="27B18DAA" w:rsidR="004F6644" w:rsidRPr="003A6407" w:rsidRDefault="004F6644" w:rsidP="00F10E3A">
            <w:pPr>
              <w:spacing w:before="60" w:after="60" w:line="240" w:lineRule="auto"/>
              <w:contextualSpacing/>
              <w:jc w:val="both"/>
              <w:rPr>
                <w:b/>
                <w:bCs/>
              </w:rPr>
            </w:pPr>
            <w:r w:rsidRPr="003A6407">
              <w:rPr>
                <w:b/>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7d), na podstawie Sprawozdania rocznego z 2021 r. - wskaźnik pn. Całkowita długość przebudowanych lub zmodernizowanych linii kolejowych (CI 12) w 2017 r. osiągnął wartość 0, co wobec wartości z wykonania na 2021 r. (11,28) stanowi 0%.</w:t>
            </w:r>
            <w:r w:rsidR="00F10E3A">
              <w:rPr>
                <w:b/>
                <w:bCs/>
              </w:rPr>
              <w:t xml:space="preserve"> Ponadto wskaźniki: </w:t>
            </w:r>
            <w:r w:rsidR="00F10E3A" w:rsidRPr="00F10E3A">
              <w:rPr>
                <w:b/>
                <w:bCs/>
              </w:rPr>
              <w:t>Liczba wspartych dworców kolejowych – realizacja 0 szt. (koniec 2017 r)</w:t>
            </w:r>
            <w:r w:rsidR="00F10E3A">
              <w:rPr>
                <w:b/>
                <w:bCs/>
              </w:rPr>
              <w:t xml:space="preserve">, </w:t>
            </w:r>
            <w:r w:rsidR="00F10E3A" w:rsidRPr="00F10E3A">
              <w:rPr>
                <w:b/>
                <w:bCs/>
              </w:rPr>
              <w:t>Liczba wspartych osobowych przystanków kolejowych – realizacja 0 (koniec 2017)</w:t>
            </w:r>
            <w:r w:rsidR="00F10E3A">
              <w:rPr>
                <w:b/>
                <w:bCs/>
              </w:rPr>
              <w:t>.</w:t>
            </w:r>
          </w:p>
          <w:p w14:paraId="2657F4CF" w14:textId="77777777" w:rsidR="004F6644" w:rsidRPr="003A6407" w:rsidRDefault="004F6644" w:rsidP="004F6644">
            <w:pPr>
              <w:spacing w:before="60" w:after="60" w:line="240" w:lineRule="auto"/>
              <w:contextualSpacing/>
              <w:jc w:val="both"/>
              <w:rPr>
                <w:b/>
                <w:bCs/>
              </w:rPr>
            </w:pPr>
            <w:r w:rsidRPr="003A6407">
              <w:rPr>
                <w:b/>
                <w:bCs/>
              </w:rPr>
              <w:t>Mając na uwadze, że 2017 r. był już czwartym rokiem wdrażania programu RPO WD 2014-2020, a rok 2024 będzie de facto dopiero drugim rokiem wdrażania FEDS, wartość pośrednią dla tego wskaźnika ustalono jako 0.</w:t>
            </w:r>
          </w:p>
          <w:p w14:paraId="4B2662F8" w14:textId="3684D5D5" w:rsidR="004F6644" w:rsidRPr="003A6407" w:rsidRDefault="004F6644" w:rsidP="00412D9C">
            <w:pPr>
              <w:spacing w:before="60" w:after="60" w:line="240" w:lineRule="auto"/>
              <w:contextualSpacing/>
              <w:jc w:val="both"/>
            </w:pPr>
          </w:p>
        </w:tc>
      </w:tr>
    </w:tbl>
    <w:p w14:paraId="5F41E05F" w14:textId="77777777" w:rsidR="0018363D" w:rsidRPr="003A6407" w:rsidRDefault="0018363D" w:rsidP="0070626C"/>
    <w:p w14:paraId="7D49931F" w14:textId="77777777" w:rsidR="0018363D" w:rsidRPr="003A6407" w:rsidRDefault="0018363D" w:rsidP="00BF0070">
      <w:pPr>
        <w:pStyle w:val="Nagwek2"/>
        <w:spacing w:after="200"/>
      </w:pPr>
      <w:bookmarkStart w:id="191" w:name="_Toc112845250"/>
      <w:bookmarkStart w:id="192" w:name="_Toc120464427"/>
      <w:r w:rsidRPr="003A6407">
        <w:t>Wskaźniki rezultatu</w:t>
      </w:r>
      <w:bookmarkEnd w:id="191"/>
      <w:bookmarkEnd w:id="192"/>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836"/>
        <w:gridCol w:w="970"/>
        <w:gridCol w:w="552"/>
        <w:gridCol w:w="1386"/>
        <w:gridCol w:w="550"/>
        <w:gridCol w:w="1243"/>
        <w:gridCol w:w="554"/>
        <w:gridCol w:w="691"/>
        <w:gridCol w:w="917"/>
        <w:gridCol w:w="686"/>
      </w:tblGrid>
      <w:tr w:rsidR="00191FE2" w:rsidRPr="003A6407" w14:paraId="781FAD69" w14:textId="77777777" w:rsidTr="000B4691">
        <w:trPr>
          <w:cantSplit/>
          <w:trHeight w:val="1768"/>
        </w:trPr>
        <w:tc>
          <w:tcPr>
            <w:tcW w:w="366" w:type="pct"/>
            <w:vAlign w:val="center"/>
          </w:tcPr>
          <w:p w14:paraId="0A9DFAB6"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3</w:t>
            </w:r>
          </w:p>
          <w:p w14:paraId="69A7C1B3"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 (iii)</w:t>
            </w:r>
          </w:p>
        </w:tc>
        <w:tc>
          <w:tcPr>
            <w:tcW w:w="462" w:type="pct"/>
            <w:vAlign w:val="center"/>
          </w:tcPr>
          <w:p w14:paraId="63BEE8F6"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36" w:type="pct"/>
            <w:vAlign w:val="center"/>
          </w:tcPr>
          <w:p w14:paraId="2DFC05A7"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305" w:type="pct"/>
            <w:textDirection w:val="btLr"/>
            <w:vAlign w:val="center"/>
          </w:tcPr>
          <w:p w14:paraId="38719ACE" w14:textId="77777777" w:rsidR="0018363D" w:rsidRPr="003A6407" w:rsidRDefault="0018363D" w:rsidP="000B4691">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766" w:type="pct"/>
            <w:shd w:val="clear" w:color="auto" w:fill="auto"/>
            <w:vAlign w:val="center"/>
          </w:tcPr>
          <w:p w14:paraId="794CA115"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304" w:type="pct"/>
            <w:textDirection w:val="btLr"/>
            <w:vAlign w:val="center"/>
          </w:tcPr>
          <w:p w14:paraId="0BCC9114" w14:textId="77777777" w:rsidR="0018363D" w:rsidRPr="003A6407" w:rsidRDefault="0018363D" w:rsidP="000B4691">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687" w:type="pct"/>
            <w:textDirection w:val="btLr"/>
            <w:vAlign w:val="center"/>
          </w:tcPr>
          <w:p w14:paraId="41E655DA" w14:textId="77777777" w:rsidR="0018363D" w:rsidRPr="003A6407" w:rsidRDefault="0018363D" w:rsidP="000B4691">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06" w:type="pct"/>
            <w:textDirection w:val="btLr"/>
            <w:vAlign w:val="center"/>
          </w:tcPr>
          <w:p w14:paraId="3C785EC4" w14:textId="77777777" w:rsidR="0018363D" w:rsidRPr="003A6407" w:rsidRDefault="0018363D" w:rsidP="000B4691">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82" w:type="pct"/>
            <w:shd w:val="clear" w:color="auto" w:fill="auto"/>
            <w:vAlign w:val="center"/>
          </w:tcPr>
          <w:p w14:paraId="70D8657C"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38BA2F8C" w14:textId="77777777" w:rsidR="0018363D" w:rsidRPr="003A6407" w:rsidRDefault="0018363D" w:rsidP="000B4691">
            <w:pPr>
              <w:spacing w:before="120" w:after="120" w:line="240" w:lineRule="auto"/>
              <w:jc w:val="center"/>
              <w:rPr>
                <w:rFonts w:eastAsia="Calibri" w:cs="Times New Roman"/>
                <w:b/>
                <w:noProof/>
                <w:sz w:val="16"/>
                <w:szCs w:val="16"/>
                <w:lang w:eastAsia="pl-PL"/>
              </w:rPr>
            </w:pPr>
          </w:p>
        </w:tc>
        <w:tc>
          <w:tcPr>
            <w:tcW w:w="507" w:type="pct"/>
            <w:shd w:val="clear" w:color="auto" w:fill="auto"/>
            <w:vAlign w:val="center"/>
          </w:tcPr>
          <w:p w14:paraId="59BEDE1B" w14:textId="77777777" w:rsidR="0018363D" w:rsidRPr="003A6407" w:rsidRDefault="0018363D" w:rsidP="000B4691">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79" w:type="pct"/>
            <w:vAlign w:val="center"/>
          </w:tcPr>
          <w:p w14:paraId="0A5BA042" w14:textId="77777777" w:rsidR="0018363D" w:rsidRPr="003A6407" w:rsidRDefault="0018363D" w:rsidP="000B4691">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30FDFDE0" w14:textId="77777777" w:rsidTr="000B4691">
        <w:trPr>
          <w:cantSplit/>
          <w:trHeight w:val="1134"/>
        </w:trPr>
        <w:tc>
          <w:tcPr>
            <w:tcW w:w="366" w:type="pct"/>
            <w:vAlign w:val="center"/>
          </w:tcPr>
          <w:p w14:paraId="4E461F0A" w14:textId="77777777" w:rsidR="0018363D" w:rsidRDefault="0018363D" w:rsidP="000B4691">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3 (iii)</w:t>
            </w:r>
          </w:p>
          <w:p w14:paraId="724C8024" w14:textId="684351F8" w:rsidR="007053CA" w:rsidRPr="003A6407" w:rsidRDefault="007053CA" w:rsidP="000B4691">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3.2</w:t>
            </w:r>
          </w:p>
        </w:tc>
        <w:tc>
          <w:tcPr>
            <w:tcW w:w="462" w:type="pct"/>
            <w:vAlign w:val="center"/>
          </w:tcPr>
          <w:p w14:paraId="7BDCCD9A" w14:textId="77777777" w:rsidR="0018363D" w:rsidRPr="003A6407" w:rsidRDefault="0018363D" w:rsidP="000B4691">
            <w:pPr>
              <w:jc w:val="center"/>
              <w:rPr>
                <w:rFonts w:eastAsia="Calibri" w:cs="Times New Roman"/>
                <w:sz w:val="16"/>
                <w:szCs w:val="16"/>
              </w:rPr>
            </w:pPr>
            <w:r w:rsidRPr="003A6407">
              <w:rPr>
                <w:rFonts w:eastAsia="Calibri" w:cs="Times New Roman"/>
                <w:noProof/>
                <w:sz w:val="16"/>
                <w:szCs w:val="16"/>
              </w:rPr>
              <w:t>EFRR</w:t>
            </w:r>
          </w:p>
        </w:tc>
        <w:tc>
          <w:tcPr>
            <w:tcW w:w="536" w:type="pct"/>
            <w:vAlign w:val="center"/>
          </w:tcPr>
          <w:p w14:paraId="60C875C5" w14:textId="77777777" w:rsidR="0018363D" w:rsidRPr="003A6407" w:rsidRDefault="0018363D" w:rsidP="000B4691">
            <w:pPr>
              <w:jc w:val="center"/>
              <w:rPr>
                <w:rFonts w:eastAsia="Calibri" w:cs="Times New Roman"/>
                <w:sz w:val="16"/>
                <w:szCs w:val="16"/>
              </w:rPr>
            </w:pPr>
            <w:r w:rsidRPr="003A6407">
              <w:rPr>
                <w:rFonts w:eastAsia="Calibri" w:cs="Times New Roman"/>
                <w:noProof/>
                <w:sz w:val="16"/>
                <w:szCs w:val="16"/>
              </w:rPr>
              <w:t>Przejściowy</w:t>
            </w:r>
          </w:p>
        </w:tc>
        <w:tc>
          <w:tcPr>
            <w:tcW w:w="305" w:type="pct"/>
            <w:vAlign w:val="center"/>
          </w:tcPr>
          <w:p w14:paraId="055AE4E8" w14:textId="61946DE0" w:rsidR="0018363D" w:rsidRPr="003A6407" w:rsidRDefault="0018363D" w:rsidP="000B4691">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 55</w:t>
            </w:r>
          </w:p>
        </w:tc>
        <w:tc>
          <w:tcPr>
            <w:tcW w:w="766" w:type="pct"/>
            <w:shd w:val="clear" w:color="auto" w:fill="auto"/>
            <w:vAlign w:val="center"/>
          </w:tcPr>
          <w:p w14:paraId="0B0C3FB2" w14:textId="77777777" w:rsidR="0018363D" w:rsidRPr="003A6407" w:rsidRDefault="0018363D" w:rsidP="000B4691">
            <w:pPr>
              <w:keepNext/>
              <w:keepLines/>
              <w:spacing w:before="200" w:after="0"/>
              <w:jc w:val="center"/>
              <w:outlineLvl w:val="2"/>
              <w:rPr>
                <w:rFonts w:eastAsia="Calibri" w:cs="Times New Roman"/>
                <w:b/>
                <w:bCs/>
                <w:noProof/>
                <w:sz w:val="16"/>
                <w:szCs w:val="16"/>
                <w:lang w:eastAsia="pl-PL"/>
              </w:rPr>
            </w:pPr>
            <w:bookmarkStart w:id="193" w:name="_Toc95740572"/>
            <w:bookmarkStart w:id="194" w:name="_Toc112845251"/>
            <w:bookmarkStart w:id="195" w:name="_Toc120464428"/>
            <w:r w:rsidRPr="003A6407">
              <w:rPr>
                <w:rFonts w:asciiTheme="minorHAnsi" w:eastAsia="Times New Roman" w:hAnsiTheme="minorHAnsi" w:cstheme="minorHAnsi"/>
                <w:bCs/>
                <w:noProof/>
                <w:sz w:val="16"/>
                <w:szCs w:val="16"/>
              </w:rPr>
              <w:t>Roczna liczba użytkowników nowo wybudowanych, przebudowanych, rozbudowanych lub zmodernizowanych dróg</w:t>
            </w:r>
            <w:bookmarkEnd w:id="193"/>
            <w:bookmarkEnd w:id="194"/>
            <w:bookmarkEnd w:id="195"/>
          </w:p>
        </w:tc>
        <w:tc>
          <w:tcPr>
            <w:tcW w:w="304" w:type="pct"/>
            <w:vAlign w:val="center"/>
          </w:tcPr>
          <w:p w14:paraId="6FF457F8" w14:textId="77777777" w:rsidR="0018363D" w:rsidRPr="003A6407" w:rsidRDefault="0018363D" w:rsidP="000B4691">
            <w:pPr>
              <w:jc w:val="center"/>
              <w:rPr>
                <w:rFonts w:cstheme="minorHAnsi"/>
                <w:sz w:val="16"/>
                <w:szCs w:val="16"/>
              </w:rPr>
            </w:pPr>
            <w:r w:rsidRPr="003A6407">
              <w:rPr>
                <w:rFonts w:cstheme="minorHAnsi"/>
                <w:noProof/>
                <w:sz w:val="16"/>
                <w:szCs w:val="16"/>
              </w:rPr>
              <w:t>pasażerokilometr/rok</w:t>
            </w:r>
          </w:p>
          <w:p w14:paraId="0BDFA9CD" w14:textId="77777777" w:rsidR="0018363D" w:rsidRPr="003A6407" w:rsidRDefault="0018363D" w:rsidP="000B4691">
            <w:pPr>
              <w:spacing w:before="120" w:after="120" w:line="240" w:lineRule="auto"/>
              <w:jc w:val="center"/>
              <w:rPr>
                <w:rFonts w:eastAsia="Calibri" w:cs="Times New Roman"/>
                <w:noProof/>
                <w:sz w:val="16"/>
                <w:szCs w:val="16"/>
                <w:lang w:eastAsia="pl-PL"/>
              </w:rPr>
            </w:pPr>
          </w:p>
        </w:tc>
        <w:tc>
          <w:tcPr>
            <w:tcW w:w="687" w:type="pct"/>
            <w:vAlign w:val="center"/>
          </w:tcPr>
          <w:p w14:paraId="1E81D5BF" w14:textId="0D0BFA19" w:rsidR="0018363D" w:rsidRPr="003A6407" w:rsidRDefault="0018363D" w:rsidP="000B4691">
            <w:pPr>
              <w:spacing w:before="120" w:after="120" w:line="240" w:lineRule="auto"/>
              <w:jc w:val="center"/>
              <w:rPr>
                <w:rFonts w:eastAsia="Calibri" w:cs="Times New Roman"/>
                <w:b/>
                <w:bCs/>
                <w:noProof/>
                <w:sz w:val="16"/>
                <w:szCs w:val="16"/>
                <w:lang w:eastAsia="pl-PL"/>
              </w:rPr>
            </w:pPr>
            <w:r w:rsidRPr="003A6407">
              <w:rPr>
                <w:rFonts w:eastAsia="Calibri" w:cs="Times New Roman"/>
                <w:b/>
                <w:bCs/>
                <w:noProof/>
                <w:sz w:val="16"/>
                <w:szCs w:val="16"/>
                <w:lang w:eastAsia="pl-PL"/>
              </w:rPr>
              <w:t>1 054 388 177</w:t>
            </w:r>
          </w:p>
        </w:tc>
        <w:tc>
          <w:tcPr>
            <w:tcW w:w="306" w:type="pct"/>
            <w:vAlign w:val="center"/>
          </w:tcPr>
          <w:p w14:paraId="75F1C3AB" w14:textId="77777777"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2020</w:t>
            </w:r>
          </w:p>
        </w:tc>
        <w:tc>
          <w:tcPr>
            <w:tcW w:w="382" w:type="pct"/>
            <w:shd w:val="clear" w:color="auto" w:fill="auto"/>
            <w:vAlign w:val="center"/>
          </w:tcPr>
          <w:p w14:paraId="56EC7BAB" w14:textId="1F863A5F" w:rsidR="0018363D" w:rsidRPr="003A6407" w:rsidRDefault="0018363D" w:rsidP="000B4691">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1 070 204 000</w:t>
            </w:r>
          </w:p>
        </w:tc>
        <w:tc>
          <w:tcPr>
            <w:tcW w:w="507" w:type="pct"/>
            <w:shd w:val="clear" w:color="auto" w:fill="auto"/>
            <w:vAlign w:val="center"/>
          </w:tcPr>
          <w:p w14:paraId="49513566" w14:textId="79E2B7A8" w:rsidR="0018363D" w:rsidRPr="003A6407" w:rsidRDefault="0018363D" w:rsidP="000B4691">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GPR 2020</w:t>
            </w:r>
            <w:r w:rsidR="00552832" w:rsidRPr="003A6407">
              <w:rPr>
                <w:rFonts w:eastAsia="Calibri" w:cs="Times New Roman"/>
                <w:noProof/>
                <w:sz w:val="16"/>
                <w:szCs w:val="16"/>
                <w:lang w:eastAsia="pl-PL"/>
              </w:rPr>
              <w:t xml:space="preserve"> (Generalny Pomiar Ruchu)</w:t>
            </w:r>
          </w:p>
        </w:tc>
        <w:tc>
          <w:tcPr>
            <w:tcW w:w="379" w:type="pct"/>
            <w:vAlign w:val="center"/>
          </w:tcPr>
          <w:p w14:paraId="4B7A6192" w14:textId="77777777" w:rsidR="0018363D" w:rsidRPr="003A6407" w:rsidRDefault="0018363D" w:rsidP="000B4691">
            <w:pPr>
              <w:jc w:val="center"/>
              <w:rPr>
                <w:rFonts w:eastAsia="Calibri" w:cs="Times New Roman"/>
                <w:noProof/>
                <w:sz w:val="16"/>
                <w:szCs w:val="16"/>
              </w:rPr>
            </w:pPr>
          </w:p>
        </w:tc>
      </w:tr>
      <w:tr w:rsidR="0018363D" w:rsidRPr="003A6407" w14:paraId="102D30A1" w14:textId="77777777" w:rsidTr="002B58A1">
        <w:trPr>
          <w:trHeight w:val="434"/>
        </w:trPr>
        <w:tc>
          <w:tcPr>
            <w:tcW w:w="5000" w:type="pct"/>
            <w:gridSpan w:val="11"/>
          </w:tcPr>
          <w:p w14:paraId="191D60CA" w14:textId="77777777" w:rsidR="0018363D" w:rsidRPr="003A6407" w:rsidRDefault="0018363D" w:rsidP="007A098F">
            <w:pPr>
              <w:spacing w:line="240" w:lineRule="auto"/>
              <w:jc w:val="both"/>
              <w:rPr>
                <w:rFonts w:eastAsia="Calibri"/>
              </w:rPr>
            </w:pPr>
            <w:r w:rsidRPr="003A6407">
              <w:rPr>
                <w:rFonts w:eastAsia="Calibri"/>
              </w:rPr>
              <w:t xml:space="preserve">Szacowanie wskaźnika rezultatu zostało przeprowadzone przez Dolnośląską Służbę Dróg i kolei we Wrocławiu w oparciu o publikację JASPERS: „Wsparcie metodologiczne dla wskaźników rezultatu EFRR i Funduszu Spójności w obszarze transportu po 2020 r.” W oparciu o wskazaną metodologie szacowanie przeprowadzono z wykorzystaniem Generalnego Pomiaru Ruchu 2020/2021 za rok bazowy przyjmując 2020. </w:t>
            </w:r>
          </w:p>
          <w:p w14:paraId="654A81E8" w14:textId="3F3C8E64" w:rsidR="0018363D" w:rsidRPr="003A6407" w:rsidRDefault="0018363D" w:rsidP="00412D9C">
            <w:pPr>
              <w:spacing w:line="240" w:lineRule="auto"/>
              <w:jc w:val="both"/>
              <w:rPr>
                <w:rFonts w:eastAsia="Calibri"/>
              </w:rPr>
            </w:pPr>
            <w:r w:rsidRPr="003A6407">
              <w:rPr>
                <w:rFonts w:eastAsia="Calibri"/>
              </w:rPr>
              <w:t xml:space="preserve">W obliczeniach przyjęto średni dobowy ruch roczny (SDRR) przyporządkowując punkty pomiarowe zlokalizowane na odcinkach dróg wojewódzkich ujętych w planowanych inwestycjach lub ich okolicy, a w przypadku obwodnic zlokalizowanych na drogach z których ruch powinien zostać przekierowany na obwodnice. W przypadku wystąpienia większej ilości punktów pomiarowych do obliczeń wykorzystano średnią arytmetyczną. W obliczeniach przyjęto także założenie obłożenia pojazdów w ilości 2. Powyższe wynika z charakterystyki generalnego pomiaru który dotyczy pojazdów silnikowych z których zdecydowaną większość stanowią samochody osobowe. Ponadto, bazując na ustaleniach z porównania wyników </w:t>
            </w:r>
            <w:r w:rsidRPr="003A6407">
              <w:rPr>
                <w:rFonts w:eastAsia="Calibri"/>
              </w:rPr>
              <w:lastRenderedPageBreak/>
              <w:t>Generalnego pomiaru z roku 2015 i 2020 który wykazał 20% wzrost w skali 5 lat, a więc średnio 4% wzrost w skali roku przyjęto założenie wzrostu wartości docelowych o 1,5%. Powyższe wynika z mniejszej skali planowanych inwestycji w stosunku do całej sieci dróg wojewódzkich oraz z zmian prawnych mających wpływ na ww. wzrost w wynikach generalnych pomiarów.</w:t>
            </w:r>
          </w:p>
          <w:p w14:paraId="766694D1" w14:textId="77777777" w:rsidR="0018363D" w:rsidRPr="003A6407" w:rsidRDefault="0018363D" w:rsidP="007A098F">
            <w:pPr>
              <w:rPr>
                <w:rFonts w:eastAsia="Calibri"/>
              </w:rPr>
            </w:pPr>
            <w:r w:rsidRPr="003A6407">
              <w:rPr>
                <w:rFonts w:eastAsia="Calibri"/>
              </w:rPr>
              <w:t>Zgodnie z przywołaną metodologią w celu weryfikacji osiągnięcia wartości wskaźnika rezultatu należy założyć konieczność przeprowadzenia badań terenowych w rok po zakończeniu realizacji projektu lub wykorzystać wyniki generalnych pomiarów ruchu.</w:t>
            </w:r>
          </w:p>
          <w:p w14:paraId="2CA9FBCA" w14:textId="40966DEB" w:rsidR="0018363D" w:rsidRPr="003A6407" w:rsidRDefault="0018363D" w:rsidP="00552832">
            <w:pPr>
              <w:rPr>
                <w:rFonts w:eastAsia="Calibri"/>
              </w:rPr>
            </w:pPr>
            <w:r w:rsidRPr="003A6407">
              <w:rPr>
                <w:rFonts w:eastAsia="Calibri"/>
              </w:rPr>
              <w:t xml:space="preserve">Zgodnie z przyjęte metodologią docelowa wartość wskaźnika Roczna liczba użytkowników nowo wybudowanych, przebudowanych, rozbudowanych lub zmodernizowanych dróg wynosi: </w:t>
            </w:r>
            <w:r w:rsidRPr="003A6407">
              <w:rPr>
                <w:rFonts w:eastAsia="Calibri" w:cs="Times New Roman"/>
                <w:bCs/>
                <w:noProof/>
                <w:color w:val="000000"/>
                <w:lang w:eastAsia="pl-PL"/>
              </w:rPr>
              <w:t>1 070 204 000</w:t>
            </w:r>
            <w:r w:rsidRPr="003A6407">
              <w:rPr>
                <w:rFonts w:eastAsia="Calibri" w:cs="Times New Roman"/>
                <w:b/>
                <w:noProof/>
                <w:color w:val="000000"/>
                <w:sz w:val="16"/>
                <w:szCs w:val="16"/>
                <w:lang w:eastAsia="pl-PL"/>
              </w:rPr>
              <w:t xml:space="preserve"> </w:t>
            </w:r>
            <w:r w:rsidRPr="003A6407">
              <w:rPr>
                <w:rFonts w:eastAsia="Calibri"/>
              </w:rPr>
              <w:t>pasażerokilometr/rok.</w:t>
            </w:r>
          </w:p>
        </w:tc>
      </w:tr>
    </w:tbl>
    <w:p w14:paraId="68DC130C" w14:textId="3AEF31D1" w:rsidR="001D1C32" w:rsidRPr="003A6407" w:rsidRDefault="00A91801" w:rsidP="0037219F">
      <w:pPr>
        <w:pStyle w:val="Nagwek1"/>
        <w:rPr>
          <w:rFonts w:eastAsia="Calibri"/>
          <w:lang w:val="pl-PL"/>
        </w:rPr>
      </w:pPr>
      <w:bookmarkStart w:id="196" w:name="_Toc120464429"/>
      <w:r w:rsidRPr="003A6407">
        <w:rPr>
          <w:rFonts w:eastAsia="Calibri"/>
          <w:lang w:val="pl-PL"/>
        </w:rPr>
        <w:t>PRIORYTET 5: FUNDUSZE EUROPEJSKIE NA RZECZ ZRÓWNOWAŻONEGO ROZWOJU</w:t>
      </w:r>
      <w:r w:rsidR="001D1C32" w:rsidRPr="003A6407">
        <w:rPr>
          <w:rFonts w:eastAsia="Calibri"/>
        </w:rPr>
        <w:t xml:space="preserve"> SPOŁECZN</w:t>
      </w:r>
      <w:r w:rsidRPr="003A6407">
        <w:rPr>
          <w:rFonts w:eastAsia="Calibri"/>
          <w:lang w:val="pl-PL"/>
        </w:rPr>
        <w:t>EGO</w:t>
      </w:r>
      <w:r w:rsidR="001D1C32" w:rsidRPr="003A6407">
        <w:rPr>
          <w:rFonts w:eastAsia="Calibri"/>
        </w:rPr>
        <w:t xml:space="preserve"> </w:t>
      </w:r>
      <w:r w:rsidR="001C6669">
        <w:rPr>
          <w:rFonts w:eastAsia="Calibri"/>
          <w:lang w:val="pl-PL"/>
        </w:rPr>
        <w:t xml:space="preserve">NA DOLNYM ŚLĄSKU </w:t>
      </w:r>
      <w:r w:rsidR="001D1C32" w:rsidRPr="003A6407">
        <w:rPr>
          <w:rFonts w:eastAsia="Calibri"/>
          <w:lang w:val="pl-PL"/>
        </w:rPr>
        <w:t>(</w:t>
      </w:r>
      <w:r w:rsidR="001D1C32" w:rsidRPr="003A6407">
        <w:rPr>
          <w:rFonts w:eastAsia="Calibri"/>
        </w:rPr>
        <w:t>CP4</w:t>
      </w:r>
      <w:r w:rsidRPr="003A6407">
        <w:rPr>
          <w:rFonts w:eastAsia="Calibri"/>
          <w:lang w:val="pl-PL"/>
        </w:rPr>
        <w:t xml:space="preserve"> EFRR</w:t>
      </w:r>
      <w:r w:rsidR="001D1C32" w:rsidRPr="003A6407">
        <w:rPr>
          <w:rFonts w:eastAsia="Calibri"/>
          <w:lang w:val="pl-PL"/>
        </w:rPr>
        <w:t>)</w:t>
      </w:r>
      <w:bookmarkEnd w:id="196"/>
    </w:p>
    <w:p w14:paraId="5DD39F5D" w14:textId="36A99E80" w:rsidR="001D1C32" w:rsidRPr="003A6407" w:rsidRDefault="001D1C32" w:rsidP="009368FA">
      <w:pPr>
        <w:pStyle w:val="Nagwek2"/>
        <w:spacing w:after="200"/>
      </w:pPr>
      <w:bookmarkStart w:id="197" w:name="_Toc120464430"/>
      <w:r w:rsidRPr="003A6407">
        <w:t xml:space="preserve">CEL SZCZEGÓŁOWY: </w:t>
      </w:r>
      <w:r w:rsidR="001C6669" w:rsidRPr="001C6669">
        <w:t>RSO4.5. Zapewnianie równego dostępu do opieki zdrowotnej i wspieranie odporności systemów opieki zdrowotnej, w tym podstawowej opieki zdrowotnej, oraz wspieranie przechodzenia od opieki instytucjonalnej do opieki rodzinnej i środowiskowej (EFRR)</w:t>
      </w:r>
      <w:bookmarkEnd w:id="197"/>
    </w:p>
    <w:p w14:paraId="1A9591DF" w14:textId="48FC30AF" w:rsidR="001D1C32" w:rsidRDefault="001D1C32" w:rsidP="009368FA">
      <w:pPr>
        <w:pStyle w:val="Nagwek2"/>
        <w:spacing w:after="200"/>
      </w:pPr>
      <w:bookmarkStart w:id="198" w:name="_Toc120464431"/>
      <w:r w:rsidRPr="003A6407">
        <w:t>Wskaźniki produktu</w:t>
      </w:r>
      <w:bookmarkEnd w:id="198"/>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6641B5" w:rsidRPr="006641B5" w14:paraId="026F5BDD" w14:textId="77777777" w:rsidTr="00483576">
        <w:trPr>
          <w:cantSplit/>
          <w:trHeight w:val="1647"/>
        </w:trPr>
        <w:tc>
          <w:tcPr>
            <w:tcW w:w="451" w:type="pct"/>
            <w:vAlign w:val="center"/>
          </w:tcPr>
          <w:p w14:paraId="005F97AA"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CP 4</w:t>
            </w:r>
          </w:p>
          <w:p w14:paraId="6E4A0276"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Cel szczegółowy</w:t>
            </w:r>
          </w:p>
        </w:tc>
        <w:tc>
          <w:tcPr>
            <w:tcW w:w="494" w:type="pct"/>
            <w:vAlign w:val="center"/>
          </w:tcPr>
          <w:p w14:paraId="284D616E"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Fundusz</w:t>
            </w:r>
          </w:p>
        </w:tc>
        <w:tc>
          <w:tcPr>
            <w:tcW w:w="558" w:type="pct"/>
            <w:vAlign w:val="center"/>
          </w:tcPr>
          <w:p w14:paraId="3B9F84DD"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Kategoria regionu</w:t>
            </w:r>
          </w:p>
        </w:tc>
        <w:tc>
          <w:tcPr>
            <w:tcW w:w="360" w:type="pct"/>
            <w:textDirection w:val="btLr"/>
            <w:vAlign w:val="center"/>
          </w:tcPr>
          <w:p w14:paraId="71B8EC32" w14:textId="77777777" w:rsidR="006641B5" w:rsidRPr="006641B5" w:rsidRDefault="006641B5" w:rsidP="006641B5">
            <w:pPr>
              <w:spacing w:before="120" w:after="120" w:line="240" w:lineRule="auto"/>
              <w:ind w:left="113" w:right="113"/>
              <w:jc w:val="center"/>
              <w:rPr>
                <w:rFonts w:eastAsia="Calibri"/>
                <w:b/>
                <w:noProof/>
                <w:sz w:val="16"/>
                <w:szCs w:val="16"/>
              </w:rPr>
            </w:pPr>
            <w:r w:rsidRPr="006641B5">
              <w:rPr>
                <w:rFonts w:eastAsia="Calibri"/>
                <w:b/>
                <w:noProof/>
                <w:sz w:val="16"/>
                <w:szCs w:val="16"/>
              </w:rPr>
              <w:t>Nr identyfikacyjny [5]</w:t>
            </w:r>
          </w:p>
        </w:tc>
        <w:tc>
          <w:tcPr>
            <w:tcW w:w="1411" w:type="pct"/>
            <w:shd w:val="clear" w:color="auto" w:fill="auto"/>
            <w:vAlign w:val="center"/>
          </w:tcPr>
          <w:p w14:paraId="5E4A392A"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Wskaźnik [255]</w:t>
            </w:r>
          </w:p>
        </w:tc>
        <w:tc>
          <w:tcPr>
            <w:tcW w:w="549" w:type="pct"/>
            <w:vAlign w:val="center"/>
          </w:tcPr>
          <w:p w14:paraId="607FFBF6"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Jednostka miary</w:t>
            </w:r>
          </w:p>
        </w:tc>
        <w:tc>
          <w:tcPr>
            <w:tcW w:w="627" w:type="pct"/>
            <w:shd w:val="clear" w:color="auto" w:fill="auto"/>
            <w:vAlign w:val="center"/>
          </w:tcPr>
          <w:p w14:paraId="28F2084D"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Cel pośredni (2024)</w:t>
            </w:r>
          </w:p>
          <w:p w14:paraId="68353615" w14:textId="77777777" w:rsidR="006641B5" w:rsidRPr="006641B5" w:rsidRDefault="006641B5" w:rsidP="006641B5">
            <w:pPr>
              <w:spacing w:before="120" w:after="120" w:line="240" w:lineRule="auto"/>
              <w:jc w:val="center"/>
              <w:rPr>
                <w:rFonts w:eastAsia="Calibri"/>
                <w:b/>
                <w:noProof/>
                <w:sz w:val="16"/>
                <w:szCs w:val="16"/>
              </w:rPr>
            </w:pPr>
          </w:p>
        </w:tc>
        <w:tc>
          <w:tcPr>
            <w:tcW w:w="550" w:type="pct"/>
            <w:shd w:val="clear" w:color="auto" w:fill="auto"/>
            <w:vAlign w:val="center"/>
          </w:tcPr>
          <w:p w14:paraId="5C68A1BD" w14:textId="77777777" w:rsidR="006641B5" w:rsidRPr="006641B5" w:rsidRDefault="006641B5" w:rsidP="006641B5">
            <w:pPr>
              <w:spacing w:before="120" w:after="120" w:line="240" w:lineRule="auto"/>
              <w:jc w:val="center"/>
              <w:rPr>
                <w:rFonts w:eastAsia="Calibri"/>
                <w:b/>
                <w:noProof/>
                <w:sz w:val="16"/>
                <w:szCs w:val="16"/>
              </w:rPr>
            </w:pPr>
            <w:r w:rsidRPr="006641B5">
              <w:rPr>
                <w:rFonts w:eastAsia="Calibri"/>
                <w:b/>
                <w:noProof/>
                <w:sz w:val="16"/>
                <w:szCs w:val="16"/>
              </w:rPr>
              <w:t>Cel (2029)</w:t>
            </w:r>
          </w:p>
          <w:p w14:paraId="3511AEE5" w14:textId="77777777" w:rsidR="006641B5" w:rsidRPr="006641B5" w:rsidRDefault="006641B5" w:rsidP="006641B5">
            <w:pPr>
              <w:spacing w:before="120" w:after="120" w:line="240" w:lineRule="auto"/>
              <w:jc w:val="center"/>
              <w:rPr>
                <w:rFonts w:eastAsia="Calibri"/>
                <w:b/>
                <w:noProof/>
                <w:sz w:val="16"/>
                <w:szCs w:val="16"/>
              </w:rPr>
            </w:pPr>
          </w:p>
        </w:tc>
      </w:tr>
      <w:tr w:rsidR="006641B5" w:rsidRPr="006641B5" w14:paraId="52252732" w14:textId="77777777" w:rsidTr="00483576">
        <w:trPr>
          <w:trHeight w:val="340"/>
        </w:trPr>
        <w:tc>
          <w:tcPr>
            <w:tcW w:w="451" w:type="pct"/>
            <w:vAlign w:val="center"/>
          </w:tcPr>
          <w:p w14:paraId="0523EA81"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4 (v)</w:t>
            </w:r>
          </w:p>
          <w:p w14:paraId="4DE819B3"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4.5</w:t>
            </w:r>
          </w:p>
        </w:tc>
        <w:tc>
          <w:tcPr>
            <w:tcW w:w="494" w:type="pct"/>
            <w:vAlign w:val="center"/>
          </w:tcPr>
          <w:p w14:paraId="5C2ED9C2"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EFRR</w:t>
            </w:r>
          </w:p>
        </w:tc>
        <w:tc>
          <w:tcPr>
            <w:tcW w:w="558" w:type="pct"/>
            <w:vAlign w:val="center"/>
          </w:tcPr>
          <w:p w14:paraId="0C64CE0F"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przejściowy</w:t>
            </w:r>
          </w:p>
        </w:tc>
        <w:tc>
          <w:tcPr>
            <w:tcW w:w="360" w:type="pct"/>
            <w:vAlign w:val="center"/>
          </w:tcPr>
          <w:p w14:paraId="1241BC1E"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RCO069</w:t>
            </w:r>
          </w:p>
        </w:tc>
        <w:tc>
          <w:tcPr>
            <w:tcW w:w="1411" w:type="pct"/>
            <w:shd w:val="clear" w:color="auto" w:fill="auto"/>
            <w:vAlign w:val="center"/>
          </w:tcPr>
          <w:p w14:paraId="7EDA73E1" w14:textId="77777777" w:rsidR="006641B5" w:rsidRPr="006641B5" w:rsidRDefault="006641B5" w:rsidP="006641B5">
            <w:pPr>
              <w:keepNext/>
              <w:keepLines/>
              <w:spacing w:before="200" w:after="0"/>
              <w:jc w:val="center"/>
              <w:outlineLvl w:val="2"/>
              <w:rPr>
                <w:rFonts w:eastAsia="Times New Roman" w:cs="Times New Roman"/>
                <w:b/>
                <w:bCs/>
                <w:noProof/>
                <w:sz w:val="16"/>
                <w:szCs w:val="16"/>
              </w:rPr>
            </w:pPr>
            <w:bookmarkStart w:id="199" w:name="_Toc120464432"/>
            <w:r w:rsidRPr="006641B5">
              <w:rPr>
                <w:rFonts w:eastAsia="Times New Roman" w:cs="Calibri"/>
                <w:bCs/>
                <w:noProof/>
                <w:sz w:val="16"/>
                <w:szCs w:val="16"/>
              </w:rPr>
              <w:t>Pojemność nowych lub zmodernizowanych placówek opieki zdrowotnej</w:t>
            </w:r>
            <w:bookmarkEnd w:id="199"/>
          </w:p>
        </w:tc>
        <w:tc>
          <w:tcPr>
            <w:tcW w:w="549" w:type="pct"/>
            <w:vAlign w:val="center"/>
          </w:tcPr>
          <w:p w14:paraId="1D9C8CA8"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Osoby/rok</w:t>
            </w:r>
          </w:p>
        </w:tc>
        <w:tc>
          <w:tcPr>
            <w:tcW w:w="627" w:type="pct"/>
            <w:shd w:val="clear" w:color="auto" w:fill="auto"/>
            <w:vAlign w:val="center"/>
          </w:tcPr>
          <w:p w14:paraId="19CCBDB5"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0,00</w:t>
            </w:r>
          </w:p>
        </w:tc>
        <w:tc>
          <w:tcPr>
            <w:tcW w:w="550" w:type="pct"/>
            <w:shd w:val="clear" w:color="auto" w:fill="auto"/>
            <w:vAlign w:val="center"/>
          </w:tcPr>
          <w:p w14:paraId="5E9696D4" w14:textId="77777777" w:rsidR="006641B5" w:rsidRPr="006641B5" w:rsidRDefault="006641B5" w:rsidP="006641B5">
            <w:pPr>
              <w:spacing w:before="120" w:after="120" w:line="240" w:lineRule="auto"/>
              <w:jc w:val="center"/>
              <w:rPr>
                <w:rFonts w:eastAsia="Calibri"/>
                <w:noProof/>
                <w:sz w:val="16"/>
                <w:szCs w:val="16"/>
              </w:rPr>
            </w:pPr>
            <w:r w:rsidRPr="006641B5">
              <w:rPr>
                <w:rFonts w:eastAsia="Calibri"/>
                <w:noProof/>
                <w:sz w:val="16"/>
                <w:szCs w:val="16"/>
              </w:rPr>
              <w:t>258 261</w:t>
            </w:r>
          </w:p>
        </w:tc>
      </w:tr>
      <w:tr w:rsidR="006641B5" w:rsidRPr="006641B5" w14:paraId="3F878026" w14:textId="77777777" w:rsidTr="00483576">
        <w:trPr>
          <w:trHeight w:val="340"/>
        </w:trPr>
        <w:tc>
          <w:tcPr>
            <w:tcW w:w="5000" w:type="pct"/>
            <w:gridSpan w:val="8"/>
          </w:tcPr>
          <w:p w14:paraId="765D7D61" w14:textId="77777777" w:rsidR="006641B5" w:rsidRPr="006641B5" w:rsidRDefault="006641B5" w:rsidP="006641B5">
            <w:pPr>
              <w:spacing w:before="60" w:after="60" w:line="240" w:lineRule="auto"/>
              <w:jc w:val="both"/>
              <w:rPr>
                <w:rFonts w:eastAsia="Calibri"/>
              </w:rPr>
            </w:pPr>
            <w:r w:rsidRPr="006641B5">
              <w:rPr>
                <w:rFonts w:eastAsia="Calibri"/>
              </w:rPr>
              <w:t>Metodologia:</w:t>
            </w:r>
          </w:p>
          <w:p w14:paraId="7B9FF8BB" w14:textId="77777777" w:rsidR="006641B5" w:rsidRPr="006641B5" w:rsidRDefault="006641B5" w:rsidP="006641B5">
            <w:pPr>
              <w:spacing w:before="60" w:after="60" w:line="240" w:lineRule="auto"/>
              <w:jc w:val="both"/>
              <w:rPr>
                <w:rFonts w:eastAsia="Calibri"/>
              </w:rPr>
            </w:pPr>
            <w:r w:rsidRPr="006641B5">
              <w:rPr>
                <w:rFonts w:eastAsia="Calibri"/>
              </w:rPr>
              <w:t xml:space="preserve">Wskaźnik realizuje kod interwencji: </w:t>
            </w:r>
          </w:p>
          <w:p w14:paraId="43161FEF" w14:textId="77777777" w:rsidR="006641B5" w:rsidRPr="006641B5" w:rsidRDefault="006641B5" w:rsidP="006641B5">
            <w:pPr>
              <w:numPr>
                <w:ilvl w:val="0"/>
                <w:numId w:val="65"/>
              </w:numPr>
              <w:spacing w:before="60" w:after="60" w:line="240" w:lineRule="auto"/>
              <w:contextualSpacing/>
              <w:jc w:val="both"/>
              <w:rPr>
                <w:rFonts w:eastAsia="Calibri"/>
              </w:rPr>
            </w:pPr>
            <w:r w:rsidRPr="006641B5">
              <w:rPr>
                <w:rFonts w:eastAsia="Calibri"/>
              </w:rPr>
              <w:t>128 Infrastruktura zdrowotna (35 000 000,00 EUR)</w:t>
            </w:r>
          </w:p>
          <w:p w14:paraId="42D3F35C" w14:textId="77777777" w:rsidR="006641B5" w:rsidRPr="006641B5" w:rsidRDefault="006641B5" w:rsidP="006641B5">
            <w:pPr>
              <w:numPr>
                <w:ilvl w:val="0"/>
                <w:numId w:val="65"/>
              </w:numPr>
              <w:spacing w:before="60" w:after="60" w:line="240" w:lineRule="auto"/>
              <w:contextualSpacing/>
              <w:jc w:val="both"/>
              <w:rPr>
                <w:rFonts w:eastAsia="Calibri"/>
              </w:rPr>
            </w:pPr>
            <w:r w:rsidRPr="006641B5">
              <w:rPr>
                <w:rFonts w:eastAsia="Calibri"/>
              </w:rPr>
              <w:t>129 Wyposażenie opieki zdrowotnej (46 110 607,00  EUR)</w:t>
            </w:r>
          </w:p>
          <w:p w14:paraId="582BDA9A" w14:textId="77777777" w:rsidR="006641B5" w:rsidRPr="006641B5" w:rsidRDefault="006641B5" w:rsidP="006641B5">
            <w:pPr>
              <w:spacing w:before="60" w:after="60" w:line="240" w:lineRule="auto"/>
              <w:ind w:left="720"/>
              <w:contextualSpacing/>
              <w:jc w:val="both"/>
              <w:rPr>
                <w:rFonts w:eastAsia="Calibri"/>
              </w:rPr>
            </w:pPr>
          </w:p>
          <w:p w14:paraId="256E190B" w14:textId="77777777" w:rsidR="006641B5" w:rsidRPr="006641B5" w:rsidRDefault="006641B5" w:rsidP="006641B5">
            <w:pPr>
              <w:spacing w:before="60" w:after="60" w:line="240" w:lineRule="auto"/>
              <w:jc w:val="both"/>
              <w:rPr>
                <w:rFonts w:eastAsia="Calibri"/>
              </w:rPr>
            </w:pPr>
            <w:r w:rsidRPr="006641B5">
              <w:rPr>
                <w:rFonts w:eastAsia="Calibri"/>
              </w:rPr>
              <w:t>Suma alokacji przeznaczonej na realizację wskaźnika wynosi 81 110 607,0 EUR.</w:t>
            </w:r>
          </w:p>
          <w:p w14:paraId="0BC37F56" w14:textId="77777777" w:rsidR="006641B5" w:rsidRPr="006641B5" w:rsidRDefault="006641B5" w:rsidP="006641B5">
            <w:pPr>
              <w:spacing w:before="60" w:after="60" w:line="240" w:lineRule="auto"/>
              <w:jc w:val="both"/>
              <w:rPr>
                <w:rFonts w:eastAsia="Calibri"/>
              </w:rPr>
            </w:pPr>
            <w:r w:rsidRPr="006641B5">
              <w:rPr>
                <w:rFonts w:eastAsia="Calibri"/>
              </w:rPr>
              <w:t>Biorąc pod uwagę kurs EUR na poziomie 4,45 wartość alokacji wynosi 360 942 201,15 PLN.</w:t>
            </w:r>
          </w:p>
          <w:p w14:paraId="65F8AC87" w14:textId="77777777" w:rsidR="006641B5" w:rsidRPr="006641B5" w:rsidRDefault="006641B5" w:rsidP="006641B5">
            <w:pPr>
              <w:spacing w:before="60" w:after="60" w:line="240" w:lineRule="auto"/>
              <w:jc w:val="both"/>
              <w:rPr>
                <w:rFonts w:eastAsia="Calibri"/>
              </w:rPr>
            </w:pPr>
            <w:r w:rsidRPr="006641B5">
              <w:rPr>
                <w:rFonts w:eastAsia="Calibri"/>
              </w:rPr>
              <w:t xml:space="preserve">Dane dotyczące rocznej liczby użytkowników wspartych podmiotów leczniczych, tj. AOS, 2 Centrów Zdrowia Psychicznego oraz Dolnośląskiego Centrum Onkologii, Pulmonologii i Hematologii zostały pozyskane z Departamentu Zdrowia, który w zakresie swoich kompetencji oszacował: </w:t>
            </w:r>
          </w:p>
          <w:p w14:paraId="0FFFB048" w14:textId="77777777" w:rsidR="006641B5" w:rsidRPr="006641B5" w:rsidRDefault="006641B5" w:rsidP="006641B5">
            <w:pPr>
              <w:numPr>
                <w:ilvl w:val="0"/>
                <w:numId w:val="84"/>
              </w:numPr>
              <w:spacing w:before="60" w:after="60" w:line="240" w:lineRule="auto"/>
              <w:contextualSpacing/>
              <w:jc w:val="both"/>
              <w:rPr>
                <w:rFonts w:eastAsia="Calibri"/>
              </w:rPr>
            </w:pPr>
            <w:r w:rsidRPr="006641B5">
              <w:rPr>
                <w:rFonts w:eastAsia="Calibri"/>
              </w:rPr>
              <w:t xml:space="preserve">na podstawie ewidencji/ rejestrów pacjentów – roczną ilość użytkowników placówek objętych wsparciem, tj. 2 Centrów Zdrowia Psychicznego oraz Dolnośląskiego Centrum Onkologii, Pulmonologii i Hematologii – na poziomie 76 000 osób, </w:t>
            </w:r>
          </w:p>
          <w:p w14:paraId="5F1A6996" w14:textId="77777777" w:rsidR="006641B5" w:rsidRPr="006641B5" w:rsidRDefault="006641B5" w:rsidP="006641B5">
            <w:pPr>
              <w:numPr>
                <w:ilvl w:val="0"/>
                <w:numId w:val="84"/>
              </w:numPr>
              <w:spacing w:before="60" w:after="60" w:line="240" w:lineRule="auto"/>
              <w:contextualSpacing/>
              <w:jc w:val="both"/>
              <w:rPr>
                <w:rFonts w:eastAsia="Calibri"/>
              </w:rPr>
            </w:pPr>
            <w:r w:rsidRPr="006641B5">
              <w:rPr>
                <w:rFonts w:eastAsia="Calibri"/>
              </w:rPr>
              <w:t xml:space="preserve">w oparciu o mapy potrzeb zdrowotnych  – liczbę udzielonych porad medycznych w ramach AOS za rok 2021 – na poziomie 31 363 porad </w:t>
            </w:r>
          </w:p>
          <w:p w14:paraId="13517883" w14:textId="77777777" w:rsidR="006641B5" w:rsidRPr="006641B5" w:rsidRDefault="006641B5" w:rsidP="006641B5">
            <w:pPr>
              <w:spacing w:before="60" w:after="60" w:line="240" w:lineRule="auto"/>
              <w:jc w:val="both"/>
              <w:rPr>
                <w:rFonts w:eastAsia="Calibri"/>
              </w:rPr>
            </w:pPr>
            <w:r w:rsidRPr="006641B5">
              <w:rPr>
                <w:rFonts w:eastAsia="Calibri"/>
              </w:rPr>
              <w:t>Do wyliczenia rocznej liczby użytkowników wspartych podmiotów typu POZ przyjmuje się:</w:t>
            </w:r>
          </w:p>
          <w:p w14:paraId="3788E4F9" w14:textId="77777777" w:rsidR="006641B5" w:rsidRPr="006641B5" w:rsidRDefault="006641B5" w:rsidP="006641B5">
            <w:pPr>
              <w:numPr>
                <w:ilvl w:val="0"/>
                <w:numId w:val="95"/>
              </w:numPr>
              <w:spacing w:before="60" w:after="60" w:line="240" w:lineRule="auto"/>
              <w:contextualSpacing/>
              <w:jc w:val="both"/>
              <w:rPr>
                <w:rFonts w:eastAsia="Calibri"/>
              </w:rPr>
            </w:pPr>
            <w:r w:rsidRPr="006641B5">
              <w:rPr>
                <w:rFonts w:eastAsia="Calibri"/>
              </w:rPr>
              <w:lastRenderedPageBreak/>
              <w:t>liczbę POZ oszacowaną w ramach metodologii dla wskaźnika PLRO133 Liczba wspartych podmiotów wykonujących działalność leczniczą, na poziomie 64 podmiotów,</w:t>
            </w:r>
          </w:p>
          <w:p w14:paraId="19C504D1" w14:textId="77777777" w:rsidR="006641B5" w:rsidRPr="006641B5" w:rsidRDefault="006641B5" w:rsidP="006641B5">
            <w:pPr>
              <w:numPr>
                <w:ilvl w:val="0"/>
                <w:numId w:val="95"/>
              </w:numPr>
              <w:spacing w:before="60" w:after="60" w:line="240" w:lineRule="auto"/>
              <w:contextualSpacing/>
              <w:jc w:val="both"/>
              <w:rPr>
                <w:rFonts w:eastAsia="Calibri"/>
              </w:rPr>
            </w:pPr>
            <w:r w:rsidRPr="006641B5">
              <w:rPr>
                <w:rFonts w:eastAsia="Calibri"/>
              </w:rPr>
              <w:t>średnią liczbę świadczeniobiorców przypadającą na jeden podmiot POZ w 2018 r. w województwie dolnośląskim na poziomie 4 608 osób – na podstawie raportu z badania pn. „Podstawowa opieka zdrowotna w Polsce - diagnoza i projekty zmian”</w:t>
            </w:r>
          </w:p>
          <w:p w14:paraId="36569008" w14:textId="77777777" w:rsidR="006641B5" w:rsidRPr="006641B5" w:rsidRDefault="006641B5" w:rsidP="006641B5">
            <w:pPr>
              <w:spacing w:before="60" w:after="60" w:line="240" w:lineRule="auto"/>
              <w:ind w:left="720"/>
              <w:contextualSpacing/>
              <w:jc w:val="both"/>
              <w:rPr>
                <w:rFonts w:eastAsia="Calibri"/>
              </w:rPr>
            </w:pPr>
            <w:r w:rsidRPr="006641B5">
              <w:rPr>
                <w:rFonts w:eastAsia="Calibri"/>
              </w:rPr>
              <w:t xml:space="preserve">(https://www.zdrowie.gov.pl/epublikacje/Pobierz/id/57.html). </w:t>
            </w:r>
          </w:p>
          <w:p w14:paraId="31E04F09" w14:textId="77777777" w:rsidR="006641B5" w:rsidRPr="006641B5" w:rsidRDefault="006641B5" w:rsidP="006641B5">
            <w:pPr>
              <w:spacing w:before="60" w:after="60" w:line="240" w:lineRule="auto"/>
              <w:jc w:val="both"/>
              <w:rPr>
                <w:rFonts w:eastAsia="Calibri"/>
              </w:rPr>
            </w:pPr>
            <w:r w:rsidRPr="006641B5">
              <w:rPr>
                <w:rFonts w:eastAsia="Calibri"/>
              </w:rPr>
              <w:t>Wyliczenie:</w:t>
            </w:r>
          </w:p>
          <w:p w14:paraId="0544D4BB" w14:textId="77777777" w:rsidR="006641B5" w:rsidRPr="006641B5" w:rsidRDefault="006641B5" w:rsidP="006641B5">
            <w:pPr>
              <w:spacing w:before="60" w:after="60" w:line="240" w:lineRule="auto"/>
              <w:jc w:val="both"/>
              <w:rPr>
                <w:rFonts w:eastAsia="Calibri"/>
              </w:rPr>
            </w:pPr>
            <w:r w:rsidRPr="006641B5">
              <w:rPr>
                <w:rFonts w:eastAsia="Calibri"/>
              </w:rPr>
              <w:t>64 * 4 608 = 294 912</w:t>
            </w:r>
          </w:p>
          <w:p w14:paraId="3CA1AFD9" w14:textId="6E357097" w:rsidR="006641B5" w:rsidRPr="006641B5" w:rsidRDefault="006641B5" w:rsidP="006641B5">
            <w:pPr>
              <w:spacing w:before="60" w:after="60" w:line="240" w:lineRule="auto"/>
              <w:jc w:val="both"/>
              <w:rPr>
                <w:rFonts w:eastAsia="Calibri"/>
              </w:rPr>
            </w:pPr>
            <w:r w:rsidRPr="006641B5">
              <w:rPr>
                <w:rFonts w:eastAsia="Calibri"/>
              </w:rPr>
              <w:t xml:space="preserve"> Łącznie przełoży się to na wartość wskaźnika na poziomie</w:t>
            </w:r>
            <w:r w:rsidR="004931E1">
              <w:rPr>
                <w:rFonts w:eastAsia="Calibri"/>
              </w:rPr>
              <w:t xml:space="preserve"> 76 000 + 31 363 + 294 912 =</w:t>
            </w:r>
            <w:r w:rsidRPr="006641B5">
              <w:rPr>
                <w:rFonts w:eastAsia="Calibri"/>
              </w:rPr>
              <w:t xml:space="preserve"> 402 275</w:t>
            </w:r>
            <w:r w:rsidRPr="006641B5" w:rsidDel="00275D26">
              <w:rPr>
                <w:rFonts w:eastAsia="Calibri"/>
              </w:rPr>
              <w:t xml:space="preserve"> </w:t>
            </w:r>
            <w:r w:rsidRPr="006641B5">
              <w:rPr>
                <w:rFonts w:eastAsia="Calibri"/>
              </w:rPr>
              <w:t>użytkowników/rok.</w:t>
            </w:r>
          </w:p>
          <w:p w14:paraId="21E3EE3A" w14:textId="77777777" w:rsidR="006641B5" w:rsidRPr="006641B5" w:rsidRDefault="006641B5" w:rsidP="006641B5">
            <w:pPr>
              <w:rPr>
                <w:rFonts w:eastAsia="Calibri"/>
              </w:rPr>
            </w:pPr>
            <w:r w:rsidRPr="006641B5">
              <w:rPr>
                <w:rFonts w:eastAsia="Calibri"/>
              </w:rPr>
              <w:t xml:space="preserve">Jednocześnie na podstawie </w:t>
            </w:r>
            <w:proofErr w:type="spellStart"/>
            <w:r w:rsidRPr="006641B5">
              <w:rPr>
                <w:rFonts w:eastAsia="Calibri"/>
              </w:rPr>
              <w:t>ryzyk</w:t>
            </w:r>
            <w:proofErr w:type="spellEnd"/>
            <w:r w:rsidRPr="006641B5">
              <w:rPr>
                <w:rFonts w:eastAsia="Calibri"/>
              </w:rPr>
              <w:t xml:space="preserve"> związanych z realizacją tego typu projektów określono wskaźnik kompensacji: </w:t>
            </w:r>
          </w:p>
          <w:p w14:paraId="4036EB1B" w14:textId="77777777" w:rsidR="006641B5" w:rsidRPr="006641B5" w:rsidRDefault="006641B5" w:rsidP="006641B5">
            <w:pPr>
              <w:rPr>
                <w:rFonts w:eastAsia="Calibri"/>
              </w:rPr>
            </w:pPr>
            <w:r w:rsidRPr="006641B5">
              <w:rPr>
                <w:rFonts w:eastAsia="Calibri"/>
              </w:rPr>
              <w:t>R: [(6*25)+(2*68)]/8 = 35,8%</w:t>
            </w:r>
          </w:p>
          <w:p w14:paraId="15E641F4" w14:textId="77777777" w:rsidR="006641B5" w:rsidRPr="006641B5" w:rsidRDefault="006641B5" w:rsidP="006641B5">
            <w:pPr>
              <w:rPr>
                <w:rFonts w:eastAsia="Calibri"/>
              </w:rPr>
            </w:pPr>
            <w:r w:rsidRPr="006641B5">
              <w:rPr>
                <w:rFonts w:eastAsia="Calibri"/>
              </w:rPr>
              <w:t>Wyliczenie:</w:t>
            </w:r>
          </w:p>
          <w:p w14:paraId="3D7CEAA2" w14:textId="77777777" w:rsidR="006641B5" w:rsidRPr="006641B5" w:rsidRDefault="006641B5" w:rsidP="006641B5">
            <w:pPr>
              <w:rPr>
                <w:rFonts w:eastAsia="Calibri"/>
              </w:rPr>
            </w:pPr>
            <w:r w:rsidRPr="006641B5">
              <w:rPr>
                <w:rFonts w:eastAsia="Calibri"/>
              </w:rPr>
              <w:t>402 275</w:t>
            </w:r>
            <w:r w:rsidRPr="006641B5" w:rsidDel="002B2F0A">
              <w:rPr>
                <w:rFonts w:eastAsia="Calibri"/>
              </w:rPr>
              <w:t xml:space="preserve"> </w:t>
            </w:r>
            <w:r w:rsidRPr="006641B5">
              <w:rPr>
                <w:rFonts w:eastAsia="Calibri"/>
              </w:rPr>
              <w:t>* (1-0,358) = 258 261 użytkowników/rok</w:t>
            </w:r>
          </w:p>
          <w:p w14:paraId="7C421D24" w14:textId="77777777" w:rsidR="006641B5" w:rsidRPr="006641B5" w:rsidRDefault="006641B5" w:rsidP="006641B5">
            <w:pPr>
              <w:spacing w:before="60" w:after="60" w:line="240" w:lineRule="auto"/>
              <w:jc w:val="both"/>
              <w:rPr>
                <w:rFonts w:eastAsia="Calibri"/>
              </w:rPr>
            </w:pPr>
            <w:r w:rsidRPr="006641B5">
              <w:rPr>
                <w:rFonts w:eastAsia="Calibri"/>
              </w:rPr>
              <w:t>Należy zwrócić szczególną uwagę na następujące czynniki ryzyka, które mogą mieć wpływ na poziom osiągnięcia założonej wartości docelowej:</w:t>
            </w:r>
          </w:p>
          <w:p w14:paraId="0F64FB8C" w14:textId="77777777" w:rsidR="006641B5" w:rsidRPr="006641B5" w:rsidRDefault="006641B5" w:rsidP="006641B5">
            <w:pPr>
              <w:spacing w:before="60" w:after="60" w:line="240" w:lineRule="auto"/>
              <w:jc w:val="both"/>
              <w:rPr>
                <w:rFonts w:eastAsia="Calibri"/>
              </w:rPr>
            </w:pPr>
            <w:r w:rsidRPr="006641B5">
              <w:rPr>
                <w:rFonts w:eastAsia="Calibri"/>
                <w:b/>
              </w:rPr>
              <w:t xml:space="preserve">• ryzyko wzrostu cen </w:t>
            </w:r>
            <w:r w:rsidRPr="006641B5">
              <w:rPr>
                <w:rFonts w:eastAsia="Calibri"/>
              </w:rPr>
              <w:t>- ryzyko związane ze wzrostem cen gazu, energii, materiałów, sprzętu i usług; ryzyko związane z poziomem inflacji (istotność: poważna)</w:t>
            </w:r>
          </w:p>
          <w:p w14:paraId="3012DAF0" w14:textId="77777777" w:rsidR="006641B5" w:rsidRPr="006641B5" w:rsidRDefault="006641B5" w:rsidP="006641B5">
            <w:pPr>
              <w:spacing w:before="60" w:after="60" w:line="240" w:lineRule="auto"/>
              <w:jc w:val="both"/>
              <w:rPr>
                <w:rFonts w:eastAsia="Calibri"/>
              </w:rPr>
            </w:pPr>
            <w:r w:rsidRPr="006641B5">
              <w:rPr>
                <w:rFonts w:eastAsia="Calibri"/>
                <w:b/>
              </w:rPr>
              <w:t>• ryzyko walutowe</w:t>
            </w:r>
            <w:r w:rsidRPr="006641B5">
              <w:rPr>
                <w:rFonts w:eastAsia="Calibr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5E66020D" w14:textId="77777777" w:rsidR="006641B5" w:rsidRPr="006641B5" w:rsidRDefault="006641B5" w:rsidP="006641B5">
            <w:pPr>
              <w:spacing w:before="60" w:after="60" w:line="240" w:lineRule="auto"/>
              <w:jc w:val="both"/>
              <w:rPr>
                <w:rFonts w:eastAsia="Calibri"/>
              </w:rPr>
            </w:pPr>
            <w:r w:rsidRPr="006641B5">
              <w:rPr>
                <w:rFonts w:eastAsia="Calibri"/>
                <w:b/>
              </w:rPr>
              <w:t>• zawieszenie płatności przez KE dla danej osi priorytetowej</w:t>
            </w:r>
            <w:r w:rsidRPr="006641B5">
              <w:rPr>
                <w:rFonts w:eastAsia="Calibri"/>
              </w:rPr>
              <w:t>; (istotność: umiarkowana)</w:t>
            </w:r>
          </w:p>
          <w:p w14:paraId="0A6996E6" w14:textId="77777777" w:rsidR="006641B5" w:rsidRPr="006641B5" w:rsidRDefault="006641B5" w:rsidP="006641B5">
            <w:pPr>
              <w:spacing w:before="60" w:after="60" w:line="240" w:lineRule="auto"/>
              <w:jc w:val="both"/>
              <w:rPr>
                <w:rFonts w:eastAsia="Calibri"/>
              </w:rPr>
            </w:pPr>
            <w:r w:rsidRPr="006641B5">
              <w:rPr>
                <w:rFonts w:eastAsia="Calibri"/>
                <w:b/>
              </w:rPr>
              <w:t>• wartości planowanych w Kontrakcie Programowym projektów</w:t>
            </w:r>
            <w:r w:rsidRPr="006641B5">
              <w:rPr>
                <w:rFonts w:eastAsia="Calibri"/>
              </w:rPr>
              <w:t xml:space="preserve"> – mogą ulec zmianie podczas doprecyzowania projektów np. pojawić się inne źródła finansowania; może także ulec zmianie zakres prac; (istotność: umiarkowana)</w:t>
            </w:r>
          </w:p>
          <w:p w14:paraId="0FCEB7CB" w14:textId="77777777" w:rsidR="006641B5" w:rsidRPr="006641B5" w:rsidRDefault="006641B5" w:rsidP="006641B5">
            <w:pPr>
              <w:spacing w:before="60" w:after="60" w:line="240" w:lineRule="auto"/>
              <w:jc w:val="both"/>
              <w:rPr>
                <w:rFonts w:eastAsia="Calibri"/>
              </w:rPr>
            </w:pPr>
            <w:r w:rsidRPr="006641B5">
              <w:rPr>
                <w:rFonts w:eastAsia="Calibri"/>
                <w:b/>
              </w:rPr>
              <w:t>• problemy z zabezpieczeniem</w:t>
            </w:r>
            <w:r w:rsidRPr="006641B5">
              <w:rPr>
                <w:rFonts w:eastAsia="Calibri"/>
              </w:rPr>
              <w:t xml:space="preserve"> </w:t>
            </w:r>
            <w:r w:rsidRPr="006641B5">
              <w:rPr>
                <w:rFonts w:eastAsia="Calibri"/>
                <w:b/>
              </w:rPr>
              <w:t>wkładu własnego wnioskodawcy</w:t>
            </w:r>
            <w:r w:rsidRPr="006641B5">
              <w:rPr>
                <w:rFonts w:eastAsia="Calibri"/>
              </w:rPr>
              <w:t>; (istotność: umiarkowana)</w:t>
            </w:r>
          </w:p>
          <w:p w14:paraId="086DB01B" w14:textId="77777777" w:rsidR="006641B5" w:rsidRPr="006641B5" w:rsidRDefault="006641B5" w:rsidP="006641B5">
            <w:pPr>
              <w:spacing w:before="60" w:after="60" w:line="240" w:lineRule="auto"/>
              <w:jc w:val="both"/>
              <w:rPr>
                <w:rFonts w:eastAsia="Calibri"/>
                <w:b/>
              </w:rPr>
            </w:pPr>
            <w:r w:rsidRPr="006641B5">
              <w:rPr>
                <w:rFonts w:eastAsia="Calibri"/>
                <w:b/>
              </w:rPr>
              <w:t xml:space="preserve">• opóźnienia, </w:t>
            </w:r>
            <w:r w:rsidRPr="006641B5">
              <w:rPr>
                <w:rFonts w:eastAsia="Calibri"/>
                <w:bCs/>
              </w:rPr>
              <w:t>bądź niewykonanie projektu związane trudnością w pozyskaniu sprzętu, aparatury medycznej w związku z ograniczeniem dostępu producentów do półproduktów ; (istotność: poważna)</w:t>
            </w:r>
          </w:p>
          <w:p w14:paraId="7309A89D" w14:textId="77777777" w:rsidR="006641B5" w:rsidRPr="006641B5" w:rsidRDefault="006641B5" w:rsidP="006641B5">
            <w:pPr>
              <w:spacing w:before="60" w:after="60" w:line="240" w:lineRule="auto"/>
              <w:jc w:val="both"/>
              <w:rPr>
                <w:rFonts w:eastAsia="Calibri"/>
                <w:b/>
              </w:rPr>
            </w:pPr>
            <w:r w:rsidRPr="006641B5">
              <w:rPr>
                <w:rFonts w:eastAsia="Calibri"/>
                <w:b/>
              </w:rPr>
              <w:t xml:space="preserve">• zmiany w uwarunkowaniach prawnych mające wpływ na planowanie i realizację projektu. </w:t>
            </w:r>
            <w:r w:rsidRPr="006641B5">
              <w:rPr>
                <w:rFonts w:eastAsia="Calibri"/>
                <w:bCs/>
              </w:rPr>
              <w:t>(istotność: umiarkowana)</w:t>
            </w:r>
          </w:p>
          <w:p w14:paraId="549680B3" w14:textId="77777777" w:rsidR="006641B5" w:rsidRPr="006641B5" w:rsidRDefault="006641B5" w:rsidP="006641B5">
            <w:pPr>
              <w:spacing w:before="60" w:after="60" w:line="240" w:lineRule="auto"/>
              <w:jc w:val="both"/>
              <w:rPr>
                <w:rFonts w:eastAsia="Calibri"/>
                <w:bCs/>
              </w:rPr>
            </w:pPr>
            <w:r w:rsidRPr="006641B5">
              <w:rPr>
                <w:rFonts w:eastAsia="Calibri"/>
                <w:b/>
              </w:rPr>
              <w:t xml:space="preserve">• wpływ pandemii koronawirusa SARS-CoV-2 </w:t>
            </w:r>
            <w:r w:rsidRPr="006641B5">
              <w:rPr>
                <w:rFonts w:eastAsia="Calibri"/>
                <w:bCs/>
              </w:rPr>
              <w:t>na funkcjonowanie służby zdrowia i świadczenie usług zdrowotnych, na potencjalne możliwości realizacji projektów, na zdolności inwestycyjne, zdolność administracyjną i kadrową. (istotność: umiarkowana).</w:t>
            </w:r>
          </w:p>
          <w:p w14:paraId="2CD441FF" w14:textId="77777777" w:rsidR="006641B5" w:rsidRPr="006641B5" w:rsidRDefault="006641B5" w:rsidP="006641B5">
            <w:pPr>
              <w:spacing w:before="60" w:after="60" w:line="240" w:lineRule="auto"/>
              <w:jc w:val="both"/>
              <w:rPr>
                <w:rFonts w:eastAsia="Calibri"/>
                <w:bCs/>
                <w:noProof/>
                <w:color w:val="FF0000"/>
                <w:sz w:val="16"/>
                <w:szCs w:val="16"/>
              </w:rPr>
            </w:pPr>
          </w:p>
          <w:p w14:paraId="65F4ADD9" w14:textId="77777777" w:rsidR="006641B5" w:rsidRPr="006641B5" w:rsidRDefault="006641B5" w:rsidP="006641B5">
            <w:pPr>
              <w:spacing w:before="60" w:after="60" w:line="240" w:lineRule="auto"/>
              <w:jc w:val="both"/>
              <w:rPr>
                <w:rFonts w:eastAsia="Calibri"/>
                <w:b/>
                <w:bCs/>
                <w:noProof/>
              </w:rPr>
            </w:pPr>
            <w:r w:rsidRPr="006641B5">
              <w:rPr>
                <w:rFonts w:eastAsia="Calibri"/>
                <w:b/>
                <w:bCs/>
                <w:noProof/>
              </w:rPr>
              <w:t>Uzasadnienie dla celu pośredniego:</w:t>
            </w:r>
          </w:p>
          <w:p w14:paraId="76BE5258" w14:textId="77777777" w:rsidR="006641B5" w:rsidRPr="006641B5" w:rsidRDefault="006641B5" w:rsidP="006641B5">
            <w:pPr>
              <w:spacing w:before="60" w:after="60" w:line="240" w:lineRule="auto"/>
              <w:jc w:val="both"/>
              <w:rPr>
                <w:rFonts w:eastAsia="Calibri"/>
                <w:b/>
                <w:bCs/>
                <w:noProof/>
              </w:rPr>
            </w:pPr>
            <w:r w:rsidRPr="006641B5">
              <w:rPr>
                <w:rFonts w:eastAsia="Calibri"/>
                <w:b/>
                <w:bCs/>
                <w:noProof/>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9a ), na podstawie Sprawozdania rocznego z 2021 r. - wskaźnik pn. Liczba wspartych podmiotów leczniczych dopiero w 2017 r. osiągnął wartość 1, co wobec wartości z wykonania na 2021 r. (58) stanowi 1,72%. </w:t>
            </w:r>
          </w:p>
          <w:p w14:paraId="7E69E51D" w14:textId="77777777" w:rsidR="006641B5" w:rsidRPr="006641B5" w:rsidRDefault="006641B5" w:rsidP="006641B5">
            <w:pPr>
              <w:spacing w:before="60" w:after="60" w:line="240" w:lineRule="auto"/>
              <w:jc w:val="both"/>
              <w:rPr>
                <w:rFonts w:eastAsia="Calibri"/>
                <w:b/>
                <w:bCs/>
                <w:noProof/>
                <w:color w:val="FF0000"/>
                <w:sz w:val="22"/>
                <w:szCs w:val="22"/>
              </w:rPr>
            </w:pPr>
            <w:r w:rsidRPr="006641B5">
              <w:rPr>
                <w:rFonts w:eastAsia="Calibri"/>
                <w:b/>
                <w:bCs/>
                <w:noProof/>
              </w:rPr>
              <w:t>Mając na uwadze, że 2017 r. był już czwartym rokiem wdrażania programu RPO WD 2014-2020, a rok 2024 będzie de facto dopiero drugim rokiem wdrażania FEDS, wartość pośrednią dla tego wskaźnika ustalono jako 0.</w:t>
            </w:r>
          </w:p>
        </w:tc>
      </w:tr>
    </w:tbl>
    <w:p w14:paraId="0DE4849E" w14:textId="7FD20B27" w:rsidR="006641B5" w:rsidRDefault="006641B5" w:rsidP="006641B5"/>
    <w:p w14:paraId="3802C8E9" w14:textId="77777777" w:rsidR="006641B5" w:rsidRPr="006641B5" w:rsidRDefault="006641B5" w:rsidP="006641B5"/>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4ADF4356" w14:textId="77777777" w:rsidTr="00552832">
        <w:trPr>
          <w:cantSplit/>
          <w:trHeight w:val="1647"/>
        </w:trPr>
        <w:tc>
          <w:tcPr>
            <w:tcW w:w="451" w:type="pct"/>
            <w:vAlign w:val="center"/>
          </w:tcPr>
          <w:p w14:paraId="7709DEBE"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CP 4</w:t>
            </w:r>
          </w:p>
          <w:p w14:paraId="50B30AD8" w14:textId="6603B586" w:rsidR="001D1C32" w:rsidRPr="003A6407" w:rsidRDefault="001D1C32" w:rsidP="00552832">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7FB3E8FD"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33FE4106"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3C115A9F" w14:textId="77777777" w:rsidR="001D1C32" w:rsidRPr="003A6407" w:rsidRDefault="001D1C32" w:rsidP="00552832">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00CE5EA1" w14:textId="3757B7C3" w:rsidR="001D1C32" w:rsidRPr="003A6407" w:rsidRDefault="001D1C32" w:rsidP="00552832">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08110A4D"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10C4EE37"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Cel pośredni (2024)</w:t>
            </w:r>
          </w:p>
          <w:p w14:paraId="6DF36279" w14:textId="77777777" w:rsidR="001D1C32" w:rsidRPr="003A6407" w:rsidRDefault="001D1C32" w:rsidP="00552832">
            <w:pPr>
              <w:spacing w:before="120" w:after="120" w:line="240" w:lineRule="auto"/>
              <w:jc w:val="center"/>
              <w:rPr>
                <w:b/>
                <w:noProof/>
                <w:sz w:val="16"/>
                <w:szCs w:val="16"/>
              </w:rPr>
            </w:pPr>
          </w:p>
        </w:tc>
        <w:tc>
          <w:tcPr>
            <w:tcW w:w="550" w:type="pct"/>
            <w:shd w:val="clear" w:color="auto" w:fill="auto"/>
            <w:vAlign w:val="center"/>
          </w:tcPr>
          <w:p w14:paraId="2D159DC7"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Cel (2029)</w:t>
            </w:r>
          </w:p>
          <w:p w14:paraId="3152A70C" w14:textId="77777777" w:rsidR="001D1C32" w:rsidRPr="003A6407" w:rsidRDefault="001D1C32" w:rsidP="00552832">
            <w:pPr>
              <w:spacing w:before="120" w:after="120" w:line="240" w:lineRule="auto"/>
              <w:jc w:val="center"/>
              <w:rPr>
                <w:b/>
                <w:noProof/>
                <w:sz w:val="16"/>
                <w:szCs w:val="16"/>
              </w:rPr>
            </w:pPr>
          </w:p>
        </w:tc>
      </w:tr>
      <w:tr w:rsidR="001D1C32" w:rsidRPr="003A6407" w14:paraId="29F97EC7" w14:textId="77777777" w:rsidTr="00552832">
        <w:trPr>
          <w:trHeight w:val="340"/>
        </w:trPr>
        <w:tc>
          <w:tcPr>
            <w:tcW w:w="451" w:type="pct"/>
            <w:vAlign w:val="center"/>
          </w:tcPr>
          <w:p w14:paraId="02AD667A" w14:textId="77777777" w:rsidR="001D1C32" w:rsidRDefault="001D1C32" w:rsidP="00552832">
            <w:pPr>
              <w:spacing w:before="120" w:after="120" w:line="240" w:lineRule="auto"/>
              <w:jc w:val="center"/>
              <w:rPr>
                <w:noProof/>
                <w:sz w:val="16"/>
                <w:szCs w:val="16"/>
              </w:rPr>
            </w:pPr>
            <w:r w:rsidRPr="003A6407">
              <w:rPr>
                <w:noProof/>
                <w:sz w:val="16"/>
                <w:szCs w:val="16"/>
              </w:rPr>
              <w:t>4 (v)</w:t>
            </w:r>
          </w:p>
          <w:p w14:paraId="72271B1F" w14:textId="37F22E4D" w:rsidR="001C6669" w:rsidRPr="003A6407" w:rsidRDefault="001C6669" w:rsidP="00552832">
            <w:pPr>
              <w:spacing w:before="120" w:after="120" w:line="240" w:lineRule="auto"/>
              <w:jc w:val="center"/>
              <w:rPr>
                <w:noProof/>
                <w:sz w:val="16"/>
                <w:szCs w:val="16"/>
              </w:rPr>
            </w:pPr>
            <w:r>
              <w:rPr>
                <w:noProof/>
                <w:sz w:val="16"/>
                <w:szCs w:val="16"/>
              </w:rPr>
              <w:t>4.5</w:t>
            </w:r>
          </w:p>
        </w:tc>
        <w:tc>
          <w:tcPr>
            <w:tcW w:w="494" w:type="pct"/>
            <w:vAlign w:val="center"/>
          </w:tcPr>
          <w:p w14:paraId="61486F24" w14:textId="77777777" w:rsidR="001D1C32" w:rsidRPr="003A6407" w:rsidRDefault="001D1C32" w:rsidP="00552832">
            <w:pPr>
              <w:spacing w:before="120" w:after="120" w:line="240" w:lineRule="auto"/>
              <w:jc w:val="center"/>
              <w:rPr>
                <w:noProof/>
                <w:sz w:val="16"/>
                <w:szCs w:val="16"/>
              </w:rPr>
            </w:pPr>
            <w:r w:rsidRPr="003A6407">
              <w:rPr>
                <w:noProof/>
                <w:sz w:val="16"/>
                <w:szCs w:val="16"/>
              </w:rPr>
              <w:t>EFRR</w:t>
            </w:r>
          </w:p>
        </w:tc>
        <w:tc>
          <w:tcPr>
            <w:tcW w:w="558" w:type="pct"/>
            <w:vAlign w:val="center"/>
          </w:tcPr>
          <w:p w14:paraId="32DCB416" w14:textId="77777777" w:rsidR="001D1C32" w:rsidRPr="003A6407" w:rsidRDefault="001D1C32" w:rsidP="00552832">
            <w:pPr>
              <w:spacing w:before="120" w:after="120" w:line="240" w:lineRule="auto"/>
              <w:jc w:val="center"/>
              <w:rPr>
                <w:noProof/>
                <w:sz w:val="16"/>
                <w:szCs w:val="16"/>
              </w:rPr>
            </w:pPr>
            <w:r w:rsidRPr="003A6407">
              <w:rPr>
                <w:noProof/>
                <w:sz w:val="16"/>
                <w:szCs w:val="16"/>
              </w:rPr>
              <w:t>przejściowy</w:t>
            </w:r>
          </w:p>
        </w:tc>
        <w:tc>
          <w:tcPr>
            <w:tcW w:w="360" w:type="pct"/>
            <w:vAlign w:val="center"/>
          </w:tcPr>
          <w:p w14:paraId="57F57B12" w14:textId="77777777" w:rsidR="001D1C32" w:rsidRPr="003A6407" w:rsidRDefault="001D1C32" w:rsidP="00552832">
            <w:pPr>
              <w:spacing w:before="120" w:after="120" w:line="240" w:lineRule="auto"/>
              <w:jc w:val="center"/>
              <w:rPr>
                <w:noProof/>
                <w:sz w:val="16"/>
                <w:szCs w:val="16"/>
              </w:rPr>
            </w:pPr>
            <w:r w:rsidRPr="003A6407">
              <w:rPr>
                <w:noProof/>
                <w:sz w:val="16"/>
                <w:szCs w:val="16"/>
              </w:rPr>
              <w:t>PLRO133</w:t>
            </w:r>
          </w:p>
        </w:tc>
        <w:tc>
          <w:tcPr>
            <w:tcW w:w="1411" w:type="pct"/>
            <w:shd w:val="clear" w:color="auto" w:fill="auto"/>
            <w:vAlign w:val="center"/>
          </w:tcPr>
          <w:p w14:paraId="7F7F3B86" w14:textId="5D977B7D" w:rsidR="001D1C32" w:rsidRPr="003A6407" w:rsidRDefault="001D1C32" w:rsidP="00552832">
            <w:pPr>
              <w:keepNext/>
              <w:keepLines/>
              <w:spacing w:before="200" w:after="0"/>
              <w:jc w:val="center"/>
              <w:outlineLvl w:val="2"/>
              <w:rPr>
                <w:rFonts w:eastAsiaTheme="majorEastAsia" w:cstheme="majorBidi"/>
                <w:b/>
                <w:bCs/>
                <w:noProof/>
                <w:sz w:val="16"/>
                <w:szCs w:val="16"/>
              </w:rPr>
            </w:pPr>
            <w:bookmarkStart w:id="200" w:name="_Toc97013481"/>
            <w:bookmarkStart w:id="201" w:name="_Toc120464433"/>
            <w:r w:rsidRPr="003A6407">
              <w:rPr>
                <w:rFonts w:asciiTheme="minorHAnsi" w:eastAsia="Times New Roman" w:hAnsiTheme="minorHAnsi" w:cstheme="minorHAnsi"/>
                <w:bCs/>
                <w:noProof/>
                <w:sz w:val="16"/>
                <w:szCs w:val="16"/>
              </w:rPr>
              <w:t xml:space="preserve">Liczba wspartych podmiotów </w:t>
            </w:r>
            <w:r w:rsidR="00986EF5" w:rsidRPr="00986EF5">
              <w:rPr>
                <w:rFonts w:asciiTheme="minorHAnsi" w:eastAsia="Times New Roman" w:hAnsiTheme="minorHAnsi" w:cstheme="minorHAnsi"/>
                <w:bCs/>
                <w:noProof/>
                <w:sz w:val="16"/>
                <w:szCs w:val="16"/>
              </w:rPr>
              <w:t>wykonujących działalność leczniczą</w:t>
            </w:r>
            <w:bookmarkEnd w:id="200"/>
            <w:bookmarkEnd w:id="201"/>
          </w:p>
        </w:tc>
        <w:tc>
          <w:tcPr>
            <w:tcW w:w="549" w:type="pct"/>
            <w:vAlign w:val="center"/>
          </w:tcPr>
          <w:p w14:paraId="4F1B89A7" w14:textId="77777777" w:rsidR="001D1C32" w:rsidRPr="003A6407" w:rsidRDefault="001D1C32" w:rsidP="00552832">
            <w:pPr>
              <w:spacing w:before="120" w:after="120" w:line="240" w:lineRule="auto"/>
              <w:jc w:val="center"/>
              <w:rPr>
                <w:noProof/>
                <w:sz w:val="16"/>
                <w:szCs w:val="16"/>
              </w:rPr>
            </w:pPr>
            <w:r w:rsidRPr="003A6407">
              <w:rPr>
                <w:noProof/>
                <w:sz w:val="16"/>
                <w:szCs w:val="16"/>
              </w:rPr>
              <w:t>szt</w:t>
            </w:r>
          </w:p>
        </w:tc>
        <w:tc>
          <w:tcPr>
            <w:tcW w:w="627" w:type="pct"/>
            <w:shd w:val="clear" w:color="auto" w:fill="auto"/>
            <w:vAlign w:val="center"/>
          </w:tcPr>
          <w:p w14:paraId="6E7C9CD0" w14:textId="21F9C883" w:rsidR="001D1C32" w:rsidRPr="003A6407" w:rsidRDefault="009E03DD" w:rsidP="00552832">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3D98CCE7" w14:textId="65A54ED4" w:rsidR="001D1C32" w:rsidRPr="003A6407" w:rsidRDefault="00774D23" w:rsidP="00552832">
            <w:pPr>
              <w:spacing w:before="120" w:after="120" w:line="240" w:lineRule="auto"/>
              <w:jc w:val="center"/>
              <w:rPr>
                <w:noProof/>
                <w:sz w:val="16"/>
                <w:szCs w:val="16"/>
              </w:rPr>
            </w:pPr>
            <w:r>
              <w:rPr>
                <w:noProof/>
                <w:sz w:val="16"/>
                <w:szCs w:val="16"/>
              </w:rPr>
              <w:t>78</w:t>
            </w:r>
            <w:r w:rsidR="00552832" w:rsidRPr="003A6407">
              <w:rPr>
                <w:noProof/>
                <w:sz w:val="16"/>
                <w:szCs w:val="16"/>
              </w:rPr>
              <w:t>,00</w:t>
            </w:r>
          </w:p>
        </w:tc>
      </w:tr>
      <w:tr w:rsidR="001D1C32" w:rsidRPr="003A6407" w14:paraId="39D9C2CD" w14:textId="77777777" w:rsidTr="002B58A1">
        <w:trPr>
          <w:trHeight w:val="340"/>
        </w:trPr>
        <w:tc>
          <w:tcPr>
            <w:tcW w:w="5000" w:type="pct"/>
            <w:gridSpan w:val="8"/>
          </w:tcPr>
          <w:p w14:paraId="63816F5C" w14:textId="77777777" w:rsidR="001D1C32" w:rsidRPr="003A6407" w:rsidRDefault="001D1C32" w:rsidP="009368FA">
            <w:pPr>
              <w:spacing w:before="60" w:after="60" w:line="240" w:lineRule="auto"/>
              <w:jc w:val="both"/>
            </w:pPr>
            <w:r w:rsidRPr="003A6407">
              <w:t>Metodologia:</w:t>
            </w:r>
          </w:p>
          <w:p w14:paraId="7799F8CE" w14:textId="77777777" w:rsidR="001D1C32" w:rsidRPr="003A6407" w:rsidRDefault="001D1C32" w:rsidP="009368FA">
            <w:pPr>
              <w:spacing w:before="60" w:after="60" w:line="240" w:lineRule="auto"/>
              <w:jc w:val="both"/>
            </w:pPr>
            <w:r w:rsidRPr="003A6407">
              <w:t xml:space="preserve">Wskaźnik realizuje kod interwencji: </w:t>
            </w:r>
          </w:p>
          <w:p w14:paraId="68EAF59D" w14:textId="1E784622" w:rsidR="001D1C32" w:rsidRPr="003A6407" w:rsidRDefault="001D1C32">
            <w:pPr>
              <w:numPr>
                <w:ilvl w:val="0"/>
                <w:numId w:val="65"/>
              </w:numPr>
              <w:spacing w:before="60" w:after="60" w:line="240" w:lineRule="auto"/>
              <w:contextualSpacing/>
              <w:jc w:val="both"/>
            </w:pPr>
            <w:r w:rsidRPr="003A6407">
              <w:t>128 Infrastruktura zdrowotna (</w:t>
            </w:r>
            <w:r w:rsidR="00051402" w:rsidRPr="003A6407">
              <w:t>35 000</w:t>
            </w:r>
            <w:r w:rsidR="004526BC" w:rsidRPr="003A6407">
              <w:t xml:space="preserve"> 000,00</w:t>
            </w:r>
            <w:r w:rsidR="004526BC" w:rsidRPr="003A6407" w:rsidDel="004526BC">
              <w:t xml:space="preserve"> </w:t>
            </w:r>
            <w:r w:rsidRPr="003A6407">
              <w:t>EUR)</w:t>
            </w:r>
          </w:p>
          <w:p w14:paraId="18DD6EC4" w14:textId="07275003" w:rsidR="001D1C32" w:rsidRPr="003A6407" w:rsidRDefault="001D1C32">
            <w:pPr>
              <w:numPr>
                <w:ilvl w:val="0"/>
                <w:numId w:val="65"/>
              </w:numPr>
              <w:spacing w:before="60" w:after="60" w:line="240" w:lineRule="auto"/>
              <w:contextualSpacing/>
              <w:jc w:val="both"/>
            </w:pPr>
            <w:r w:rsidRPr="003A6407">
              <w:t xml:space="preserve">129 Wyposażenie opieki zdrowotnej </w:t>
            </w:r>
            <w:r w:rsidR="00C54195" w:rsidRPr="003A6407">
              <w:t>(</w:t>
            </w:r>
            <w:r w:rsidR="00051402" w:rsidRPr="003A6407">
              <w:t>46 110 607</w:t>
            </w:r>
            <w:r w:rsidR="004526BC" w:rsidRPr="003A6407">
              <w:t>,00</w:t>
            </w:r>
            <w:r w:rsidR="004526BC" w:rsidRPr="003A6407" w:rsidDel="004526BC">
              <w:t xml:space="preserve"> </w:t>
            </w:r>
            <w:r w:rsidRPr="003A6407">
              <w:t>EUR)</w:t>
            </w:r>
          </w:p>
          <w:p w14:paraId="01EF09CF" w14:textId="77777777" w:rsidR="001D1C32" w:rsidRPr="003A6407" w:rsidRDefault="001D1C32" w:rsidP="009368FA">
            <w:pPr>
              <w:spacing w:before="60" w:after="60" w:line="240" w:lineRule="auto"/>
              <w:ind w:left="720"/>
              <w:contextualSpacing/>
              <w:jc w:val="both"/>
            </w:pPr>
          </w:p>
          <w:p w14:paraId="4A57EAF1" w14:textId="77777777" w:rsidR="001D1C32" w:rsidRPr="003A6407" w:rsidRDefault="001D1C32" w:rsidP="009368FA">
            <w:pPr>
              <w:spacing w:before="60" w:after="60" w:line="240" w:lineRule="auto"/>
              <w:jc w:val="both"/>
            </w:pPr>
            <w:r w:rsidRPr="003A6407">
              <w:t>Suma alokacji przeznaczonej na realizację wskaźnika wynosi 81 110 607,0 EUR.</w:t>
            </w:r>
          </w:p>
          <w:p w14:paraId="12493962" w14:textId="4B39F96D" w:rsidR="007A3085" w:rsidRPr="003A6407" w:rsidRDefault="007A3085" w:rsidP="009368FA">
            <w:pPr>
              <w:spacing w:before="60" w:after="60" w:line="240" w:lineRule="auto"/>
              <w:jc w:val="both"/>
            </w:pPr>
            <w:r w:rsidRPr="003A6407">
              <w:t>W obszarze</w:t>
            </w:r>
            <w:r w:rsidR="00F417F4" w:rsidRPr="003A6407">
              <w:t xml:space="preserve"> działań z zakresu wsparcia infrastruktury zdrowotnej 100% </w:t>
            </w:r>
            <w:r w:rsidRPr="003A6407">
              <w:t xml:space="preserve">z </w:t>
            </w:r>
            <w:r w:rsidR="00F417F4" w:rsidRPr="003A6407">
              <w:t xml:space="preserve">alokacji kodu 128 przeznacza się na </w:t>
            </w:r>
            <w:r w:rsidRPr="003A6407">
              <w:t>roboty budowlane i wyposażenie 2 Centrów Zdrowia Psychicznego</w:t>
            </w:r>
            <w:r w:rsidR="00F417F4" w:rsidRPr="003A6407">
              <w:t xml:space="preserve"> </w:t>
            </w:r>
            <w:r w:rsidR="00DF2C64" w:rsidRPr="003A6407">
              <w:t>(CZP)</w:t>
            </w:r>
          </w:p>
          <w:p w14:paraId="61805DB2" w14:textId="11CE0F75" w:rsidR="00BF2134" w:rsidRPr="003A6407" w:rsidRDefault="008177FD" w:rsidP="009368FA">
            <w:pPr>
              <w:spacing w:before="60" w:after="60" w:line="240" w:lineRule="auto"/>
              <w:jc w:val="both"/>
            </w:pPr>
            <w:r w:rsidRPr="003A6407">
              <w:t>W ramach alokacji kodu</w:t>
            </w:r>
            <w:r w:rsidR="00BF2134" w:rsidRPr="003A6407">
              <w:t xml:space="preserve"> </w:t>
            </w:r>
            <w:r w:rsidRPr="003A6407">
              <w:t xml:space="preserve">129 </w:t>
            </w:r>
            <w:r w:rsidR="00BF2134" w:rsidRPr="003A6407">
              <w:t xml:space="preserve">kwotę </w:t>
            </w:r>
            <w:r w:rsidR="001E2F3F" w:rsidRPr="003A6407">
              <w:t>26 250 000 EUR</w:t>
            </w:r>
            <w:r w:rsidR="00BF2134" w:rsidRPr="003A6407">
              <w:t xml:space="preserve"> przeznacza się na zakup </w:t>
            </w:r>
            <w:r w:rsidR="00986EF5">
              <w:t xml:space="preserve">wyposażenia na potrzeby ambulatoryjnej opieki medycznej oraz lecznictwa jednodniowego w ramach </w:t>
            </w:r>
            <w:proofErr w:type="spellStart"/>
            <w:r w:rsidR="00986EF5">
              <w:t>DCOPiH</w:t>
            </w:r>
            <w:proofErr w:type="spellEnd"/>
            <w:r w:rsidR="00986EF5">
              <w:t xml:space="preserve"> we Wrocławiu</w:t>
            </w:r>
            <w:r w:rsidR="00DF2C64" w:rsidRPr="003A6407">
              <w:t>, natomiast</w:t>
            </w:r>
            <w:r w:rsidR="00986EF5">
              <w:t xml:space="preserve"> pozostałą</w:t>
            </w:r>
            <w:r w:rsidR="00DF2C64" w:rsidRPr="003A6407">
              <w:t xml:space="preserve"> kwotę 19 860 607 EUR na pozostałe działania w zakresie wyposażenia placówek w sprzęt medyczny</w:t>
            </w:r>
            <w:r w:rsidR="00986EF5">
              <w:t xml:space="preserve"> (AOS i POZ)</w:t>
            </w:r>
            <w:r w:rsidR="00DF2C64" w:rsidRPr="003A6407">
              <w:t>.</w:t>
            </w:r>
          </w:p>
          <w:p w14:paraId="18EC4697" w14:textId="2933B952" w:rsidR="00DF2C64" w:rsidRPr="003A6407" w:rsidRDefault="00DF2C64" w:rsidP="009368FA">
            <w:pPr>
              <w:spacing w:before="60" w:after="60" w:line="240" w:lineRule="auto"/>
              <w:jc w:val="both"/>
            </w:pPr>
            <w:r w:rsidRPr="003A6407">
              <w:t>Biorąc pod uwagę kurs</w:t>
            </w:r>
            <w:r w:rsidR="001E2F3F" w:rsidRPr="003A6407">
              <w:t xml:space="preserve"> EUR na poziomie 4,45 PLN na pozostałe działania przeznacza się kwotę 88 379 701,15 PLN</w:t>
            </w:r>
            <w:r w:rsidR="00774D23">
              <w:t xml:space="preserve">, </w:t>
            </w:r>
            <w:r w:rsidR="00774D23" w:rsidRPr="00774D23">
              <w:t>uwzględniając podział po 50% kwoty, tj. 44 189 850,575 PLN na działania z zakresu wsparcia AOS oraz na działania z zakresu wsparcia POZ</w:t>
            </w:r>
            <w:r w:rsidR="00774D23">
              <w:t>.</w:t>
            </w:r>
          </w:p>
          <w:p w14:paraId="7A2F61BC" w14:textId="40595302" w:rsidR="00774D23" w:rsidRDefault="00774D23" w:rsidP="009368FA">
            <w:pPr>
              <w:spacing w:before="60" w:after="60" w:line="240" w:lineRule="auto"/>
              <w:jc w:val="both"/>
            </w:pPr>
            <w:r w:rsidRPr="00774D23">
              <w:t xml:space="preserve">Wyliczając wartość docelową wskaźnika dla AOS przyjmuje się </w:t>
            </w:r>
            <w:r>
              <w:t>h</w:t>
            </w:r>
            <w:r w:rsidR="00890D5A" w:rsidRPr="003A6407">
              <w:t>istoryczny koszt jednostkowy</w:t>
            </w:r>
            <w:r w:rsidR="008177FD" w:rsidRPr="003A6407">
              <w:t xml:space="preserve"> </w:t>
            </w:r>
            <w:r w:rsidR="00890D5A" w:rsidRPr="003A6407">
              <w:t xml:space="preserve"> oparty na bazie doświadczeń z perspektywy 2014-2020 w zakresie </w:t>
            </w:r>
            <w:r w:rsidR="008177FD" w:rsidRPr="003A6407">
              <w:t>działania 6.2 wynosi 2 251 196</w:t>
            </w:r>
            <w:r w:rsidR="008177FD" w:rsidRPr="003A6407" w:rsidDel="00F417F4">
              <w:t xml:space="preserve"> </w:t>
            </w:r>
            <w:r w:rsidR="008177FD" w:rsidRPr="003A6407">
              <w:t xml:space="preserve">PLN. </w:t>
            </w:r>
            <w:r w:rsidR="001E2F3F" w:rsidRPr="003A6407">
              <w:t xml:space="preserve">Koszt jednostkowy został skorygowany w oparciu o wartość inflacji na poziomie 15% i wynosi </w:t>
            </w:r>
            <w:r w:rsidR="00003461" w:rsidRPr="003A6407">
              <w:t>2 588 875,4</w:t>
            </w:r>
            <w:r w:rsidR="001E2F3F" w:rsidRPr="003A6407">
              <w:t xml:space="preserve"> PLN</w:t>
            </w:r>
            <w:r w:rsidR="00501E0F" w:rsidRPr="003A6407">
              <w:t xml:space="preserve">. </w:t>
            </w:r>
          </w:p>
          <w:p w14:paraId="5DF4D21D" w14:textId="1DFDAC2E" w:rsidR="00774D23" w:rsidRDefault="00774D23" w:rsidP="009368FA">
            <w:pPr>
              <w:spacing w:before="60" w:after="60" w:line="240" w:lineRule="auto"/>
              <w:jc w:val="both"/>
            </w:pPr>
            <w:r w:rsidRPr="00774D23">
              <w:t>Do wyliczenia wartości docelowej wskaźnika dla POZ przyjmuje się, że w ramach wsparcia realizowane będą projekty ryczałtowe. Koszt ryczałtowy przyjęto na poziomie 100 000 EUR, co po uwzględnieniu kursu EUR na poziomie 4,45 PLN daje 445 000 PLN.</w:t>
            </w:r>
          </w:p>
          <w:p w14:paraId="328483F8" w14:textId="77777777" w:rsidR="00774D23" w:rsidRDefault="00774D23" w:rsidP="009368FA">
            <w:pPr>
              <w:spacing w:before="60" w:after="60" w:line="240" w:lineRule="auto"/>
              <w:jc w:val="both"/>
            </w:pPr>
          </w:p>
          <w:p w14:paraId="43C67D83" w14:textId="142D8CF0" w:rsidR="00774D23" w:rsidRDefault="00501E0F" w:rsidP="009368FA">
            <w:pPr>
              <w:spacing w:before="60" w:after="60" w:line="240" w:lineRule="auto"/>
              <w:jc w:val="both"/>
            </w:pPr>
            <w:r w:rsidRPr="003A6407">
              <w:t xml:space="preserve">Na podstawie tych danych wyliczono wartość wskaźnika. </w:t>
            </w:r>
          </w:p>
          <w:p w14:paraId="3CACB494" w14:textId="38A0C3B0" w:rsidR="00501E0F" w:rsidRPr="003A6407" w:rsidRDefault="00501E0F" w:rsidP="009368FA">
            <w:pPr>
              <w:spacing w:before="60" w:after="60" w:line="240" w:lineRule="auto"/>
              <w:jc w:val="both"/>
            </w:pPr>
            <w:r w:rsidRPr="003A6407">
              <w:t xml:space="preserve">Jednocześnie na podstawie </w:t>
            </w:r>
            <w:proofErr w:type="spellStart"/>
            <w:r w:rsidRPr="003A6407">
              <w:t>ryzyk</w:t>
            </w:r>
            <w:proofErr w:type="spellEnd"/>
            <w:r w:rsidRPr="003A6407">
              <w:t xml:space="preserve"> związanych z realizacją tego typu projektów określono wskaźnik kompensacji: </w:t>
            </w:r>
            <w:r w:rsidR="00003461" w:rsidRPr="003A6407" w:rsidDel="00F417F4">
              <w:t xml:space="preserve"> </w:t>
            </w:r>
          </w:p>
          <w:p w14:paraId="6859B1CD" w14:textId="35593FCA" w:rsidR="001D1C32" w:rsidRPr="003A6407" w:rsidRDefault="001D1C32" w:rsidP="009368FA">
            <w:pPr>
              <w:spacing w:before="60" w:after="60" w:line="240" w:lineRule="auto"/>
              <w:jc w:val="both"/>
            </w:pPr>
            <w:r w:rsidRPr="003A6407">
              <w:t>R: [(6*25)+(2*68)]/8= 35,8%</w:t>
            </w:r>
          </w:p>
          <w:p w14:paraId="5406FDCE" w14:textId="3BF106CB" w:rsidR="001D1C32" w:rsidRPr="003A6407" w:rsidRDefault="001D1C32" w:rsidP="009368FA">
            <w:pPr>
              <w:spacing w:before="60" w:after="60" w:line="240" w:lineRule="auto"/>
              <w:jc w:val="both"/>
            </w:pPr>
          </w:p>
          <w:p w14:paraId="2B43BD1A" w14:textId="61019BF5" w:rsidR="001D1C32" w:rsidRPr="003A6407" w:rsidRDefault="001D1C32" w:rsidP="009368FA">
            <w:pPr>
              <w:spacing w:before="60" w:after="60" w:line="240" w:lineRule="auto"/>
              <w:jc w:val="both"/>
            </w:pPr>
            <w:r w:rsidRPr="003A6407">
              <w:t>Wyliczenie:</w:t>
            </w:r>
          </w:p>
          <w:p w14:paraId="36CA499B" w14:textId="48E7FA7C" w:rsidR="00D71455" w:rsidRDefault="00774D23" w:rsidP="009368FA">
            <w:pPr>
              <w:spacing w:before="60" w:after="60" w:line="240" w:lineRule="auto"/>
              <w:jc w:val="both"/>
            </w:pPr>
            <w:r>
              <w:t>44 189 850,575</w:t>
            </w:r>
            <w:r w:rsidR="00D71455" w:rsidRPr="003A6407">
              <w:t xml:space="preserve"> / </w:t>
            </w:r>
            <w:r w:rsidR="00E51BC0" w:rsidRPr="003A6407">
              <w:t xml:space="preserve">2 588 875,4 </w:t>
            </w:r>
            <w:r w:rsidR="00D71455" w:rsidRPr="003A6407">
              <w:t xml:space="preserve">*(1-0,358) = </w:t>
            </w:r>
            <w:r w:rsidR="00E51BC0" w:rsidRPr="003A6407">
              <w:t xml:space="preserve">ok. </w:t>
            </w:r>
            <w:r>
              <w:t>1</w:t>
            </w:r>
            <w:r w:rsidR="00E51BC0" w:rsidRPr="003A6407">
              <w:t>1</w:t>
            </w:r>
            <w:r w:rsidR="00E838DE" w:rsidRPr="003A6407">
              <w:t xml:space="preserve"> podmiot</w:t>
            </w:r>
            <w:r w:rsidR="00E51BC0" w:rsidRPr="003A6407">
              <w:t>ów</w:t>
            </w:r>
          </w:p>
          <w:p w14:paraId="1E88C24C" w14:textId="5FBA2519" w:rsidR="00774D23" w:rsidRDefault="00774D23" w:rsidP="009368FA">
            <w:pPr>
              <w:spacing w:before="60" w:after="60" w:line="240" w:lineRule="auto"/>
              <w:jc w:val="both"/>
            </w:pPr>
            <w:r>
              <w:t>44 189 850,575 / 445 000 * (1-0,358) = ok. 64 podmioty</w:t>
            </w:r>
          </w:p>
          <w:p w14:paraId="032E1CA8" w14:textId="52B04F25" w:rsidR="00774D23" w:rsidRPr="003A6407" w:rsidRDefault="00774D23" w:rsidP="009368FA">
            <w:pPr>
              <w:spacing w:before="60" w:after="60" w:line="240" w:lineRule="auto"/>
              <w:jc w:val="both"/>
            </w:pPr>
            <w:r>
              <w:t>Razem:</w:t>
            </w:r>
          </w:p>
          <w:p w14:paraId="66099AB0" w14:textId="74CAC694" w:rsidR="001D1C32" w:rsidRPr="003A6407" w:rsidRDefault="00D71455" w:rsidP="009368FA">
            <w:pPr>
              <w:spacing w:before="60" w:after="60" w:line="240" w:lineRule="auto"/>
              <w:jc w:val="both"/>
            </w:pPr>
            <w:r w:rsidRPr="003A6407">
              <w:t>2CZP +</w:t>
            </w:r>
            <w:proofErr w:type="spellStart"/>
            <w:r w:rsidR="00E838DE" w:rsidRPr="003A6407">
              <w:t>DCOPiH</w:t>
            </w:r>
            <w:proofErr w:type="spellEnd"/>
            <w:r w:rsidR="00E838DE" w:rsidRPr="003A6407">
              <w:t xml:space="preserve"> + </w:t>
            </w:r>
            <w:r w:rsidR="00774D23">
              <w:t>11 AOS + 64 POZ</w:t>
            </w:r>
            <w:r w:rsidR="00774D23" w:rsidRPr="003A6407">
              <w:t xml:space="preserve"> </w:t>
            </w:r>
            <w:r w:rsidR="00E838DE" w:rsidRPr="003A6407">
              <w:t xml:space="preserve">= </w:t>
            </w:r>
            <w:r w:rsidR="00774D23">
              <w:t>78</w:t>
            </w:r>
            <w:r w:rsidR="00E838DE" w:rsidRPr="003A6407">
              <w:t xml:space="preserve"> podmiot</w:t>
            </w:r>
            <w:r w:rsidR="00774D23">
              <w:t>ów</w:t>
            </w:r>
          </w:p>
          <w:p w14:paraId="19803632" w14:textId="77777777" w:rsidR="001D1C32" w:rsidRPr="003A6407" w:rsidRDefault="001D1C32" w:rsidP="009368FA">
            <w:pPr>
              <w:spacing w:before="60" w:after="60" w:line="240" w:lineRule="auto"/>
              <w:jc w:val="both"/>
            </w:pPr>
            <w:r w:rsidRPr="003A6407">
              <w:t>Należy zwrócić szczególną uwagę na następujące czynniki ryzyka, które mogą mieć wpływ na poziom osiągnięcia założonej wartości docelowej:</w:t>
            </w:r>
          </w:p>
          <w:p w14:paraId="66ABD0FD" w14:textId="77777777" w:rsidR="001D1C32" w:rsidRPr="003A6407" w:rsidRDefault="001D1C32" w:rsidP="009368FA">
            <w:pPr>
              <w:spacing w:before="60" w:after="60" w:line="240" w:lineRule="auto"/>
              <w:jc w:val="both"/>
            </w:pPr>
            <w:r w:rsidRPr="003A6407">
              <w:rPr>
                <w:b/>
              </w:rPr>
              <w:t xml:space="preserve">• </w:t>
            </w:r>
            <w:bookmarkStart w:id="202" w:name="_Hlk96439865"/>
            <w:r w:rsidRPr="003A6407">
              <w:rPr>
                <w:b/>
              </w:rPr>
              <w:t xml:space="preserve">ryzyko wzrostu cen </w:t>
            </w:r>
            <w:r w:rsidRPr="003A6407">
              <w:t>- ryzyko związane ze wzrostem cen gazu, energii, materiałów, sprzętu i usług; ryzyko związane z poziomem inflacji</w:t>
            </w:r>
            <w:bookmarkEnd w:id="202"/>
            <w:r w:rsidRPr="003A6407">
              <w:t xml:space="preserve"> (istotność: poważna)</w:t>
            </w:r>
          </w:p>
          <w:p w14:paraId="687D55EC" w14:textId="77777777" w:rsidR="001D1C32" w:rsidRPr="003A6407" w:rsidRDefault="001D1C32" w:rsidP="009368FA">
            <w:pPr>
              <w:spacing w:before="60" w:after="60" w:line="240" w:lineRule="auto"/>
              <w:jc w:val="both"/>
            </w:pPr>
            <w:r w:rsidRPr="003A6407">
              <w:rPr>
                <w:b/>
              </w:rPr>
              <w:t>• ryzyko walutowe</w:t>
            </w:r>
            <w:r w:rsidRPr="003A6407">
              <w:t xml:space="preserve"> - związane jest z wahaniem kursu euro. Powyższe może mieć duże znaczenie, ponieważ od tego zależy dostępność środków do wykorzystania w ramach planowanej interwencji. Wiąże się to ściśle </w:t>
            </w:r>
            <w:r w:rsidRPr="003A6407">
              <w:lastRenderedPageBreak/>
              <w:t>z globalną sytuacją społeczno-gospodarczą, która ma znaczący wpływ na kursy walut; (istotność: umiarkowana)</w:t>
            </w:r>
          </w:p>
          <w:p w14:paraId="2B561AAC" w14:textId="77777777" w:rsidR="001D1C32" w:rsidRPr="003A6407" w:rsidRDefault="001D1C32" w:rsidP="009368FA">
            <w:pPr>
              <w:spacing w:before="60" w:after="60" w:line="240" w:lineRule="auto"/>
              <w:jc w:val="both"/>
            </w:pPr>
            <w:r w:rsidRPr="003A6407">
              <w:rPr>
                <w:b/>
              </w:rPr>
              <w:t>• zawieszenie płatności przez KE dla danej osi priorytetowej</w:t>
            </w:r>
            <w:r w:rsidRPr="003A6407">
              <w:t>; (istotność: umiarkowana)</w:t>
            </w:r>
          </w:p>
          <w:p w14:paraId="214A0D75" w14:textId="77777777" w:rsidR="001D1C32" w:rsidRPr="003A6407" w:rsidRDefault="001D1C32" w:rsidP="009368FA">
            <w:pPr>
              <w:spacing w:before="60" w:after="60" w:line="240" w:lineRule="auto"/>
              <w:jc w:val="both"/>
            </w:pPr>
            <w:r w:rsidRPr="003A6407">
              <w:rPr>
                <w:b/>
              </w:rPr>
              <w:t>• wartości planowanych w Kontrakcie Programowym projektów</w:t>
            </w:r>
            <w:r w:rsidRPr="003A6407">
              <w:t xml:space="preserve"> – mogą ulec zmianie podczas doprecyzowania projektów np. pojawić się inne źródła finansowania; może także ulec zmianie zakres prac; (istotność: umiarkowana)</w:t>
            </w:r>
          </w:p>
          <w:p w14:paraId="30F2F43B" w14:textId="77777777" w:rsidR="001D1C32" w:rsidRPr="003A6407" w:rsidRDefault="001D1C32" w:rsidP="009368FA">
            <w:pPr>
              <w:spacing w:before="60" w:after="60" w:line="240" w:lineRule="auto"/>
              <w:jc w:val="both"/>
            </w:pPr>
            <w:r w:rsidRPr="003A6407">
              <w:rPr>
                <w:b/>
              </w:rPr>
              <w:t>• problemy z zabezpieczeniem</w:t>
            </w:r>
            <w:r w:rsidRPr="003A6407">
              <w:t xml:space="preserve"> </w:t>
            </w:r>
            <w:r w:rsidRPr="003A6407">
              <w:rPr>
                <w:b/>
              </w:rPr>
              <w:t>wkładu własnego wnioskodawcy</w:t>
            </w:r>
            <w:r w:rsidRPr="003A6407">
              <w:t>; (istotność: umiarkowana)</w:t>
            </w:r>
          </w:p>
          <w:p w14:paraId="73905425" w14:textId="77777777" w:rsidR="001D1C32" w:rsidRPr="003A6407" w:rsidRDefault="001D1C32" w:rsidP="009368FA">
            <w:pPr>
              <w:spacing w:before="60" w:after="60" w:line="240" w:lineRule="auto"/>
              <w:jc w:val="both"/>
              <w:rPr>
                <w:b/>
              </w:rPr>
            </w:pPr>
            <w:r w:rsidRPr="003A6407">
              <w:rPr>
                <w:b/>
              </w:rPr>
              <w:t>•</w:t>
            </w:r>
            <w:bookmarkStart w:id="203" w:name="_Hlk96439926"/>
            <w:r w:rsidRPr="003A6407">
              <w:rPr>
                <w:b/>
              </w:rPr>
              <w:t xml:space="preserve"> opóźnienia, </w:t>
            </w:r>
            <w:r w:rsidRPr="003A6407">
              <w:rPr>
                <w:bCs/>
              </w:rPr>
              <w:t>bądź niewykonanie projektu związane trudnością w pozyskaniu sprzętu, aparatury medycznej w związku z ograniczeniem dostępu producentów do półproduktów ; (istotność: poważna)</w:t>
            </w:r>
          </w:p>
          <w:bookmarkEnd w:id="203"/>
          <w:p w14:paraId="02F9120C" w14:textId="77777777" w:rsidR="001D1C32" w:rsidRPr="003A6407" w:rsidRDefault="001D1C32" w:rsidP="009368FA">
            <w:pPr>
              <w:spacing w:before="60" w:after="60" w:line="240" w:lineRule="auto"/>
              <w:jc w:val="both"/>
              <w:rPr>
                <w:b/>
              </w:rPr>
            </w:pPr>
            <w:r w:rsidRPr="003A6407">
              <w:rPr>
                <w:b/>
              </w:rPr>
              <w:t xml:space="preserve">• zmiany w uwarunkowaniach prawnych mające wpływ na planowanie i realizację projektu. </w:t>
            </w:r>
            <w:r w:rsidRPr="003A6407">
              <w:rPr>
                <w:bCs/>
              </w:rPr>
              <w:t>(istotność: umiarkowana)</w:t>
            </w:r>
          </w:p>
          <w:p w14:paraId="112959E7" w14:textId="77777777" w:rsidR="001D1C32" w:rsidRPr="003A6407" w:rsidRDefault="001D1C32" w:rsidP="009368FA">
            <w:pPr>
              <w:spacing w:before="60" w:after="60" w:line="240" w:lineRule="auto"/>
              <w:jc w:val="both"/>
              <w:rPr>
                <w:bCs/>
              </w:rPr>
            </w:pPr>
            <w:r w:rsidRPr="003A6407">
              <w:rPr>
                <w:b/>
              </w:rPr>
              <w:t xml:space="preserve">• wpływ pandemii koronawirusa SARS-CoV-2 </w:t>
            </w:r>
            <w:r w:rsidRPr="003A6407">
              <w:rPr>
                <w:bCs/>
              </w:rPr>
              <w:t>na funkcjonowanie służby zdrowia i świadczenie usług zdrowotnych, na potencjalne możliwości realizacji projektów, na zdolności inwestycyjne, zdolność administracyjną i kadrową. (istotność: umiarkowana)</w:t>
            </w:r>
            <w:r w:rsidR="00B80A5A" w:rsidRPr="003A6407">
              <w:rPr>
                <w:bCs/>
              </w:rPr>
              <w:t>.</w:t>
            </w:r>
          </w:p>
          <w:p w14:paraId="220B5A05" w14:textId="77777777" w:rsidR="00B80A5A" w:rsidRPr="003A6407" w:rsidRDefault="00B80A5A" w:rsidP="009368FA">
            <w:pPr>
              <w:spacing w:before="60" w:after="60" w:line="240" w:lineRule="auto"/>
              <w:jc w:val="both"/>
              <w:rPr>
                <w:bCs/>
                <w:noProof/>
                <w:color w:val="FF0000"/>
                <w:sz w:val="16"/>
                <w:szCs w:val="16"/>
              </w:rPr>
            </w:pPr>
          </w:p>
          <w:p w14:paraId="4F1ABD5D" w14:textId="77777777" w:rsidR="00B80A5A" w:rsidRPr="003A6407" w:rsidRDefault="00B80A5A" w:rsidP="009368FA">
            <w:pPr>
              <w:spacing w:before="60" w:after="60" w:line="240" w:lineRule="auto"/>
              <w:jc w:val="both"/>
              <w:rPr>
                <w:b/>
                <w:bCs/>
                <w:noProof/>
              </w:rPr>
            </w:pPr>
            <w:r w:rsidRPr="003A6407">
              <w:rPr>
                <w:b/>
                <w:bCs/>
                <w:noProof/>
              </w:rPr>
              <w:t>Uzasadnienie dla celu pośredniego:</w:t>
            </w:r>
          </w:p>
          <w:p w14:paraId="6A42D98B" w14:textId="4FABA1A2" w:rsidR="00B80A5A" w:rsidRPr="003A6407" w:rsidRDefault="00B80A5A" w:rsidP="00B80A5A">
            <w:pPr>
              <w:spacing w:before="60" w:after="60" w:line="240" w:lineRule="auto"/>
              <w:jc w:val="both"/>
              <w:rPr>
                <w:b/>
                <w:bCs/>
                <w:noProof/>
              </w:rPr>
            </w:pPr>
            <w:r w:rsidRPr="003A6407">
              <w:rPr>
                <w:b/>
                <w:bCs/>
                <w:noProof/>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9a ), na podstawie Sprawozdania rocznego z 2021 r. - wskaźnik pn. Liczba wspartych podmiotów leczniczych dopiero w 2017 r. osiągnął wartość 1, co wobec wartości z wykonania na 2021 r. (58) stanowi 1,72%. </w:t>
            </w:r>
          </w:p>
          <w:p w14:paraId="2835FA8D" w14:textId="140F1A5D" w:rsidR="00B80A5A" w:rsidRPr="003A6407" w:rsidRDefault="00B80A5A" w:rsidP="00B80A5A">
            <w:pPr>
              <w:spacing w:before="60" w:after="60" w:line="240" w:lineRule="auto"/>
              <w:jc w:val="both"/>
              <w:rPr>
                <w:b/>
                <w:bCs/>
                <w:noProof/>
                <w:color w:val="FF0000"/>
                <w:sz w:val="22"/>
                <w:szCs w:val="22"/>
              </w:rPr>
            </w:pPr>
            <w:r w:rsidRPr="003A6407">
              <w:rPr>
                <w:b/>
                <w:bCs/>
                <w:noProof/>
              </w:rPr>
              <w:t>Mając na uwadze, że 2017 r. był już czwartym rokiem wdrażania programu RPO WD 2014-2020, a rok 2024 będzie de facto dopiero drugim rokiem wdrażania FEDS, wartość pośrednią dla tego wskaźnika ustalono jako 0.</w:t>
            </w:r>
          </w:p>
        </w:tc>
      </w:tr>
    </w:tbl>
    <w:p w14:paraId="7212F934" w14:textId="77777777" w:rsidR="001D1C32" w:rsidRPr="003A6407" w:rsidRDefault="001D1C32" w:rsidP="009368FA"/>
    <w:p w14:paraId="5CEF2BB6" w14:textId="77777777" w:rsidR="001D1C32" w:rsidRPr="003A6407" w:rsidRDefault="001D1C32" w:rsidP="005424BB">
      <w:pPr>
        <w:pStyle w:val="Nagwek2"/>
        <w:spacing w:after="200"/>
      </w:pPr>
      <w:bookmarkStart w:id="204" w:name="_Toc97013482"/>
      <w:bookmarkStart w:id="205" w:name="_Toc120464434"/>
      <w:r w:rsidRPr="003A6407">
        <w:t>Wskaźniki rezultatu</w:t>
      </w:r>
      <w:bookmarkEnd w:id="204"/>
      <w:bookmarkEnd w:id="205"/>
      <w:r w:rsidRPr="003A6407">
        <w:t xml:space="preserve">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834"/>
        <w:gridCol w:w="968"/>
        <w:gridCol w:w="552"/>
        <w:gridCol w:w="1386"/>
        <w:gridCol w:w="550"/>
        <w:gridCol w:w="1243"/>
        <w:gridCol w:w="554"/>
        <w:gridCol w:w="691"/>
        <w:gridCol w:w="691"/>
        <w:gridCol w:w="688"/>
      </w:tblGrid>
      <w:tr w:rsidR="00191FE2" w:rsidRPr="003A6407" w14:paraId="63D0F9B7" w14:textId="77777777" w:rsidTr="00552832">
        <w:trPr>
          <w:cantSplit/>
          <w:trHeight w:val="1768"/>
        </w:trPr>
        <w:tc>
          <w:tcPr>
            <w:tcW w:w="375" w:type="pct"/>
            <w:vAlign w:val="center"/>
          </w:tcPr>
          <w:p w14:paraId="5E6CCDA4" w14:textId="77777777" w:rsidR="001D1C32" w:rsidRPr="003A6407" w:rsidRDefault="001D1C32" w:rsidP="00552832">
            <w:pPr>
              <w:spacing w:before="120" w:after="120" w:line="240" w:lineRule="auto"/>
              <w:jc w:val="center"/>
              <w:rPr>
                <w:rFonts w:eastAsia="Calibri" w:cs="Times New Roman"/>
                <w:b/>
                <w:noProof/>
                <w:sz w:val="16"/>
                <w:szCs w:val="16"/>
                <w:lang w:eastAsia="pl-PL"/>
              </w:rPr>
            </w:pPr>
            <w:bookmarkStart w:id="206" w:name="_Hlk95458685"/>
            <w:r w:rsidRPr="003A6407">
              <w:rPr>
                <w:rFonts w:eastAsia="Calibri" w:cs="Times New Roman"/>
                <w:b/>
                <w:noProof/>
                <w:sz w:val="16"/>
                <w:szCs w:val="16"/>
                <w:lang w:eastAsia="pl-PL"/>
              </w:rPr>
              <w:t>CP 4</w:t>
            </w:r>
          </w:p>
          <w:p w14:paraId="0F19F555" w14:textId="7EC2F78A"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472" w:type="pct"/>
            <w:vAlign w:val="center"/>
          </w:tcPr>
          <w:p w14:paraId="71E56ECE"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49" w:type="pct"/>
            <w:vAlign w:val="center"/>
          </w:tcPr>
          <w:p w14:paraId="09D8C622"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313" w:type="pct"/>
            <w:textDirection w:val="btLr"/>
            <w:vAlign w:val="center"/>
          </w:tcPr>
          <w:p w14:paraId="5C35AC0A"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786" w:type="pct"/>
            <w:shd w:val="clear" w:color="auto" w:fill="auto"/>
            <w:vAlign w:val="center"/>
          </w:tcPr>
          <w:p w14:paraId="1215E37D"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312" w:type="pct"/>
            <w:textDirection w:val="btLr"/>
            <w:vAlign w:val="center"/>
          </w:tcPr>
          <w:p w14:paraId="6CC4DC71"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705" w:type="pct"/>
            <w:textDirection w:val="btLr"/>
            <w:vAlign w:val="center"/>
          </w:tcPr>
          <w:p w14:paraId="5749D76E"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46DA84E1"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4828977C"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58485187" w14:textId="77777777" w:rsidR="001D1C32" w:rsidRPr="003A6407" w:rsidRDefault="001D1C32" w:rsidP="00552832">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696C8DF1" w14:textId="77777777" w:rsidR="001D1C32" w:rsidRPr="003A6407" w:rsidRDefault="001D1C32" w:rsidP="0055283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2" w:type="pct"/>
            <w:vAlign w:val="center"/>
          </w:tcPr>
          <w:p w14:paraId="048E57F5" w14:textId="77777777" w:rsidR="001D1C32" w:rsidRPr="003A6407" w:rsidRDefault="001D1C32" w:rsidP="0055283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59433C48" w14:textId="77777777" w:rsidTr="00552832">
        <w:trPr>
          <w:trHeight w:val="434"/>
        </w:trPr>
        <w:tc>
          <w:tcPr>
            <w:tcW w:w="375" w:type="pct"/>
            <w:vAlign w:val="center"/>
          </w:tcPr>
          <w:p w14:paraId="75829AF2" w14:textId="77777777" w:rsidR="001D1C32" w:rsidRDefault="001D1C32" w:rsidP="0055283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4 (v)</w:t>
            </w:r>
          </w:p>
          <w:p w14:paraId="6308C5A8" w14:textId="206B37EE" w:rsidR="001C6669" w:rsidRPr="003A6407" w:rsidRDefault="001C6669" w:rsidP="00552832">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4.5</w:t>
            </w:r>
          </w:p>
        </w:tc>
        <w:tc>
          <w:tcPr>
            <w:tcW w:w="472" w:type="pct"/>
            <w:vAlign w:val="center"/>
          </w:tcPr>
          <w:p w14:paraId="6293B89D" w14:textId="77777777" w:rsidR="001D1C32" w:rsidRPr="003A6407" w:rsidRDefault="001D1C32" w:rsidP="00552832">
            <w:pPr>
              <w:jc w:val="center"/>
              <w:rPr>
                <w:rFonts w:eastAsia="Calibri" w:cs="Times New Roman"/>
                <w:sz w:val="16"/>
                <w:szCs w:val="16"/>
              </w:rPr>
            </w:pPr>
            <w:r w:rsidRPr="003A6407">
              <w:rPr>
                <w:rFonts w:eastAsia="Calibri" w:cs="Times New Roman"/>
                <w:noProof/>
                <w:sz w:val="16"/>
                <w:szCs w:val="16"/>
              </w:rPr>
              <w:t>EFRR</w:t>
            </w:r>
          </w:p>
        </w:tc>
        <w:tc>
          <w:tcPr>
            <w:tcW w:w="549" w:type="pct"/>
            <w:vAlign w:val="center"/>
          </w:tcPr>
          <w:p w14:paraId="581E3F2B" w14:textId="77777777" w:rsidR="001D1C32" w:rsidRPr="003A6407" w:rsidRDefault="001D1C32" w:rsidP="00552832">
            <w:pPr>
              <w:jc w:val="center"/>
              <w:rPr>
                <w:rFonts w:eastAsia="Calibri" w:cs="Times New Roman"/>
                <w:sz w:val="16"/>
                <w:szCs w:val="16"/>
              </w:rPr>
            </w:pPr>
            <w:r w:rsidRPr="003A6407">
              <w:rPr>
                <w:rFonts w:eastAsia="Calibri" w:cs="Times New Roman"/>
                <w:noProof/>
                <w:sz w:val="16"/>
                <w:szCs w:val="16"/>
              </w:rPr>
              <w:t>Przejściowy</w:t>
            </w:r>
          </w:p>
        </w:tc>
        <w:tc>
          <w:tcPr>
            <w:tcW w:w="313" w:type="pct"/>
            <w:vAlign w:val="center"/>
          </w:tcPr>
          <w:p w14:paraId="1B6A3030" w14:textId="22311F6B" w:rsidR="001D1C32" w:rsidRPr="003A6407" w:rsidRDefault="001D1C32" w:rsidP="0055283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RCR73</w:t>
            </w:r>
          </w:p>
        </w:tc>
        <w:tc>
          <w:tcPr>
            <w:tcW w:w="786" w:type="pct"/>
            <w:shd w:val="clear" w:color="auto" w:fill="auto"/>
            <w:vAlign w:val="center"/>
          </w:tcPr>
          <w:p w14:paraId="53C75390" w14:textId="77777777" w:rsidR="001D1C32" w:rsidRPr="003A6407" w:rsidRDefault="001D1C32" w:rsidP="00552832">
            <w:pPr>
              <w:keepNext/>
              <w:keepLines/>
              <w:spacing w:before="200" w:after="0"/>
              <w:jc w:val="center"/>
              <w:outlineLvl w:val="2"/>
              <w:rPr>
                <w:rFonts w:eastAsia="Calibri" w:cs="Times New Roman"/>
                <w:b/>
                <w:bCs/>
                <w:noProof/>
                <w:sz w:val="16"/>
                <w:szCs w:val="16"/>
                <w:lang w:eastAsia="pl-PL"/>
              </w:rPr>
            </w:pPr>
            <w:bookmarkStart w:id="207" w:name="_Toc97013484"/>
            <w:bookmarkStart w:id="208" w:name="_Toc120464435"/>
            <w:r w:rsidRPr="003A6407">
              <w:rPr>
                <w:rFonts w:asciiTheme="minorHAnsi" w:eastAsia="Times New Roman" w:hAnsiTheme="minorHAnsi" w:cstheme="minorHAnsi"/>
                <w:bCs/>
                <w:noProof/>
                <w:sz w:val="16"/>
                <w:szCs w:val="16"/>
              </w:rPr>
              <w:t>Roczna liczba użytkowników nowych lub zmodernizowanych placówek opieki zdrowotnej</w:t>
            </w:r>
            <w:bookmarkEnd w:id="207"/>
            <w:bookmarkEnd w:id="208"/>
          </w:p>
        </w:tc>
        <w:tc>
          <w:tcPr>
            <w:tcW w:w="312" w:type="pct"/>
            <w:vAlign w:val="center"/>
          </w:tcPr>
          <w:p w14:paraId="20DDA902" w14:textId="189F5E2C" w:rsidR="001D1C32" w:rsidRPr="003A6407" w:rsidRDefault="001D1C32" w:rsidP="00552832">
            <w:pPr>
              <w:spacing w:before="120" w:after="120" w:line="240" w:lineRule="auto"/>
              <w:jc w:val="center"/>
              <w:rPr>
                <w:rFonts w:eastAsia="Calibri" w:cs="Times New Roman"/>
                <w:noProof/>
                <w:sz w:val="16"/>
                <w:szCs w:val="16"/>
                <w:lang w:eastAsia="pl-PL"/>
              </w:rPr>
            </w:pPr>
            <w:r w:rsidRPr="003A6407">
              <w:rPr>
                <w:rFonts w:cstheme="minorHAnsi"/>
                <w:noProof/>
                <w:sz w:val="16"/>
                <w:szCs w:val="16"/>
              </w:rPr>
              <w:t>Użytkownicy/rok</w:t>
            </w:r>
          </w:p>
        </w:tc>
        <w:tc>
          <w:tcPr>
            <w:tcW w:w="705" w:type="pct"/>
            <w:vAlign w:val="center"/>
          </w:tcPr>
          <w:p w14:paraId="72A98891" w14:textId="03655D5F" w:rsidR="001D1C32" w:rsidRPr="003A6407" w:rsidRDefault="009E03DD" w:rsidP="0055283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314" w:type="pct"/>
            <w:vAlign w:val="center"/>
          </w:tcPr>
          <w:p w14:paraId="6CE91085" w14:textId="73F4AC76" w:rsidR="001D1C32" w:rsidRPr="00160708" w:rsidRDefault="009E03DD" w:rsidP="00552832">
            <w:pPr>
              <w:spacing w:before="120" w:after="120" w:line="240" w:lineRule="auto"/>
              <w:jc w:val="center"/>
              <w:rPr>
                <w:rFonts w:eastAsia="Calibri" w:cs="Times New Roman"/>
                <w:bCs/>
                <w:noProof/>
                <w:sz w:val="16"/>
                <w:szCs w:val="16"/>
                <w:lang w:eastAsia="pl-PL"/>
              </w:rPr>
            </w:pPr>
            <w:r w:rsidRPr="00160708">
              <w:rPr>
                <w:rFonts w:eastAsia="Calibri" w:cs="Times New Roman"/>
                <w:bCs/>
                <w:noProof/>
                <w:sz w:val="16"/>
                <w:szCs w:val="16"/>
                <w:lang w:eastAsia="pl-PL"/>
              </w:rPr>
              <w:t>2022</w:t>
            </w:r>
          </w:p>
        </w:tc>
        <w:tc>
          <w:tcPr>
            <w:tcW w:w="392" w:type="pct"/>
            <w:shd w:val="clear" w:color="auto" w:fill="auto"/>
            <w:vAlign w:val="center"/>
          </w:tcPr>
          <w:p w14:paraId="442BA33F" w14:textId="08C61BD2" w:rsidR="001D1C32" w:rsidRPr="00160708" w:rsidRDefault="002B2F0A" w:rsidP="00552832">
            <w:pPr>
              <w:spacing w:before="120" w:after="120" w:line="240" w:lineRule="auto"/>
              <w:jc w:val="center"/>
              <w:rPr>
                <w:rFonts w:eastAsia="Calibri" w:cs="Times New Roman"/>
                <w:bCs/>
                <w:noProof/>
                <w:sz w:val="16"/>
                <w:szCs w:val="16"/>
                <w:lang w:eastAsia="pl-PL"/>
              </w:rPr>
            </w:pPr>
            <w:r w:rsidRPr="00160708">
              <w:rPr>
                <w:rFonts w:eastAsia="Calibri" w:cs="Times New Roman"/>
                <w:bCs/>
                <w:noProof/>
                <w:sz w:val="16"/>
                <w:szCs w:val="16"/>
                <w:lang w:eastAsia="pl-PL"/>
              </w:rPr>
              <w:t>68 927</w:t>
            </w:r>
          </w:p>
        </w:tc>
        <w:tc>
          <w:tcPr>
            <w:tcW w:w="392" w:type="pct"/>
            <w:shd w:val="clear" w:color="auto" w:fill="auto"/>
            <w:vAlign w:val="center"/>
          </w:tcPr>
          <w:p w14:paraId="59227523" w14:textId="3FC93030" w:rsidR="001D1C32" w:rsidRPr="003A6407" w:rsidRDefault="009E03DD" w:rsidP="00552832">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2" w:type="pct"/>
            <w:vAlign w:val="center"/>
          </w:tcPr>
          <w:p w14:paraId="19F4A3F9" w14:textId="77777777" w:rsidR="001D1C32" w:rsidRPr="003A6407" w:rsidRDefault="001D1C32" w:rsidP="00552832">
            <w:pPr>
              <w:jc w:val="center"/>
              <w:rPr>
                <w:rFonts w:eastAsia="Calibri" w:cs="Times New Roman"/>
                <w:noProof/>
                <w:sz w:val="16"/>
                <w:szCs w:val="16"/>
              </w:rPr>
            </w:pPr>
          </w:p>
        </w:tc>
      </w:tr>
      <w:tr w:rsidR="001D1C32" w:rsidRPr="003A6407" w14:paraId="3073741B" w14:textId="77777777" w:rsidTr="002B58A1">
        <w:trPr>
          <w:trHeight w:val="434"/>
        </w:trPr>
        <w:tc>
          <w:tcPr>
            <w:tcW w:w="5000" w:type="pct"/>
            <w:gridSpan w:val="11"/>
          </w:tcPr>
          <w:p w14:paraId="036C722C" w14:textId="77777777" w:rsidR="001D1C32" w:rsidRPr="003A6407" w:rsidRDefault="001D1C32" w:rsidP="009368FA">
            <w:pPr>
              <w:spacing w:before="120"/>
              <w:rPr>
                <w:rFonts w:eastAsia="Calibri"/>
              </w:rPr>
            </w:pPr>
            <w:r w:rsidRPr="003A6407">
              <w:rPr>
                <w:rFonts w:eastAsia="Calibri"/>
              </w:rPr>
              <w:t>Metodologia:</w:t>
            </w:r>
          </w:p>
          <w:p w14:paraId="7264B78E" w14:textId="77777777" w:rsidR="001D1C32" w:rsidRPr="003A6407" w:rsidRDefault="001D1C32" w:rsidP="009368FA">
            <w:pPr>
              <w:spacing w:before="60" w:after="60" w:line="240" w:lineRule="auto"/>
              <w:jc w:val="both"/>
            </w:pPr>
            <w:r w:rsidRPr="003A6407">
              <w:t xml:space="preserve">Wskaźnik realizuje kod interwencji: </w:t>
            </w:r>
          </w:p>
          <w:p w14:paraId="1CE2BDEC" w14:textId="332608C7" w:rsidR="001D1C32" w:rsidRPr="003A6407" w:rsidRDefault="001D1C32">
            <w:pPr>
              <w:numPr>
                <w:ilvl w:val="0"/>
                <w:numId w:val="65"/>
              </w:numPr>
              <w:spacing w:before="60" w:after="60" w:line="240" w:lineRule="auto"/>
              <w:contextualSpacing/>
              <w:jc w:val="both"/>
            </w:pPr>
            <w:r w:rsidRPr="003A6407">
              <w:t>128 Infrastruktura zdrowotna (</w:t>
            </w:r>
            <w:r w:rsidR="00C54195" w:rsidRPr="003A6407">
              <w:t xml:space="preserve">35 000 000,00 </w:t>
            </w:r>
            <w:r w:rsidRPr="003A6407">
              <w:t>EUR)</w:t>
            </w:r>
          </w:p>
          <w:p w14:paraId="419CB99C" w14:textId="552B8AB1" w:rsidR="001D1C32" w:rsidRPr="003A6407" w:rsidRDefault="001D1C32">
            <w:pPr>
              <w:numPr>
                <w:ilvl w:val="0"/>
                <w:numId w:val="65"/>
              </w:numPr>
              <w:spacing w:before="60" w:after="60" w:line="240" w:lineRule="auto"/>
              <w:contextualSpacing/>
              <w:jc w:val="both"/>
            </w:pPr>
            <w:r w:rsidRPr="003A6407">
              <w:t>129 Wyposażenie opieki zdrowotnej (</w:t>
            </w:r>
            <w:r w:rsidR="00C54195" w:rsidRPr="003A6407">
              <w:t xml:space="preserve">46 110 607,00 </w:t>
            </w:r>
            <w:r w:rsidRPr="003A6407">
              <w:t xml:space="preserve"> EUR)</w:t>
            </w:r>
          </w:p>
          <w:p w14:paraId="34897C53" w14:textId="77777777" w:rsidR="001D1C32" w:rsidRPr="003A6407" w:rsidRDefault="001D1C32" w:rsidP="009368FA">
            <w:pPr>
              <w:spacing w:before="60" w:after="60" w:line="240" w:lineRule="auto"/>
              <w:ind w:left="720"/>
              <w:contextualSpacing/>
              <w:jc w:val="both"/>
            </w:pPr>
          </w:p>
          <w:p w14:paraId="19735026" w14:textId="77777777" w:rsidR="001D1C32" w:rsidRPr="003A6407" w:rsidRDefault="001D1C32" w:rsidP="009368FA">
            <w:pPr>
              <w:spacing w:before="60" w:after="60" w:line="240" w:lineRule="auto"/>
              <w:jc w:val="both"/>
            </w:pPr>
            <w:r w:rsidRPr="003A6407">
              <w:t>Suma alokacji przeznaczonej na realizację wskaźnika wynosi 81 110 607,0 EUR.</w:t>
            </w:r>
          </w:p>
          <w:p w14:paraId="77D68D08" w14:textId="77777777" w:rsidR="001D1C32" w:rsidRPr="003A6407" w:rsidRDefault="001D1C32" w:rsidP="009368FA">
            <w:pPr>
              <w:spacing w:before="60" w:after="60" w:line="240" w:lineRule="auto"/>
              <w:jc w:val="both"/>
            </w:pPr>
            <w:r w:rsidRPr="003A6407">
              <w:t>Biorąc pod uwagę kurs EUR na poziomie 4,45 wartość alokacji wynosi 360 942 201,15 PLN.</w:t>
            </w:r>
          </w:p>
          <w:p w14:paraId="429031A6" w14:textId="69B69A90" w:rsidR="006217C1" w:rsidRPr="003A6407" w:rsidRDefault="001D1C32" w:rsidP="009368FA">
            <w:pPr>
              <w:spacing w:before="60" w:after="60" w:line="240" w:lineRule="auto"/>
              <w:jc w:val="both"/>
            </w:pPr>
            <w:r w:rsidRPr="003A6407">
              <w:lastRenderedPageBreak/>
              <w:t xml:space="preserve">Dane dotyczące liczby użytkowników wspartych podmiotów leczniczych zostały pozyskane z Departamentu Zdrowia, który w zakresie swoich kompetencji oszacował </w:t>
            </w:r>
            <w:r w:rsidR="006217C1" w:rsidRPr="003A6407">
              <w:t xml:space="preserve">liczbę użytkowników nowych lub zmodernizowanych placówek opieki zdrowotnej: </w:t>
            </w:r>
          </w:p>
          <w:p w14:paraId="49548B73" w14:textId="77777777" w:rsidR="006217C1" w:rsidRPr="003A6407" w:rsidRDefault="001D1C32">
            <w:pPr>
              <w:pStyle w:val="Akapitzlist"/>
              <w:numPr>
                <w:ilvl w:val="0"/>
                <w:numId w:val="84"/>
              </w:numPr>
              <w:spacing w:before="60" w:after="60" w:line="240" w:lineRule="auto"/>
              <w:jc w:val="both"/>
            </w:pPr>
            <w:r w:rsidRPr="003A6407">
              <w:t>na podstawie ewidencji/ rejestrów pacjentów</w:t>
            </w:r>
            <w:r w:rsidR="004B6D25" w:rsidRPr="003A6407">
              <w:t xml:space="preserve"> </w:t>
            </w:r>
            <w:r w:rsidR="006217C1" w:rsidRPr="003A6407">
              <w:t xml:space="preserve">– </w:t>
            </w:r>
            <w:r w:rsidR="00C17F28" w:rsidRPr="003A6407">
              <w:t xml:space="preserve">roczną </w:t>
            </w:r>
            <w:r w:rsidR="004B6D25" w:rsidRPr="003A6407">
              <w:t>ilość</w:t>
            </w:r>
            <w:r w:rsidR="00C17F28" w:rsidRPr="003A6407">
              <w:t xml:space="preserve"> użytkowników</w:t>
            </w:r>
            <w:r w:rsidR="003502B5" w:rsidRPr="003A6407">
              <w:t xml:space="preserve"> placówek objętych wsparciem, tj. 2 Centrów Zdrowia Psychicznego oraz Dolnośląskie</w:t>
            </w:r>
            <w:r w:rsidR="006217C1" w:rsidRPr="003A6407">
              <w:t>go</w:t>
            </w:r>
            <w:r w:rsidR="003502B5" w:rsidRPr="003A6407">
              <w:t xml:space="preserve"> Centrum Onkologii, Pulmonologii i Hematologii – na poziomie 76 000 osób, </w:t>
            </w:r>
          </w:p>
          <w:p w14:paraId="700E0036" w14:textId="39EBF36D" w:rsidR="001D1C32" w:rsidRPr="003A6407" w:rsidRDefault="003502B5">
            <w:pPr>
              <w:pStyle w:val="Akapitzlist"/>
              <w:numPr>
                <w:ilvl w:val="0"/>
                <w:numId w:val="84"/>
              </w:numPr>
              <w:spacing w:before="60" w:after="60" w:line="240" w:lineRule="auto"/>
              <w:jc w:val="both"/>
            </w:pPr>
            <w:r w:rsidRPr="003A6407">
              <w:t xml:space="preserve">w oparciu o mapy potrzeb zdrowotnych  – </w:t>
            </w:r>
            <w:r w:rsidR="00F62993" w:rsidRPr="003A6407">
              <w:t>liczbę udzielonych porad medycznych w ramach AOS</w:t>
            </w:r>
            <w:r w:rsidR="001D1C32" w:rsidRPr="003A6407">
              <w:t xml:space="preserve"> za rok 2021</w:t>
            </w:r>
            <w:r w:rsidR="006217C1" w:rsidRPr="003A6407">
              <w:t xml:space="preserve"> – </w:t>
            </w:r>
            <w:r w:rsidRPr="003A6407">
              <w:t xml:space="preserve">na poziomie </w:t>
            </w:r>
            <w:r w:rsidR="00525A6E" w:rsidRPr="003A6407">
              <w:t xml:space="preserve">31 363 </w:t>
            </w:r>
            <w:r w:rsidR="00337397" w:rsidRPr="003A6407">
              <w:t xml:space="preserve">porad </w:t>
            </w:r>
          </w:p>
          <w:p w14:paraId="248B111A" w14:textId="77777777" w:rsidR="001D1C32" w:rsidRPr="003A6407" w:rsidRDefault="001D1C32" w:rsidP="009368FA">
            <w:pPr>
              <w:spacing w:before="60" w:after="60" w:line="240" w:lineRule="auto"/>
              <w:jc w:val="both"/>
            </w:pPr>
          </w:p>
          <w:p w14:paraId="061BD5CF" w14:textId="3BF99FFB" w:rsidR="001D1C32" w:rsidRPr="003A6407" w:rsidRDefault="001D1C32" w:rsidP="009368FA">
            <w:pPr>
              <w:spacing w:before="60" w:after="60" w:line="240" w:lineRule="auto"/>
              <w:jc w:val="both"/>
            </w:pPr>
            <w:r w:rsidRPr="003A6407">
              <w:t xml:space="preserve"> Łącznie przełoży się to na wartość wskaźnika na poziomie </w:t>
            </w:r>
            <w:r w:rsidR="00275D26" w:rsidRPr="003A6407">
              <w:t>107 363</w:t>
            </w:r>
            <w:r w:rsidR="00275D26" w:rsidRPr="003A6407" w:rsidDel="00275D26">
              <w:t xml:space="preserve"> </w:t>
            </w:r>
            <w:r w:rsidRPr="003A6407">
              <w:t>użytkowników/rok.</w:t>
            </w:r>
          </w:p>
          <w:p w14:paraId="74E624FC" w14:textId="77777777" w:rsidR="001D1C32" w:rsidRPr="003A6407" w:rsidRDefault="001D1C32" w:rsidP="009368FA">
            <w:pPr>
              <w:rPr>
                <w:rFonts w:eastAsia="Calibri"/>
              </w:rPr>
            </w:pPr>
            <w:r w:rsidRPr="003A6407">
              <w:rPr>
                <w:rFonts w:eastAsia="Calibri"/>
              </w:rPr>
              <w:t xml:space="preserve">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3C25DFFE" w14:textId="77777777" w:rsidR="001D1C32" w:rsidRPr="003A6407" w:rsidRDefault="001D1C32" w:rsidP="009368FA">
            <w:pPr>
              <w:rPr>
                <w:rFonts w:eastAsia="Calibri"/>
              </w:rPr>
            </w:pPr>
            <w:r w:rsidRPr="003A6407">
              <w:rPr>
                <w:rFonts w:eastAsia="Calibri"/>
              </w:rPr>
              <w:t>R: [(6*25)+(2*68)]/8 = 35,8%</w:t>
            </w:r>
          </w:p>
          <w:p w14:paraId="140EE446" w14:textId="77777777" w:rsidR="001D1C32" w:rsidRPr="003A6407" w:rsidRDefault="001D1C32" w:rsidP="009368FA">
            <w:pPr>
              <w:rPr>
                <w:rFonts w:eastAsia="Calibri"/>
              </w:rPr>
            </w:pPr>
            <w:r w:rsidRPr="003A6407">
              <w:rPr>
                <w:rFonts w:eastAsia="Calibri"/>
              </w:rPr>
              <w:t>Wyliczenie:</w:t>
            </w:r>
          </w:p>
          <w:p w14:paraId="1A581278" w14:textId="7D53BF81" w:rsidR="001D1C32" w:rsidRPr="003A6407" w:rsidRDefault="002B2F0A" w:rsidP="009368FA">
            <w:pPr>
              <w:rPr>
                <w:rFonts w:eastAsia="Calibri"/>
              </w:rPr>
            </w:pPr>
            <w:r w:rsidRPr="003A6407">
              <w:rPr>
                <w:rFonts w:eastAsia="Calibri"/>
              </w:rPr>
              <w:t>107 363</w:t>
            </w:r>
            <w:r w:rsidRPr="003A6407" w:rsidDel="002B2F0A">
              <w:rPr>
                <w:rFonts w:eastAsia="Calibri"/>
              </w:rPr>
              <w:t xml:space="preserve"> </w:t>
            </w:r>
            <w:r w:rsidR="001D1C32" w:rsidRPr="003A6407">
              <w:rPr>
                <w:rFonts w:eastAsia="Calibri"/>
              </w:rPr>
              <w:t xml:space="preserve">* (1-0,358) = </w:t>
            </w:r>
            <w:r w:rsidRPr="003A6407">
              <w:rPr>
                <w:rFonts w:eastAsia="Calibri"/>
              </w:rPr>
              <w:t>68 927</w:t>
            </w:r>
            <w:r w:rsidRPr="003A6407" w:rsidDel="002B2F0A">
              <w:rPr>
                <w:rFonts w:eastAsia="Calibri"/>
              </w:rPr>
              <w:t xml:space="preserve"> </w:t>
            </w:r>
            <w:r w:rsidR="001D1C32" w:rsidRPr="003A6407">
              <w:rPr>
                <w:rFonts w:eastAsia="Calibri"/>
              </w:rPr>
              <w:t>użytkowników/rok</w:t>
            </w:r>
          </w:p>
          <w:p w14:paraId="3FC9528C" w14:textId="77777777" w:rsidR="001D1C32" w:rsidRPr="003A6407" w:rsidRDefault="001D1C32" w:rsidP="009368FA">
            <w:pPr>
              <w:spacing w:before="60" w:after="60" w:line="240" w:lineRule="auto"/>
              <w:jc w:val="both"/>
            </w:pPr>
            <w:r w:rsidRPr="003A6407">
              <w:t>Należy zwrócić szczególną uwagę na następujące czynniki ryzyka, które może mogą mieć wpływ na poziom osiągnięcia założonej wartości docelowej:</w:t>
            </w:r>
          </w:p>
          <w:p w14:paraId="29708D3E" w14:textId="77777777" w:rsidR="001D1C32" w:rsidRPr="003A6407" w:rsidRDefault="001D1C32" w:rsidP="009368FA">
            <w:pPr>
              <w:spacing w:after="0"/>
            </w:pPr>
            <w:r w:rsidRPr="003A6407">
              <w:rPr>
                <w:b/>
              </w:rPr>
              <w:t>• ryzyko wzrostu cen</w:t>
            </w:r>
            <w:r w:rsidRPr="003A6407">
              <w:t xml:space="preserve"> - ryzyko związane ze wzrostem cen gazu, energii, materiałów, sprzętu i usług; ryzyko związane z poziomem inflacji; (istotność: poważna)</w:t>
            </w:r>
          </w:p>
          <w:p w14:paraId="5DE748D5" w14:textId="77777777" w:rsidR="001D1C32" w:rsidRPr="003A6407" w:rsidRDefault="001D1C32" w:rsidP="009368FA">
            <w:pPr>
              <w:spacing w:before="60" w:after="60" w:line="240" w:lineRule="auto"/>
              <w:jc w:val="both"/>
            </w:pPr>
            <w:r w:rsidRPr="003A6407">
              <w:rPr>
                <w:b/>
              </w:rPr>
              <w:t>• 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0CE1EDE5" w14:textId="77777777" w:rsidR="001D1C32" w:rsidRPr="003A6407" w:rsidRDefault="001D1C32" w:rsidP="009368FA">
            <w:pPr>
              <w:spacing w:before="60" w:after="60" w:line="240" w:lineRule="auto"/>
              <w:jc w:val="both"/>
            </w:pPr>
            <w:r w:rsidRPr="003A6407">
              <w:rPr>
                <w:b/>
              </w:rPr>
              <w:t>• zawieszenie płatności przez KE dla danej osi priorytetowej</w:t>
            </w:r>
            <w:r w:rsidRPr="003A6407">
              <w:t>; (istotność: umiarkowana)</w:t>
            </w:r>
          </w:p>
          <w:p w14:paraId="52702DDA" w14:textId="77777777" w:rsidR="001D1C32" w:rsidRPr="003A6407" w:rsidRDefault="001D1C32" w:rsidP="009368FA">
            <w:pPr>
              <w:spacing w:before="60" w:after="60" w:line="240" w:lineRule="auto"/>
              <w:jc w:val="both"/>
            </w:pPr>
            <w:r w:rsidRPr="003A6407">
              <w:rPr>
                <w:b/>
              </w:rPr>
              <w:t>• wartości planowanych w Kontrakcie Programowym projektów</w:t>
            </w:r>
            <w:r w:rsidRPr="003A6407">
              <w:t xml:space="preserve"> – mogą ulec zmianie podczas doprecyzowania projektów, np. mogą pojawić się inne źródła finansowania, może także ulec zmianie zakres prac (istotność: umiarkowana)</w:t>
            </w:r>
          </w:p>
          <w:p w14:paraId="349BDEDC" w14:textId="77777777" w:rsidR="001D1C32" w:rsidRPr="003A6407" w:rsidRDefault="001D1C32" w:rsidP="009368FA">
            <w:pPr>
              <w:spacing w:before="60" w:after="60" w:line="240" w:lineRule="auto"/>
              <w:jc w:val="both"/>
            </w:pPr>
            <w:r w:rsidRPr="003A6407">
              <w:rPr>
                <w:b/>
              </w:rPr>
              <w:t>• problemy z zabezpieczeniem wkładu własnego wnioskodawcy;</w:t>
            </w:r>
            <w:r w:rsidRPr="003A6407">
              <w:t xml:space="preserve"> (istotność: umiarkowana)</w:t>
            </w:r>
          </w:p>
          <w:p w14:paraId="5AC16F84" w14:textId="77777777" w:rsidR="001D1C32" w:rsidRPr="003A6407" w:rsidRDefault="001D1C32" w:rsidP="009368FA">
            <w:pPr>
              <w:spacing w:before="60" w:after="60" w:line="240" w:lineRule="auto"/>
              <w:jc w:val="both"/>
              <w:rPr>
                <w:b/>
              </w:rPr>
            </w:pPr>
            <w:r w:rsidRPr="003A6407">
              <w:rPr>
                <w:b/>
              </w:rPr>
              <w:t xml:space="preserve">• opóźnienia, </w:t>
            </w:r>
            <w:r w:rsidRPr="003A6407">
              <w:rPr>
                <w:bCs/>
              </w:rPr>
              <w:t>bądź niewykonanie projektu związane z trudnością w pozyskaniu sprzętu, aparatury medycznej w związku z ograniczeniem dostępu producentów do półproduktów; (istotność: poważna)</w:t>
            </w:r>
          </w:p>
          <w:p w14:paraId="49E013BD" w14:textId="77777777" w:rsidR="001D1C32" w:rsidRPr="003A6407" w:rsidRDefault="001D1C32" w:rsidP="009368FA">
            <w:pPr>
              <w:spacing w:before="60" w:after="60" w:line="240" w:lineRule="auto"/>
              <w:jc w:val="both"/>
              <w:rPr>
                <w:b/>
              </w:rPr>
            </w:pPr>
            <w:r w:rsidRPr="003A6407">
              <w:rPr>
                <w:b/>
              </w:rPr>
              <w:t xml:space="preserve">• zmiany w uwarunkowaniach prawnych mające wpływ na planowanie i realizację projektu; </w:t>
            </w:r>
            <w:r w:rsidRPr="003A6407">
              <w:rPr>
                <w:bCs/>
              </w:rPr>
              <w:t>(istotność: umiarkowana)</w:t>
            </w:r>
          </w:p>
          <w:p w14:paraId="34620C02" w14:textId="4B2AEFFC" w:rsidR="002F03AF" w:rsidRPr="003A6407" w:rsidRDefault="001D1C32" w:rsidP="00552832">
            <w:pPr>
              <w:rPr>
                <w:rFonts w:eastAsia="Calibri" w:cs="Times New Roman"/>
                <w:noProof/>
                <w:sz w:val="16"/>
                <w:szCs w:val="16"/>
              </w:rPr>
            </w:pPr>
            <w:r w:rsidRPr="003A6407">
              <w:rPr>
                <w:b/>
              </w:rPr>
              <w:t xml:space="preserve">• wpływ pandemii koronawirusa SARS-CoV-2 </w:t>
            </w:r>
            <w:r w:rsidRPr="003A6407">
              <w:rPr>
                <w:bCs/>
              </w:rPr>
              <w:t>na funkcjonowanie służby zdrowia i świadczenie usług zdrowotnych, na potencjalne możliwości realizacji projektów, na zdolności inwestycyjne dolność administracyjną i kadrową. (istotność: umiarkowana)</w:t>
            </w:r>
            <w:r w:rsidR="002F03AF" w:rsidRPr="003A6407">
              <w:rPr>
                <w:bCs/>
              </w:rPr>
              <w:t>.</w:t>
            </w:r>
          </w:p>
        </w:tc>
      </w:tr>
    </w:tbl>
    <w:p w14:paraId="440448D3" w14:textId="2E94C932" w:rsidR="001D1C32" w:rsidRPr="003A6407" w:rsidRDefault="001D1C32" w:rsidP="009148EE">
      <w:pPr>
        <w:pStyle w:val="Nagwek2"/>
        <w:spacing w:after="200"/>
      </w:pPr>
      <w:bookmarkStart w:id="209" w:name="_Toc120464436"/>
      <w:bookmarkEnd w:id="206"/>
      <w:r w:rsidRPr="003A6407">
        <w:lastRenderedPageBreak/>
        <w:t xml:space="preserve">CEL SZCZEGÓŁOWY: </w:t>
      </w:r>
      <w:bookmarkStart w:id="210" w:name="_Toc97013485"/>
      <w:r w:rsidR="001C6669" w:rsidRPr="001C6669">
        <w:t>RSO4.6. Wzmacnianie roli kultury i zrównoważonej turystyki w rozwoju gospodarczym, włączeniu społecznym i innowacjach społecznych (EFRR)</w:t>
      </w:r>
      <w:bookmarkEnd w:id="209"/>
      <w:r w:rsidRPr="003A6407">
        <w:t xml:space="preserve"> </w:t>
      </w:r>
    </w:p>
    <w:p w14:paraId="736A994C" w14:textId="77777777" w:rsidR="001D1C32" w:rsidRPr="003A6407" w:rsidRDefault="001D1C32" w:rsidP="009148EE">
      <w:pPr>
        <w:pStyle w:val="Nagwek2"/>
        <w:spacing w:after="200"/>
      </w:pPr>
      <w:bookmarkStart w:id="211" w:name="_Toc120464437"/>
      <w:r w:rsidRPr="003A6407">
        <w:t>Wskaźniki produktu</w:t>
      </w:r>
      <w:bookmarkEnd w:id="210"/>
      <w:bookmarkEnd w:id="211"/>
      <w:r w:rsidRPr="003A6407">
        <w:t xml:space="preserve"> </w:t>
      </w: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7D4327AE" w14:textId="77777777" w:rsidTr="00552832">
        <w:trPr>
          <w:cantSplit/>
          <w:trHeight w:val="1647"/>
        </w:trPr>
        <w:tc>
          <w:tcPr>
            <w:tcW w:w="451" w:type="pct"/>
            <w:vAlign w:val="center"/>
          </w:tcPr>
          <w:p w14:paraId="5B87DFDC"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CP 4</w:t>
            </w:r>
          </w:p>
          <w:p w14:paraId="06A3E074" w14:textId="40350D97" w:rsidR="001D1C32" w:rsidRPr="003A6407" w:rsidRDefault="001D1C32" w:rsidP="00552832">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7E67A56"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3FF017EC"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78D29B0A" w14:textId="77777777" w:rsidR="001D1C32" w:rsidRPr="003A6407" w:rsidRDefault="001D1C32" w:rsidP="00552832">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4292B476" w14:textId="4E5728D4" w:rsidR="001D1C32" w:rsidRPr="003A6407" w:rsidRDefault="001D1C32" w:rsidP="00552832">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1121E704"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5CA83741"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Cel pośredni (2024)</w:t>
            </w:r>
          </w:p>
          <w:p w14:paraId="3C5C984C" w14:textId="77777777" w:rsidR="001D1C32" w:rsidRPr="003A6407" w:rsidRDefault="001D1C32" w:rsidP="00552832">
            <w:pPr>
              <w:spacing w:before="120" w:after="120" w:line="240" w:lineRule="auto"/>
              <w:jc w:val="center"/>
              <w:rPr>
                <w:b/>
                <w:noProof/>
                <w:sz w:val="16"/>
                <w:szCs w:val="16"/>
              </w:rPr>
            </w:pPr>
          </w:p>
        </w:tc>
        <w:tc>
          <w:tcPr>
            <w:tcW w:w="550" w:type="pct"/>
            <w:shd w:val="clear" w:color="auto" w:fill="auto"/>
            <w:vAlign w:val="center"/>
          </w:tcPr>
          <w:p w14:paraId="474B73BA"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Cel (2029)</w:t>
            </w:r>
          </w:p>
          <w:p w14:paraId="34A3716D" w14:textId="77777777" w:rsidR="001D1C32" w:rsidRPr="003A6407" w:rsidRDefault="001D1C32" w:rsidP="00552832">
            <w:pPr>
              <w:spacing w:before="120" w:after="120" w:line="240" w:lineRule="auto"/>
              <w:jc w:val="center"/>
              <w:rPr>
                <w:b/>
                <w:noProof/>
                <w:sz w:val="16"/>
                <w:szCs w:val="16"/>
              </w:rPr>
            </w:pPr>
          </w:p>
        </w:tc>
      </w:tr>
      <w:tr w:rsidR="001D1C32" w:rsidRPr="003A6407" w14:paraId="25796501" w14:textId="77777777" w:rsidTr="00552832">
        <w:trPr>
          <w:trHeight w:val="340"/>
        </w:trPr>
        <w:tc>
          <w:tcPr>
            <w:tcW w:w="451" w:type="pct"/>
            <w:vAlign w:val="center"/>
          </w:tcPr>
          <w:p w14:paraId="369906CF" w14:textId="77777777" w:rsidR="001D1C32" w:rsidRDefault="001D1C32" w:rsidP="00552832">
            <w:pPr>
              <w:spacing w:before="120" w:after="120" w:line="240" w:lineRule="auto"/>
              <w:jc w:val="center"/>
              <w:rPr>
                <w:noProof/>
                <w:sz w:val="16"/>
                <w:szCs w:val="16"/>
              </w:rPr>
            </w:pPr>
            <w:r w:rsidRPr="003A6407">
              <w:rPr>
                <w:noProof/>
                <w:sz w:val="16"/>
                <w:szCs w:val="16"/>
              </w:rPr>
              <w:t>4 (vi)</w:t>
            </w:r>
          </w:p>
          <w:p w14:paraId="14562A30" w14:textId="5C861D5C" w:rsidR="001C6669" w:rsidRPr="003A6407" w:rsidRDefault="001C6669" w:rsidP="00552832">
            <w:pPr>
              <w:spacing w:before="120" w:after="120" w:line="240" w:lineRule="auto"/>
              <w:jc w:val="center"/>
              <w:rPr>
                <w:noProof/>
                <w:sz w:val="16"/>
                <w:szCs w:val="16"/>
              </w:rPr>
            </w:pPr>
            <w:r>
              <w:rPr>
                <w:noProof/>
                <w:sz w:val="16"/>
                <w:szCs w:val="16"/>
              </w:rPr>
              <w:t>4.6</w:t>
            </w:r>
          </w:p>
        </w:tc>
        <w:tc>
          <w:tcPr>
            <w:tcW w:w="494" w:type="pct"/>
            <w:vAlign w:val="center"/>
          </w:tcPr>
          <w:p w14:paraId="489D1D2C" w14:textId="77777777" w:rsidR="001D1C32" w:rsidRPr="003A6407" w:rsidRDefault="001D1C32" w:rsidP="00552832">
            <w:pPr>
              <w:spacing w:before="120" w:after="120" w:line="240" w:lineRule="auto"/>
              <w:jc w:val="center"/>
              <w:rPr>
                <w:noProof/>
                <w:sz w:val="16"/>
                <w:szCs w:val="16"/>
              </w:rPr>
            </w:pPr>
            <w:r w:rsidRPr="003A6407">
              <w:rPr>
                <w:noProof/>
                <w:sz w:val="16"/>
                <w:szCs w:val="16"/>
              </w:rPr>
              <w:t>EFRR</w:t>
            </w:r>
          </w:p>
        </w:tc>
        <w:tc>
          <w:tcPr>
            <w:tcW w:w="558" w:type="pct"/>
            <w:vAlign w:val="center"/>
          </w:tcPr>
          <w:p w14:paraId="4E75017E" w14:textId="77777777" w:rsidR="001D1C32" w:rsidRPr="003A6407" w:rsidRDefault="001D1C32" w:rsidP="00552832">
            <w:pPr>
              <w:spacing w:before="120" w:after="120" w:line="240" w:lineRule="auto"/>
              <w:jc w:val="center"/>
              <w:rPr>
                <w:noProof/>
                <w:sz w:val="16"/>
                <w:szCs w:val="16"/>
              </w:rPr>
            </w:pPr>
            <w:r w:rsidRPr="003A6407">
              <w:rPr>
                <w:noProof/>
                <w:sz w:val="16"/>
                <w:szCs w:val="16"/>
              </w:rPr>
              <w:t>przejściowy</w:t>
            </w:r>
          </w:p>
        </w:tc>
        <w:tc>
          <w:tcPr>
            <w:tcW w:w="360" w:type="pct"/>
            <w:vAlign w:val="center"/>
          </w:tcPr>
          <w:p w14:paraId="79C716D0" w14:textId="6597775D" w:rsidR="001D1C32" w:rsidRPr="003A6407" w:rsidRDefault="001D1C32" w:rsidP="00552832">
            <w:pPr>
              <w:spacing w:before="120" w:after="120" w:line="240" w:lineRule="auto"/>
              <w:jc w:val="center"/>
              <w:rPr>
                <w:noProof/>
                <w:sz w:val="16"/>
                <w:szCs w:val="16"/>
              </w:rPr>
            </w:pPr>
            <w:r w:rsidRPr="003A6407">
              <w:rPr>
                <w:noProof/>
                <w:sz w:val="16"/>
                <w:szCs w:val="16"/>
              </w:rPr>
              <w:t>RCO77</w:t>
            </w:r>
          </w:p>
        </w:tc>
        <w:tc>
          <w:tcPr>
            <w:tcW w:w="1411" w:type="pct"/>
            <w:shd w:val="clear" w:color="auto" w:fill="auto"/>
            <w:vAlign w:val="center"/>
          </w:tcPr>
          <w:p w14:paraId="65C313CF" w14:textId="53CB3295" w:rsidR="001D1C32" w:rsidRPr="003A6407" w:rsidRDefault="001D1C32" w:rsidP="00552832">
            <w:pPr>
              <w:keepNext/>
              <w:keepLines/>
              <w:spacing w:before="200" w:after="0"/>
              <w:jc w:val="center"/>
              <w:outlineLvl w:val="2"/>
              <w:rPr>
                <w:rFonts w:eastAsiaTheme="majorEastAsia" w:cstheme="majorBidi"/>
                <w:b/>
                <w:bCs/>
                <w:noProof/>
                <w:sz w:val="16"/>
                <w:szCs w:val="16"/>
              </w:rPr>
            </w:pPr>
            <w:bookmarkStart w:id="212" w:name="_Toc97013487"/>
            <w:bookmarkStart w:id="213" w:name="_Toc120464438"/>
            <w:r w:rsidRPr="003A6407">
              <w:rPr>
                <w:rFonts w:asciiTheme="minorHAnsi" w:eastAsia="Times New Roman" w:hAnsiTheme="minorHAnsi" w:cstheme="minorHAnsi"/>
                <w:bCs/>
                <w:noProof/>
                <w:sz w:val="16"/>
                <w:szCs w:val="16"/>
              </w:rPr>
              <w:t xml:space="preserve">Liczba obiektów kulturalnych i turystycznych </w:t>
            </w:r>
            <w:bookmarkEnd w:id="212"/>
            <w:r w:rsidR="00D544BC">
              <w:rPr>
                <w:rFonts w:asciiTheme="minorHAnsi" w:eastAsia="Times New Roman" w:hAnsiTheme="minorHAnsi" w:cstheme="minorHAnsi"/>
                <w:bCs/>
                <w:noProof/>
                <w:sz w:val="16"/>
                <w:szCs w:val="16"/>
              </w:rPr>
              <w:t>objętych wsparciem</w:t>
            </w:r>
            <w:bookmarkEnd w:id="213"/>
          </w:p>
        </w:tc>
        <w:tc>
          <w:tcPr>
            <w:tcW w:w="549" w:type="pct"/>
            <w:vAlign w:val="center"/>
          </w:tcPr>
          <w:p w14:paraId="07DBDBEC" w14:textId="409E236B" w:rsidR="001D1C32" w:rsidRPr="003A6407" w:rsidRDefault="00A9008F" w:rsidP="00552832">
            <w:pPr>
              <w:spacing w:before="120" w:after="120" w:line="240" w:lineRule="auto"/>
              <w:jc w:val="center"/>
              <w:rPr>
                <w:noProof/>
                <w:sz w:val="16"/>
                <w:szCs w:val="16"/>
              </w:rPr>
            </w:pPr>
            <w:r>
              <w:rPr>
                <w:noProof/>
                <w:sz w:val="16"/>
                <w:szCs w:val="16"/>
              </w:rPr>
              <w:t>obiekty kulturalne i turystyczne</w:t>
            </w:r>
          </w:p>
        </w:tc>
        <w:tc>
          <w:tcPr>
            <w:tcW w:w="627" w:type="pct"/>
            <w:shd w:val="clear" w:color="auto" w:fill="auto"/>
            <w:vAlign w:val="center"/>
          </w:tcPr>
          <w:p w14:paraId="1890998B" w14:textId="75DA218E" w:rsidR="001D1C32" w:rsidRPr="003A6407" w:rsidRDefault="009E03DD" w:rsidP="00552832">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7E5F34CC" w14:textId="0E006526" w:rsidR="001D1C32" w:rsidRPr="003A6407" w:rsidRDefault="00465388" w:rsidP="00552832">
            <w:pPr>
              <w:spacing w:before="120" w:after="120" w:line="240" w:lineRule="auto"/>
              <w:jc w:val="center"/>
              <w:rPr>
                <w:noProof/>
                <w:sz w:val="16"/>
                <w:szCs w:val="16"/>
              </w:rPr>
            </w:pPr>
            <w:r w:rsidRPr="003A6407">
              <w:rPr>
                <w:noProof/>
                <w:sz w:val="16"/>
                <w:szCs w:val="16"/>
              </w:rPr>
              <w:t>3</w:t>
            </w:r>
            <w:r w:rsidR="00552832" w:rsidRPr="003A6407">
              <w:rPr>
                <w:noProof/>
                <w:sz w:val="16"/>
                <w:szCs w:val="16"/>
              </w:rPr>
              <w:t>,00</w:t>
            </w:r>
          </w:p>
        </w:tc>
      </w:tr>
      <w:tr w:rsidR="001D1C32" w:rsidRPr="003A6407" w14:paraId="0FA4BEE6" w14:textId="77777777" w:rsidTr="002B58A1">
        <w:trPr>
          <w:trHeight w:val="340"/>
        </w:trPr>
        <w:tc>
          <w:tcPr>
            <w:tcW w:w="5000" w:type="pct"/>
            <w:gridSpan w:val="8"/>
          </w:tcPr>
          <w:p w14:paraId="3D24AA9C" w14:textId="77777777" w:rsidR="001D1C32" w:rsidRPr="003A6407" w:rsidRDefault="001D1C32" w:rsidP="009368FA">
            <w:pPr>
              <w:spacing w:before="60" w:after="60" w:line="240" w:lineRule="auto"/>
              <w:jc w:val="both"/>
            </w:pPr>
            <w:r w:rsidRPr="003A6407">
              <w:t>Metodologia:</w:t>
            </w:r>
          </w:p>
          <w:p w14:paraId="42B1F4F1" w14:textId="77777777" w:rsidR="001D1C32" w:rsidRPr="003A6407" w:rsidRDefault="001D1C32" w:rsidP="009368FA">
            <w:pPr>
              <w:spacing w:before="60" w:after="60" w:line="240" w:lineRule="auto"/>
              <w:jc w:val="both"/>
            </w:pPr>
            <w:r w:rsidRPr="003A6407">
              <w:t xml:space="preserve">Wskaźnik realizuje kod interwencji: </w:t>
            </w:r>
          </w:p>
          <w:p w14:paraId="400EAC53" w14:textId="77777777" w:rsidR="001D1C32" w:rsidRPr="003A6407" w:rsidRDefault="001D1C32">
            <w:pPr>
              <w:numPr>
                <w:ilvl w:val="0"/>
                <w:numId w:val="65"/>
              </w:numPr>
              <w:spacing w:before="60" w:after="60" w:line="240" w:lineRule="auto"/>
              <w:contextualSpacing/>
              <w:jc w:val="both"/>
            </w:pPr>
            <w:r w:rsidRPr="003A6407">
              <w:t>166 Ochrona, rozwój i promowanie dziedzictwa kulturowego i usług w dziedzinie kultury (17 692 410 EUR)</w:t>
            </w:r>
          </w:p>
          <w:p w14:paraId="0DF5BFC7" w14:textId="6562D316" w:rsidR="001D1C32" w:rsidRPr="003A6407" w:rsidRDefault="001D1C32" w:rsidP="009368FA">
            <w:pPr>
              <w:spacing w:before="60" w:after="60" w:line="240" w:lineRule="auto"/>
              <w:jc w:val="both"/>
            </w:pPr>
            <w:r w:rsidRPr="003A6407">
              <w:t>W ramach działań podejmowanych w obszarze kultury i turystyki planuje się wsparcie 3 instytucji kultury o znaczeniu regionalnym, prowadzonych lub współprowadzonych przez samorząd województwa (na podstawie planowanych do realizacji działań wpisanych w projekcie Kontraktu Programowego).</w:t>
            </w:r>
          </w:p>
          <w:p w14:paraId="1B48DE24" w14:textId="4DB36651" w:rsidR="00AB03A9" w:rsidRPr="003A6407" w:rsidRDefault="00AB03A9" w:rsidP="009368FA">
            <w:pPr>
              <w:spacing w:before="60" w:after="60" w:line="240" w:lineRule="auto"/>
              <w:jc w:val="both"/>
            </w:pPr>
          </w:p>
          <w:p w14:paraId="766920FE" w14:textId="6703ACDC" w:rsidR="00AB03A9" w:rsidRPr="003A6407" w:rsidRDefault="00AB03A9" w:rsidP="009368FA">
            <w:pPr>
              <w:spacing w:before="60" w:after="60" w:line="240" w:lineRule="auto"/>
              <w:jc w:val="both"/>
              <w:rPr>
                <w:b/>
                <w:bCs/>
              </w:rPr>
            </w:pPr>
            <w:r w:rsidRPr="003A6407">
              <w:rPr>
                <w:b/>
                <w:bCs/>
              </w:rPr>
              <w:t>Uzasadnienie dla celu pośredniego:</w:t>
            </w:r>
          </w:p>
          <w:p w14:paraId="4539EAA6" w14:textId="1593EB6D" w:rsidR="00AB03A9" w:rsidRPr="003A6407" w:rsidRDefault="00AB03A9" w:rsidP="00AB03A9">
            <w:pPr>
              <w:spacing w:before="60" w:after="60" w:line="240" w:lineRule="auto"/>
              <w:jc w:val="both"/>
              <w:rPr>
                <w:b/>
                <w:bCs/>
              </w:rPr>
            </w:pPr>
            <w:r w:rsidRPr="003A6407">
              <w:rPr>
                <w:b/>
                <w:bCs/>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6c ), na podstawie Sprawozdania rocznego z 2021 r. - wskaźnik pn. Liczba zabytków nieruchomych objętych wsparciem dopiero w 2017 r. osiągnął wartość 2, co wobec wartości z wykonania na 2021 r. (55) stanowi zaledwie 3,64%. </w:t>
            </w:r>
          </w:p>
          <w:p w14:paraId="59EBBBFE" w14:textId="34B4E67C" w:rsidR="00AB03A9" w:rsidRPr="003A6407" w:rsidRDefault="00AB03A9" w:rsidP="00AB03A9">
            <w:pPr>
              <w:spacing w:before="60" w:after="60" w:line="240" w:lineRule="auto"/>
              <w:jc w:val="both"/>
              <w:rPr>
                <w:b/>
                <w:bCs/>
              </w:rPr>
            </w:pPr>
            <w:r w:rsidRPr="003A6407">
              <w:rPr>
                <w:b/>
                <w:bCs/>
              </w:rPr>
              <w:t>Wskaźnik: Liczba instytucji kultury objętych wsparciem dopiero w 2017 r. osiągnął wartość 2, co wobec wartości z wykonania na 2021 r. (23) stanowi 8,7%.</w:t>
            </w:r>
          </w:p>
          <w:p w14:paraId="130B685D" w14:textId="1B40C984" w:rsidR="00AB03A9" w:rsidRPr="003A6407" w:rsidRDefault="00AB03A9" w:rsidP="00AB03A9">
            <w:pPr>
              <w:spacing w:before="60" w:after="60" w:line="240" w:lineRule="auto"/>
              <w:jc w:val="both"/>
              <w:rPr>
                <w:b/>
                <w:bCs/>
              </w:rPr>
            </w:pPr>
            <w:r w:rsidRPr="003A6407">
              <w:rPr>
                <w:b/>
                <w:bCs/>
              </w:rPr>
              <w:t>Mając na uwadze, że 2017 r. był już czwartym rokiem wdrażania programu RPO WD 2014-2020, a rok 2024 będzie de facto dopiero drugim rokiem wdrażania FEDS, wartość pośrednią dla tego wskaźnika ustalono jako 0.</w:t>
            </w:r>
            <w:r w:rsidR="007469A8">
              <w:rPr>
                <w:b/>
                <w:bCs/>
              </w:rPr>
              <w:t xml:space="preserve"> Dodatkowo interwencje w zakresie zabytków wymagają uzgodnień z konserwatorem zabytków, co wpływa na znaczne opóźnienia w realizacji projektów inwestycyjnych.</w:t>
            </w:r>
          </w:p>
          <w:p w14:paraId="35BF86D7" w14:textId="20F126A7" w:rsidR="001D1C32" w:rsidRPr="003A6407" w:rsidRDefault="001D1C32" w:rsidP="009368FA">
            <w:pPr>
              <w:spacing w:before="60" w:after="60" w:line="240" w:lineRule="auto"/>
              <w:jc w:val="both"/>
              <w:rPr>
                <w:noProof/>
                <w:color w:val="FF0000"/>
                <w:sz w:val="16"/>
                <w:szCs w:val="16"/>
              </w:rPr>
            </w:pPr>
          </w:p>
        </w:tc>
      </w:tr>
    </w:tbl>
    <w:p w14:paraId="3E3C3A66" w14:textId="77777777" w:rsidR="001D1C32" w:rsidRPr="003A6407" w:rsidRDefault="001D1C32" w:rsidP="009368FA"/>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87650C7" w14:textId="77777777" w:rsidTr="00552832">
        <w:trPr>
          <w:cantSplit/>
          <w:trHeight w:val="1647"/>
        </w:trPr>
        <w:tc>
          <w:tcPr>
            <w:tcW w:w="451" w:type="pct"/>
            <w:vAlign w:val="center"/>
          </w:tcPr>
          <w:p w14:paraId="2799216A"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CP 4</w:t>
            </w:r>
          </w:p>
          <w:p w14:paraId="38A3A87D" w14:textId="35F3442A" w:rsidR="001D1C32" w:rsidRPr="003A6407" w:rsidRDefault="001D1C32" w:rsidP="00552832">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79839A19"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48BBB75A"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6475E4B7" w14:textId="77777777" w:rsidR="001D1C32" w:rsidRPr="003A6407" w:rsidRDefault="001D1C32" w:rsidP="00552832">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19D42556" w14:textId="508AD3B4" w:rsidR="001D1C32" w:rsidRPr="003A6407" w:rsidRDefault="001D1C32" w:rsidP="00552832">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7AA91A72"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44688F2F"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Cel pośredni (2024)</w:t>
            </w:r>
          </w:p>
          <w:p w14:paraId="7A49DD01" w14:textId="77777777" w:rsidR="001D1C32" w:rsidRPr="003A6407" w:rsidRDefault="001D1C32" w:rsidP="00552832">
            <w:pPr>
              <w:spacing w:before="120" w:after="120" w:line="240" w:lineRule="auto"/>
              <w:jc w:val="center"/>
              <w:rPr>
                <w:b/>
                <w:noProof/>
                <w:sz w:val="16"/>
                <w:szCs w:val="16"/>
              </w:rPr>
            </w:pPr>
          </w:p>
        </w:tc>
        <w:tc>
          <w:tcPr>
            <w:tcW w:w="550" w:type="pct"/>
            <w:shd w:val="clear" w:color="auto" w:fill="auto"/>
            <w:vAlign w:val="center"/>
          </w:tcPr>
          <w:p w14:paraId="7EB074E2" w14:textId="77777777" w:rsidR="001D1C32" w:rsidRPr="003A6407" w:rsidRDefault="001D1C32" w:rsidP="00552832">
            <w:pPr>
              <w:spacing w:before="120" w:after="120" w:line="240" w:lineRule="auto"/>
              <w:jc w:val="center"/>
              <w:rPr>
                <w:b/>
                <w:noProof/>
                <w:sz w:val="16"/>
                <w:szCs w:val="16"/>
              </w:rPr>
            </w:pPr>
            <w:r w:rsidRPr="003A6407">
              <w:rPr>
                <w:b/>
                <w:noProof/>
                <w:sz w:val="16"/>
                <w:szCs w:val="16"/>
              </w:rPr>
              <w:t>Cel (2029)</w:t>
            </w:r>
          </w:p>
          <w:p w14:paraId="5280F651" w14:textId="77777777" w:rsidR="001D1C32" w:rsidRPr="003A6407" w:rsidRDefault="001D1C32" w:rsidP="00552832">
            <w:pPr>
              <w:spacing w:before="120" w:after="120" w:line="240" w:lineRule="auto"/>
              <w:jc w:val="center"/>
              <w:rPr>
                <w:b/>
                <w:noProof/>
                <w:sz w:val="16"/>
                <w:szCs w:val="16"/>
              </w:rPr>
            </w:pPr>
          </w:p>
        </w:tc>
      </w:tr>
      <w:tr w:rsidR="001D1C32" w:rsidRPr="003A6407" w14:paraId="6155A0B8" w14:textId="77777777" w:rsidTr="00552832">
        <w:trPr>
          <w:trHeight w:val="340"/>
        </w:trPr>
        <w:tc>
          <w:tcPr>
            <w:tcW w:w="451" w:type="pct"/>
            <w:vAlign w:val="center"/>
          </w:tcPr>
          <w:p w14:paraId="53735D67" w14:textId="77777777" w:rsidR="001D1C32" w:rsidRDefault="001D1C32" w:rsidP="00552832">
            <w:pPr>
              <w:spacing w:before="120" w:after="120" w:line="240" w:lineRule="auto"/>
              <w:jc w:val="center"/>
              <w:rPr>
                <w:noProof/>
                <w:sz w:val="16"/>
                <w:szCs w:val="16"/>
              </w:rPr>
            </w:pPr>
            <w:r w:rsidRPr="003A6407">
              <w:rPr>
                <w:noProof/>
                <w:sz w:val="16"/>
                <w:szCs w:val="16"/>
              </w:rPr>
              <w:t>4 (vi)</w:t>
            </w:r>
          </w:p>
          <w:p w14:paraId="2E05A37B" w14:textId="3A50B4B8" w:rsidR="001C6669" w:rsidRPr="003A6407" w:rsidRDefault="001C6669" w:rsidP="00552832">
            <w:pPr>
              <w:spacing w:before="120" w:after="120" w:line="240" w:lineRule="auto"/>
              <w:jc w:val="center"/>
              <w:rPr>
                <w:noProof/>
                <w:sz w:val="16"/>
                <w:szCs w:val="16"/>
              </w:rPr>
            </w:pPr>
            <w:r>
              <w:rPr>
                <w:noProof/>
                <w:sz w:val="16"/>
                <w:szCs w:val="16"/>
              </w:rPr>
              <w:t>4.6</w:t>
            </w:r>
          </w:p>
        </w:tc>
        <w:tc>
          <w:tcPr>
            <w:tcW w:w="494" w:type="pct"/>
            <w:vAlign w:val="center"/>
          </w:tcPr>
          <w:p w14:paraId="295D8093" w14:textId="77777777" w:rsidR="001D1C32" w:rsidRPr="003A6407" w:rsidRDefault="001D1C32" w:rsidP="00552832">
            <w:pPr>
              <w:spacing w:before="120" w:after="120" w:line="240" w:lineRule="auto"/>
              <w:jc w:val="center"/>
              <w:rPr>
                <w:noProof/>
                <w:sz w:val="16"/>
                <w:szCs w:val="16"/>
              </w:rPr>
            </w:pPr>
            <w:r w:rsidRPr="003A6407">
              <w:rPr>
                <w:noProof/>
                <w:sz w:val="16"/>
                <w:szCs w:val="16"/>
              </w:rPr>
              <w:t>EFRR</w:t>
            </w:r>
          </w:p>
        </w:tc>
        <w:tc>
          <w:tcPr>
            <w:tcW w:w="558" w:type="pct"/>
            <w:vAlign w:val="center"/>
          </w:tcPr>
          <w:p w14:paraId="031A478C" w14:textId="77777777" w:rsidR="001D1C32" w:rsidRPr="003A6407" w:rsidRDefault="001D1C32" w:rsidP="00552832">
            <w:pPr>
              <w:spacing w:before="120" w:after="120" w:line="240" w:lineRule="auto"/>
              <w:jc w:val="center"/>
              <w:rPr>
                <w:noProof/>
                <w:sz w:val="16"/>
                <w:szCs w:val="16"/>
              </w:rPr>
            </w:pPr>
            <w:r w:rsidRPr="003A6407">
              <w:rPr>
                <w:noProof/>
                <w:sz w:val="16"/>
                <w:szCs w:val="16"/>
              </w:rPr>
              <w:t>przejściowy</w:t>
            </w:r>
          </w:p>
        </w:tc>
        <w:tc>
          <w:tcPr>
            <w:tcW w:w="360" w:type="pct"/>
            <w:vAlign w:val="center"/>
          </w:tcPr>
          <w:p w14:paraId="2237658E" w14:textId="77777777" w:rsidR="001D1C32" w:rsidRPr="003A6407" w:rsidRDefault="001D1C32" w:rsidP="00552832">
            <w:pPr>
              <w:spacing w:before="120" w:after="120" w:line="240" w:lineRule="auto"/>
              <w:jc w:val="center"/>
              <w:rPr>
                <w:noProof/>
                <w:sz w:val="16"/>
                <w:szCs w:val="16"/>
              </w:rPr>
            </w:pPr>
            <w:r w:rsidRPr="003A6407">
              <w:rPr>
                <w:noProof/>
                <w:sz w:val="16"/>
                <w:szCs w:val="16"/>
              </w:rPr>
              <w:t>PLRO 135</w:t>
            </w:r>
          </w:p>
        </w:tc>
        <w:tc>
          <w:tcPr>
            <w:tcW w:w="1411" w:type="pct"/>
            <w:shd w:val="clear" w:color="auto" w:fill="auto"/>
            <w:vAlign w:val="center"/>
          </w:tcPr>
          <w:p w14:paraId="423FCC0F" w14:textId="77777777" w:rsidR="001D1C32" w:rsidRPr="003A6407" w:rsidRDefault="001D1C32" w:rsidP="00552832">
            <w:pPr>
              <w:keepNext/>
              <w:keepLines/>
              <w:spacing w:before="200" w:after="0"/>
              <w:jc w:val="center"/>
              <w:outlineLvl w:val="2"/>
              <w:rPr>
                <w:rFonts w:eastAsiaTheme="majorEastAsia" w:cstheme="majorBidi"/>
                <w:b/>
                <w:bCs/>
                <w:noProof/>
                <w:sz w:val="16"/>
                <w:szCs w:val="16"/>
              </w:rPr>
            </w:pPr>
            <w:bookmarkStart w:id="214" w:name="_Toc97013488"/>
            <w:bookmarkStart w:id="215" w:name="_Toc120464439"/>
            <w:r w:rsidRPr="003A6407">
              <w:rPr>
                <w:rFonts w:asciiTheme="minorHAnsi" w:eastAsia="Times New Roman" w:hAnsiTheme="minorHAnsi" w:cstheme="minorHAnsi"/>
                <w:bCs/>
                <w:noProof/>
                <w:sz w:val="16"/>
                <w:szCs w:val="16"/>
              </w:rPr>
              <w:t>Długość wspartych szlaków turystycznych</w:t>
            </w:r>
            <w:bookmarkEnd w:id="214"/>
            <w:bookmarkEnd w:id="215"/>
          </w:p>
        </w:tc>
        <w:tc>
          <w:tcPr>
            <w:tcW w:w="549" w:type="pct"/>
            <w:vAlign w:val="center"/>
          </w:tcPr>
          <w:p w14:paraId="24843344" w14:textId="77777777" w:rsidR="001D1C32" w:rsidRPr="003A6407" w:rsidRDefault="001D1C32" w:rsidP="00552832">
            <w:pPr>
              <w:spacing w:before="120" w:after="120" w:line="240" w:lineRule="auto"/>
              <w:jc w:val="center"/>
              <w:rPr>
                <w:noProof/>
                <w:sz w:val="16"/>
                <w:szCs w:val="16"/>
              </w:rPr>
            </w:pPr>
            <w:r w:rsidRPr="003A6407">
              <w:rPr>
                <w:noProof/>
                <w:sz w:val="16"/>
                <w:szCs w:val="16"/>
              </w:rPr>
              <w:t>km</w:t>
            </w:r>
          </w:p>
        </w:tc>
        <w:tc>
          <w:tcPr>
            <w:tcW w:w="627" w:type="pct"/>
            <w:shd w:val="clear" w:color="auto" w:fill="auto"/>
            <w:vAlign w:val="center"/>
          </w:tcPr>
          <w:p w14:paraId="7EAF8D0B" w14:textId="714046FB" w:rsidR="001D1C32" w:rsidRPr="003A6407" w:rsidRDefault="009E03DD" w:rsidP="00552832">
            <w:pPr>
              <w:spacing w:before="120" w:after="120" w:line="240" w:lineRule="auto"/>
              <w:jc w:val="center"/>
              <w:rPr>
                <w:noProof/>
                <w:sz w:val="16"/>
                <w:szCs w:val="16"/>
              </w:rPr>
            </w:pPr>
            <w:r w:rsidRPr="003A6407">
              <w:rPr>
                <w:noProof/>
                <w:sz w:val="16"/>
                <w:szCs w:val="16"/>
              </w:rPr>
              <w:t>0,00</w:t>
            </w:r>
          </w:p>
        </w:tc>
        <w:tc>
          <w:tcPr>
            <w:tcW w:w="550" w:type="pct"/>
            <w:shd w:val="clear" w:color="auto" w:fill="auto"/>
            <w:vAlign w:val="center"/>
          </w:tcPr>
          <w:p w14:paraId="2FC2DAEE" w14:textId="56B1529C" w:rsidR="001D1C32" w:rsidRPr="003A6407" w:rsidRDefault="00D431C7" w:rsidP="00552832">
            <w:pPr>
              <w:spacing w:before="120" w:after="120" w:line="240" w:lineRule="auto"/>
              <w:jc w:val="center"/>
              <w:rPr>
                <w:noProof/>
                <w:sz w:val="16"/>
                <w:szCs w:val="16"/>
              </w:rPr>
            </w:pPr>
            <w:r>
              <w:rPr>
                <w:noProof/>
                <w:sz w:val="16"/>
                <w:szCs w:val="16"/>
              </w:rPr>
              <w:t>6</w:t>
            </w:r>
            <w:r w:rsidR="007469A8">
              <w:rPr>
                <w:noProof/>
                <w:sz w:val="16"/>
                <w:szCs w:val="16"/>
              </w:rPr>
              <w:t>9</w:t>
            </w:r>
            <w:r>
              <w:rPr>
                <w:noProof/>
                <w:sz w:val="16"/>
                <w:szCs w:val="16"/>
              </w:rPr>
              <w:t>,</w:t>
            </w:r>
            <w:r w:rsidR="007469A8">
              <w:rPr>
                <w:noProof/>
                <w:sz w:val="16"/>
                <w:szCs w:val="16"/>
              </w:rPr>
              <w:t>0</w:t>
            </w:r>
          </w:p>
        </w:tc>
      </w:tr>
      <w:tr w:rsidR="001D1C32" w:rsidRPr="003A6407" w14:paraId="3343BB38" w14:textId="77777777" w:rsidTr="002B58A1">
        <w:trPr>
          <w:trHeight w:val="340"/>
        </w:trPr>
        <w:tc>
          <w:tcPr>
            <w:tcW w:w="5000" w:type="pct"/>
            <w:gridSpan w:val="8"/>
          </w:tcPr>
          <w:p w14:paraId="2D039EE4" w14:textId="77777777" w:rsidR="001D1C32" w:rsidRPr="003A6407" w:rsidRDefault="001D1C32" w:rsidP="009368FA">
            <w:pPr>
              <w:spacing w:before="60" w:after="60" w:line="240" w:lineRule="auto"/>
              <w:jc w:val="both"/>
            </w:pPr>
            <w:r w:rsidRPr="003A6407">
              <w:t>Metodologia:</w:t>
            </w:r>
          </w:p>
          <w:p w14:paraId="7EF367D1" w14:textId="77777777" w:rsidR="001D1C32" w:rsidRPr="003A6407" w:rsidRDefault="001D1C32" w:rsidP="009368FA">
            <w:pPr>
              <w:spacing w:before="60" w:after="60" w:line="240" w:lineRule="auto"/>
              <w:jc w:val="both"/>
            </w:pPr>
            <w:r w:rsidRPr="003A6407">
              <w:t xml:space="preserve">Wskaźnik realizuje kod interwencji: </w:t>
            </w:r>
          </w:p>
          <w:p w14:paraId="5AE2B8B5" w14:textId="6BBAFDB1" w:rsidR="001D1C32" w:rsidRPr="003A6407" w:rsidRDefault="001D1C32">
            <w:pPr>
              <w:numPr>
                <w:ilvl w:val="0"/>
                <w:numId w:val="65"/>
              </w:numPr>
              <w:spacing w:before="60" w:after="60" w:line="240" w:lineRule="auto"/>
              <w:contextualSpacing/>
              <w:jc w:val="both"/>
            </w:pPr>
            <w:r w:rsidRPr="003A6407">
              <w:t xml:space="preserve">083 Infrastruktura </w:t>
            </w:r>
            <w:r w:rsidR="00A913C5">
              <w:t xml:space="preserve">przeznaczona dla </w:t>
            </w:r>
            <w:proofErr w:type="spellStart"/>
            <w:r w:rsidRPr="003A6407">
              <w:t>rowerow</w:t>
            </w:r>
            <w:r w:rsidR="00A913C5">
              <w:t>ów</w:t>
            </w:r>
            <w:proofErr w:type="spellEnd"/>
            <w:r w:rsidRPr="003A6407">
              <w:t xml:space="preserve"> (</w:t>
            </w:r>
            <w:r w:rsidR="00D431C7">
              <w:t xml:space="preserve">29 </w:t>
            </w:r>
            <w:r w:rsidR="004F6B4D">
              <w:t>1</w:t>
            </w:r>
            <w:r w:rsidR="00D431C7">
              <w:t>87 865</w:t>
            </w:r>
            <w:r w:rsidR="009B11F3" w:rsidRPr="003A6407">
              <w:t xml:space="preserve"> </w:t>
            </w:r>
            <w:r w:rsidRPr="003A6407">
              <w:t>EUR)</w:t>
            </w:r>
          </w:p>
          <w:p w14:paraId="556C915C" w14:textId="77777777" w:rsidR="00492EFD" w:rsidRPr="003A6407" w:rsidRDefault="00492EFD" w:rsidP="00EA28C2">
            <w:pPr>
              <w:spacing w:before="60" w:after="60" w:line="240" w:lineRule="auto"/>
              <w:contextualSpacing/>
              <w:jc w:val="both"/>
            </w:pPr>
          </w:p>
          <w:p w14:paraId="4E2DB951" w14:textId="1DF2A770" w:rsidR="00EA28C2" w:rsidRPr="003A6407" w:rsidRDefault="00492EFD" w:rsidP="00EA28C2">
            <w:pPr>
              <w:spacing w:before="60" w:after="60" w:line="240" w:lineRule="auto"/>
              <w:contextualSpacing/>
              <w:jc w:val="both"/>
            </w:pPr>
            <w:r w:rsidRPr="003A6407">
              <w:t xml:space="preserve">Biorąc pod uwagę kurs EUR na poziomie 4,45 wartość alokacji wynosi </w:t>
            </w:r>
            <w:r w:rsidR="00D431C7">
              <w:t>129 885 99</w:t>
            </w:r>
            <w:r w:rsidR="004F6B4D">
              <w:t>9</w:t>
            </w:r>
            <w:r w:rsidR="00D431C7">
              <w:t>,25</w:t>
            </w:r>
            <w:r w:rsidRPr="003A6407">
              <w:t xml:space="preserve"> PLN.</w:t>
            </w:r>
          </w:p>
          <w:p w14:paraId="46D4D44A" w14:textId="77777777" w:rsidR="001D1C32" w:rsidRPr="003A6407" w:rsidRDefault="001D1C32" w:rsidP="009368FA">
            <w:pPr>
              <w:spacing w:before="60" w:after="60" w:line="240" w:lineRule="auto"/>
              <w:jc w:val="both"/>
            </w:pPr>
          </w:p>
          <w:p w14:paraId="6DE1013B" w14:textId="6DF6F852" w:rsidR="001D1C32" w:rsidRPr="003A6407" w:rsidRDefault="001D1C32" w:rsidP="009368FA">
            <w:pPr>
              <w:jc w:val="both"/>
              <w:rPr>
                <w:rFonts w:eastAsia="Calibri"/>
              </w:rPr>
            </w:pPr>
            <w:r w:rsidRPr="003A6407">
              <w:rPr>
                <w:rFonts w:eastAsia="Calibri"/>
              </w:rPr>
              <w:t>Historyczny kwalifikowalny koszt jednostkowy został wyliczony w oparciu o projekty obejmujące budowę ścieżek rowerowych oraz dróg rowerowych, realizowane w ramach działań 3.4 i 4.4 RPO WD 2014-2020 i wynosi 1 256 079,60 PLN</w:t>
            </w:r>
            <w:r w:rsidR="00492EFD" w:rsidRPr="003A6407">
              <w:rPr>
                <w:rFonts w:eastAsia="Calibri"/>
              </w:rPr>
              <w:t xml:space="preserve">. Koszt jednostkowy został skorygowany w oparciu o wartość inflacji na poziomie 15% i wynosi </w:t>
            </w:r>
            <w:r w:rsidR="00B872E2" w:rsidRPr="003A6407">
              <w:rPr>
                <w:rFonts w:eastAsia="Calibri"/>
              </w:rPr>
              <w:t xml:space="preserve">1 444 491,54 </w:t>
            </w:r>
            <w:r w:rsidR="00492EFD" w:rsidRPr="003A6407">
              <w:rPr>
                <w:rFonts w:eastAsia="Calibri"/>
              </w:rPr>
              <w:t xml:space="preserve">PLN, a obniżony do wartości dofinansowania na poziomie 70% wynosi </w:t>
            </w:r>
            <w:r w:rsidR="00B872E2" w:rsidRPr="003A6407">
              <w:rPr>
                <w:rFonts w:eastAsia="Calibri"/>
              </w:rPr>
              <w:t>1 011 144,08</w:t>
            </w:r>
            <w:r w:rsidR="00492EFD" w:rsidRPr="003A6407">
              <w:rPr>
                <w:rFonts w:eastAsia="Calibri"/>
              </w:rPr>
              <w:t xml:space="preserve"> PLN</w:t>
            </w:r>
            <w:r w:rsidRPr="003A6407">
              <w:rPr>
                <w:rFonts w:eastAsia="Calibri"/>
              </w:rPr>
              <w:t xml:space="preserve"> </w:t>
            </w:r>
            <w:r w:rsidR="00800F9D" w:rsidRPr="003A6407">
              <w:rPr>
                <w:rFonts w:eastAsia="Calibri"/>
              </w:rPr>
              <w:t>N</w:t>
            </w:r>
            <w:r w:rsidRPr="003A6407">
              <w:rPr>
                <w:rFonts w:eastAsia="Calibri"/>
              </w:rPr>
              <w:t xml:space="preserve">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6BF93947" w14:textId="77777777" w:rsidR="001D1C32" w:rsidRPr="003A6407" w:rsidRDefault="001D1C32" w:rsidP="009368FA">
            <w:pPr>
              <w:rPr>
                <w:rFonts w:eastAsia="Calibri"/>
              </w:rPr>
            </w:pPr>
            <w:r w:rsidRPr="003A6407">
              <w:rPr>
                <w:rFonts w:eastAsia="Calibri"/>
              </w:rPr>
              <w:t>R: [(3*25)+(3*68)]/6 = 46,5%</w:t>
            </w:r>
          </w:p>
          <w:p w14:paraId="53175AF1" w14:textId="77777777" w:rsidR="001D1C32" w:rsidRPr="003A6407" w:rsidRDefault="001D1C32" w:rsidP="009368FA">
            <w:pPr>
              <w:rPr>
                <w:rFonts w:eastAsia="Calibri"/>
              </w:rPr>
            </w:pPr>
            <w:r w:rsidRPr="003A6407">
              <w:rPr>
                <w:rFonts w:eastAsia="Calibri"/>
              </w:rPr>
              <w:t>Wyliczenie:</w:t>
            </w:r>
          </w:p>
          <w:p w14:paraId="4208BD05" w14:textId="210A9C2C" w:rsidR="001D1C32" w:rsidRPr="003A6407" w:rsidRDefault="00D431C7" w:rsidP="009368FA">
            <w:pPr>
              <w:rPr>
                <w:rFonts w:eastAsia="Calibri"/>
              </w:rPr>
            </w:pPr>
            <w:r w:rsidRPr="00D431C7">
              <w:rPr>
                <w:rFonts w:eastAsia="Calibri"/>
              </w:rPr>
              <w:t>129 885 99</w:t>
            </w:r>
            <w:r w:rsidR="004F6B4D">
              <w:rPr>
                <w:rFonts w:eastAsia="Calibri"/>
              </w:rPr>
              <w:t>9</w:t>
            </w:r>
            <w:r w:rsidRPr="00D431C7">
              <w:rPr>
                <w:rFonts w:eastAsia="Calibri"/>
              </w:rPr>
              <w:t xml:space="preserve">,25 </w:t>
            </w:r>
            <w:r w:rsidR="001D1C32" w:rsidRPr="003A6407">
              <w:rPr>
                <w:rFonts w:eastAsia="Calibri"/>
              </w:rPr>
              <w:t xml:space="preserve">/ </w:t>
            </w:r>
            <w:r w:rsidR="00800F9D" w:rsidRPr="003A6407">
              <w:rPr>
                <w:rFonts w:eastAsia="Calibri"/>
              </w:rPr>
              <w:t xml:space="preserve">1 011 144,08 </w:t>
            </w:r>
            <w:r w:rsidR="001D1C32" w:rsidRPr="003A6407">
              <w:rPr>
                <w:rFonts w:eastAsia="Calibri"/>
              </w:rPr>
              <w:t xml:space="preserve">* (1-0,465) = </w:t>
            </w:r>
            <w:r w:rsidR="00800F9D" w:rsidRPr="003A6407">
              <w:rPr>
                <w:rFonts w:eastAsia="Calibri"/>
              </w:rPr>
              <w:t xml:space="preserve"> </w:t>
            </w:r>
            <w:r>
              <w:rPr>
                <w:rFonts w:eastAsia="Calibri"/>
              </w:rPr>
              <w:t>68,7</w:t>
            </w:r>
            <w:r w:rsidR="001D1C32" w:rsidRPr="003A6407">
              <w:rPr>
                <w:rFonts w:eastAsia="Calibri"/>
              </w:rPr>
              <w:t xml:space="preserve"> </w:t>
            </w:r>
            <w:r w:rsidR="007469A8">
              <w:rPr>
                <w:rFonts w:eastAsia="Calibri"/>
              </w:rPr>
              <w:t>~ 69</w:t>
            </w:r>
            <w:r w:rsidR="001D1C32" w:rsidRPr="003A6407">
              <w:rPr>
                <w:rFonts w:eastAsia="Calibri"/>
              </w:rPr>
              <w:t>km</w:t>
            </w:r>
          </w:p>
          <w:p w14:paraId="6448511D" w14:textId="77777777" w:rsidR="001D1C32" w:rsidRPr="003A6407" w:rsidRDefault="001D1C32" w:rsidP="009368FA">
            <w:pPr>
              <w:spacing w:before="60" w:after="60" w:line="240" w:lineRule="auto"/>
              <w:jc w:val="both"/>
            </w:pPr>
            <w:r w:rsidRPr="003A6407">
              <w:t>Należy zwrócić szczególną uwagę na następujące czynniki ryzyka, które mogą mieć wpływ na poziom osiągnięcia założonej wartości docelowej:</w:t>
            </w:r>
          </w:p>
          <w:p w14:paraId="455CBFBE" w14:textId="77777777" w:rsidR="001D1C32" w:rsidRPr="003A6407" w:rsidRDefault="001D1C32" w:rsidP="009368FA">
            <w:pPr>
              <w:spacing w:before="60" w:after="60" w:line="240" w:lineRule="auto"/>
              <w:jc w:val="both"/>
            </w:pPr>
            <w:r w:rsidRPr="003A6407">
              <w:rPr>
                <w:b/>
              </w:rPr>
              <w:t>• ryzyko wzrostu cen</w:t>
            </w:r>
            <w:r w:rsidRPr="003A6407">
              <w:t xml:space="preserve"> - ryzyko związane ze wzrostem cen gazu, energii, materiałów budowlanych, sprzętu i usług; ryzyko związane z poziomem inflacji; (istotność: poważna)</w:t>
            </w:r>
          </w:p>
          <w:p w14:paraId="1234BFAE" w14:textId="77777777" w:rsidR="001D1C32" w:rsidRPr="003A6407" w:rsidRDefault="001D1C32" w:rsidP="009368FA">
            <w:pPr>
              <w:spacing w:before="60" w:after="60" w:line="240" w:lineRule="auto"/>
              <w:jc w:val="both"/>
            </w:pPr>
            <w:r w:rsidRPr="003A6407">
              <w:rPr>
                <w:b/>
              </w:rPr>
              <w:t>• 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0CAA4005" w14:textId="77777777" w:rsidR="001D1C32" w:rsidRPr="003A6407" w:rsidRDefault="001D1C32" w:rsidP="009368FA">
            <w:pPr>
              <w:spacing w:before="60" w:after="60" w:line="240" w:lineRule="auto"/>
              <w:jc w:val="both"/>
            </w:pPr>
            <w:r w:rsidRPr="003A6407">
              <w:rPr>
                <w:b/>
              </w:rPr>
              <w:t>• zawieszenie płatności przez KE dla danej osi priorytetowej</w:t>
            </w:r>
            <w:r w:rsidRPr="003A6407">
              <w:t>; (istotność: umiarkowana)</w:t>
            </w:r>
          </w:p>
          <w:p w14:paraId="7A66B011" w14:textId="77777777" w:rsidR="001D1C32" w:rsidRPr="003A6407" w:rsidRDefault="001D1C32" w:rsidP="009368FA">
            <w:pPr>
              <w:spacing w:before="60" w:after="60" w:line="240" w:lineRule="auto"/>
              <w:jc w:val="both"/>
            </w:pPr>
            <w:r w:rsidRPr="003A6407">
              <w:rPr>
                <w:b/>
              </w:rPr>
              <w:t>• wartości planowanych w Kontrakcie Programowym projektów</w:t>
            </w:r>
            <w:r w:rsidRPr="003A6407">
              <w:t xml:space="preserve"> – mogą ulec zmianie podczas doprecyzowania projektów; (istotność: umiarkowana)</w:t>
            </w:r>
          </w:p>
          <w:p w14:paraId="507D7B7A" w14:textId="77777777" w:rsidR="001D1C32" w:rsidRPr="003A6407" w:rsidRDefault="001D1C32" w:rsidP="009368FA">
            <w:pPr>
              <w:spacing w:before="60" w:after="60" w:line="240" w:lineRule="auto"/>
              <w:jc w:val="both"/>
            </w:pPr>
            <w:r w:rsidRPr="003A6407">
              <w:rPr>
                <w:b/>
              </w:rPr>
              <w:t>• problemy z zabezpieczeniem wkładu własnego wnioskodawcy</w:t>
            </w:r>
            <w:r w:rsidRPr="003A6407">
              <w:t>; (istotność: poważna)</w:t>
            </w:r>
          </w:p>
          <w:p w14:paraId="01EA6FD7" w14:textId="77777777" w:rsidR="001D1C32" w:rsidRPr="003A6407" w:rsidRDefault="001D1C32" w:rsidP="009368FA">
            <w:pPr>
              <w:spacing w:before="60" w:after="60" w:line="240" w:lineRule="auto"/>
              <w:jc w:val="both"/>
              <w:rPr>
                <w:bCs/>
              </w:rPr>
            </w:pPr>
            <w:r w:rsidRPr="003A6407">
              <w:rPr>
                <w:b/>
              </w:rPr>
              <w:t xml:space="preserve">• opóźnienia, </w:t>
            </w:r>
            <w:r w:rsidRPr="003A6407">
              <w:rPr>
                <w:bCs/>
              </w:rPr>
              <w:t xml:space="preserve">bądź niewykonanie projektu związane z procedurami wynikającymi z zamówień publicznych; opóźnienia związane z przygotowanie projektu do realizacji, projekt będzie realizowany na terenie wielu </w:t>
            </w:r>
            <w:proofErr w:type="spellStart"/>
            <w:r w:rsidRPr="003A6407">
              <w:rPr>
                <w:bCs/>
              </w:rPr>
              <w:t>jst</w:t>
            </w:r>
            <w:proofErr w:type="spellEnd"/>
            <w:r w:rsidRPr="003A6407">
              <w:rPr>
                <w:bCs/>
              </w:rPr>
              <w:t xml:space="preserve"> (istotność: poważna)</w:t>
            </w:r>
            <w:r w:rsidR="00DC43F3" w:rsidRPr="003A6407">
              <w:rPr>
                <w:bCs/>
              </w:rPr>
              <w:t>.</w:t>
            </w:r>
          </w:p>
          <w:p w14:paraId="48F3D5A6" w14:textId="77777777" w:rsidR="00DC43F3" w:rsidRPr="003A6407" w:rsidRDefault="00DC43F3" w:rsidP="009368FA">
            <w:pPr>
              <w:spacing w:before="60" w:after="60" w:line="240" w:lineRule="auto"/>
              <w:jc w:val="both"/>
            </w:pPr>
          </w:p>
          <w:p w14:paraId="7FEF3BEA" w14:textId="4583EFDA" w:rsidR="00DC43F3" w:rsidRPr="003A6407" w:rsidRDefault="00DC43F3" w:rsidP="00DC43F3">
            <w:pPr>
              <w:spacing w:before="60" w:after="60" w:line="240" w:lineRule="auto"/>
              <w:jc w:val="both"/>
              <w:rPr>
                <w:b/>
              </w:rPr>
            </w:pPr>
            <w:r w:rsidRPr="003A6407">
              <w:rPr>
                <w:b/>
              </w:rPr>
              <w:t>Uzasadnienie dla celu pośredniego:</w:t>
            </w:r>
          </w:p>
          <w:p w14:paraId="34ACB484" w14:textId="606AE565" w:rsidR="00DC43F3" w:rsidRPr="003A6407" w:rsidRDefault="00DC43F3" w:rsidP="00DC43F3">
            <w:pPr>
              <w:spacing w:before="60" w:after="60" w:line="240" w:lineRule="auto"/>
              <w:jc w:val="both"/>
              <w:rPr>
                <w:b/>
              </w:rPr>
            </w:pPr>
            <w:r w:rsidRPr="003A6407">
              <w:rPr>
                <w:b/>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6c ), na podstawie Sprawozdania rocznego z 2021 r. - wskaźnik pn. </w:t>
            </w:r>
          </w:p>
          <w:p w14:paraId="6095FBE6" w14:textId="77777777" w:rsidR="00DC43F3" w:rsidRPr="003A6407" w:rsidRDefault="00DC43F3" w:rsidP="00DC43F3">
            <w:pPr>
              <w:spacing w:before="60" w:after="60" w:line="240" w:lineRule="auto"/>
              <w:jc w:val="both"/>
              <w:rPr>
                <w:b/>
              </w:rPr>
            </w:pPr>
            <w:r w:rsidRPr="003A6407">
              <w:rPr>
                <w:b/>
              </w:rPr>
              <w:t>Liczba zabytków nieruchomych objętych wsparciem dopiero w 2017 r. osiągnął wartość 2, co wobec wartości z wykonania na 2021 r. (55) stanowi zaledwie 3,64%.</w:t>
            </w:r>
          </w:p>
          <w:p w14:paraId="74ED9F7C" w14:textId="6DA34404" w:rsidR="00DC43F3" w:rsidRPr="003A6407" w:rsidRDefault="00DC43F3" w:rsidP="00DC43F3">
            <w:pPr>
              <w:spacing w:before="60" w:after="60" w:line="240" w:lineRule="auto"/>
              <w:jc w:val="both"/>
              <w:rPr>
                <w:b/>
              </w:rPr>
            </w:pPr>
            <w:r w:rsidRPr="003A6407">
              <w:rPr>
                <w:b/>
              </w:rPr>
              <w:t>Wskaźnik: Wzrost oczekiwanej liczby odwiedzin w objętych wsparciem obiektach dziedzictwa kulturowego i naturalnego oraz stanowiących atrakcje turystyczne (CI 9) w 2017 r. osiągnął wartość 0, co wobec wartości z wykonania na 2021 r. (679 256) stanowi 0</w:t>
            </w:r>
            <w:r w:rsidR="00412D9C" w:rsidRPr="003A6407">
              <w:rPr>
                <w:b/>
              </w:rPr>
              <w:t>%</w:t>
            </w:r>
            <w:r w:rsidRPr="003A6407">
              <w:rPr>
                <w:b/>
              </w:rPr>
              <w:t>.</w:t>
            </w:r>
          </w:p>
          <w:p w14:paraId="76B32F6B" w14:textId="49EFFB93" w:rsidR="00DC43F3" w:rsidRPr="003A6407" w:rsidRDefault="00DC43F3" w:rsidP="00DC43F3">
            <w:pPr>
              <w:spacing w:before="60" w:after="60" w:line="240" w:lineRule="auto"/>
              <w:jc w:val="both"/>
              <w:rPr>
                <w:b/>
              </w:rPr>
            </w:pPr>
            <w:r w:rsidRPr="003A6407">
              <w:rPr>
                <w:b/>
              </w:rPr>
              <w:t>Mając na uwadze, że 2017 r. był już czwartym rokiem wdrażania programu RPO WD 2014-2020, a rok 2024 będzie de facto dopiero drugim rokiem wdrażania FEDS, wartość pośrednią dla tego wskaźnika ustalono jako 0.</w:t>
            </w:r>
          </w:p>
          <w:p w14:paraId="78F6E889" w14:textId="1875B526" w:rsidR="00DC43F3" w:rsidRPr="003A6407" w:rsidRDefault="00DC43F3" w:rsidP="00DC43F3">
            <w:pPr>
              <w:spacing w:before="60" w:after="60" w:line="240" w:lineRule="auto"/>
              <w:jc w:val="both"/>
              <w:rPr>
                <w:b/>
              </w:rPr>
            </w:pPr>
          </w:p>
        </w:tc>
      </w:tr>
    </w:tbl>
    <w:p w14:paraId="4CDCA4FF" w14:textId="77777777" w:rsidR="00552832" w:rsidRPr="003A6407" w:rsidRDefault="00552832"/>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40D26F50" w14:textId="77777777" w:rsidTr="00552832">
        <w:trPr>
          <w:cantSplit/>
          <w:trHeight w:val="1647"/>
        </w:trPr>
        <w:tc>
          <w:tcPr>
            <w:tcW w:w="451" w:type="pct"/>
            <w:vAlign w:val="center"/>
          </w:tcPr>
          <w:p w14:paraId="4686BF48" w14:textId="77777777" w:rsidR="00110039" w:rsidRPr="003A6407" w:rsidRDefault="00110039" w:rsidP="00552832">
            <w:pPr>
              <w:spacing w:before="120" w:after="120" w:line="240" w:lineRule="auto"/>
              <w:jc w:val="center"/>
              <w:rPr>
                <w:b/>
                <w:noProof/>
                <w:sz w:val="16"/>
                <w:szCs w:val="16"/>
              </w:rPr>
            </w:pPr>
            <w:bookmarkStart w:id="216" w:name="_Toc97013489"/>
            <w:r w:rsidRPr="003A6407">
              <w:rPr>
                <w:b/>
                <w:noProof/>
                <w:sz w:val="16"/>
                <w:szCs w:val="16"/>
              </w:rPr>
              <w:lastRenderedPageBreak/>
              <w:t>CP 4</w:t>
            </w:r>
          </w:p>
          <w:p w14:paraId="3A650EDD" w14:textId="47B29963" w:rsidR="00110039" w:rsidRPr="003A6407" w:rsidRDefault="00110039" w:rsidP="00552832">
            <w:pPr>
              <w:spacing w:before="120" w:after="120" w:line="240" w:lineRule="auto"/>
              <w:jc w:val="center"/>
              <w:rPr>
                <w:b/>
                <w:noProof/>
                <w:sz w:val="16"/>
                <w:szCs w:val="16"/>
              </w:rPr>
            </w:pPr>
            <w:r w:rsidRPr="003A6407">
              <w:rPr>
                <w:b/>
                <w:noProof/>
                <w:sz w:val="16"/>
                <w:szCs w:val="16"/>
              </w:rPr>
              <w:t>Cel szczegółowy</w:t>
            </w:r>
          </w:p>
        </w:tc>
        <w:tc>
          <w:tcPr>
            <w:tcW w:w="494" w:type="pct"/>
            <w:vAlign w:val="center"/>
          </w:tcPr>
          <w:p w14:paraId="51F808BB" w14:textId="77777777" w:rsidR="00110039" w:rsidRPr="003A6407" w:rsidRDefault="00110039" w:rsidP="00552832">
            <w:pPr>
              <w:spacing w:before="120" w:after="120" w:line="240" w:lineRule="auto"/>
              <w:jc w:val="center"/>
              <w:rPr>
                <w:b/>
                <w:noProof/>
                <w:sz w:val="16"/>
                <w:szCs w:val="16"/>
              </w:rPr>
            </w:pPr>
            <w:r w:rsidRPr="003A6407">
              <w:rPr>
                <w:b/>
                <w:noProof/>
                <w:sz w:val="16"/>
                <w:szCs w:val="16"/>
              </w:rPr>
              <w:t>Fundusz</w:t>
            </w:r>
          </w:p>
        </w:tc>
        <w:tc>
          <w:tcPr>
            <w:tcW w:w="558" w:type="pct"/>
            <w:vAlign w:val="center"/>
          </w:tcPr>
          <w:p w14:paraId="3373BC9C" w14:textId="77777777" w:rsidR="00110039" w:rsidRPr="003A6407" w:rsidRDefault="00110039" w:rsidP="00552832">
            <w:pPr>
              <w:spacing w:before="120" w:after="120" w:line="240" w:lineRule="auto"/>
              <w:jc w:val="center"/>
              <w:rPr>
                <w:b/>
                <w:noProof/>
                <w:sz w:val="16"/>
                <w:szCs w:val="16"/>
              </w:rPr>
            </w:pPr>
            <w:r w:rsidRPr="003A6407">
              <w:rPr>
                <w:b/>
                <w:noProof/>
                <w:sz w:val="16"/>
                <w:szCs w:val="16"/>
              </w:rPr>
              <w:t>Kategoria regionu</w:t>
            </w:r>
          </w:p>
        </w:tc>
        <w:tc>
          <w:tcPr>
            <w:tcW w:w="360" w:type="pct"/>
            <w:textDirection w:val="btLr"/>
            <w:vAlign w:val="center"/>
          </w:tcPr>
          <w:p w14:paraId="7A177BDE" w14:textId="77777777" w:rsidR="00110039" w:rsidRPr="003A6407" w:rsidRDefault="00110039" w:rsidP="00552832">
            <w:pPr>
              <w:spacing w:before="120" w:after="120" w:line="240" w:lineRule="auto"/>
              <w:ind w:left="113" w:right="113"/>
              <w:jc w:val="center"/>
              <w:rPr>
                <w:b/>
                <w:noProof/>
                <w:sz w:val="16"/>
                <w:szCs w:val="16"/>
              </w:rPr>
            </w:pPr>
            <w:r w:rsidRPr="003A6407">
              <w:rPr>
                <w:b/>
                <w:noProof/>
                <w:sz w:val="16"/>
                <w:szCs w:val="16"/>
              </w:rPr>
              <w:t>Nr identyfikacyjny [5]</w:t>
            </w:r>
          </w:p>
        </w:tc>
        <w:tc>
          <w:tcPr>
            <w:tcW w:w="1411" w:type="pct"/>
            <w:shd w:val="clear" w:color="auto" w:fill="auto"/>
            <w:vAlign w:val="center"/>
          </w:tcPr>
          <w:p w14:paraId="71F7F3A0" w14:textId="29B34122" w:rsidR="00110039" w:rsidRPr="003A6407" w:rsidRDefault="00110039" w:rsidP="00552832">
            <w:pPr>
              <w:spacing w:before="120" w:after="120" w:line="240" w:lineRule="auto"/>
              <w:jc w:val="center"/>
              <w:rPr>
                <w:b/>
                <w:noProof/>
                <w:sz w:val="16"/>
                <w:szCs w:val="16"/>
              </w:rPr>
            </w:pPr>
            <w:r w:rsidRPr="003A6407">
              <w:rPr>
                <w:b/>
                <w:noProof/>
                <w:sz w:val="16"/>
                <w:szCs w:val="16"/>
              </w:rPr>
              <w:t>Wskaźnik [255]</w:t>
            </w:r>
          </w:p>
        </w:tc>
        <w:tc>
          <w:tcPr>
            <w:tcW w:w="549" w:type="pct"/>
            <w:vAlign w:val="center"/>
          </w:tcPr>
          <w:p w14:paraId="504A2441" w14:textId="77777777" w:rsidR="00110039" w:rsidRPr="003A6407" w:rsidRDefault="00110039" w:rsidP="00552832">
            <w:pPr>
              <w:spacing w:before="120" w:after="120" w:line="240" w:lineRule="auto"/>
              <w:jc w:val="center"/>
              <w:rPr>
                <w:b/>
                <w:noProof/>
                <w:sz w:val="16"/>
                <w:szCs w:val="16"/>
              </w:rPr>
            </w:pPr>
            <w:r w:rsidRPr="003A6407">
              <w:rPr>
                <w:b/>
                <w:noProof/>
                <w:sz w:val="16"/>
                <w:szCs w:val="16"/>
              </w:rPr>
              <w:t>Jednostka miary</w:t>
            </w:r>
          </w:p>
        </w:tc>
        <w:tc>
          <w:tcPr>
            <w:tcW w:w="627" w:type="pct"/>
            <w:shd w:val="clear" w:color="auto" w:fill="auto"/>
            <w:vAlign w:val="center"/>
          </w:tcPr>
          <w:p w14:paraId="475DB771" w14:textId="77777777" w:rsidR="00110039" w:rsidRPr="003A6407" w:rsidRDefault="00110039" w:rsidP="00552832">
            <w:pPr>
              <w:spacing w:before="120" w:after="120" w:line="240" w:lineRule="auto"/>
              <w:jc w:val="center"/>
              <w:rPr>
                <w:b/>
                <w:noProof/>
                <w:sz w:val="16"/>
                <w:szCs w:val="16"/>
              </w:rPr>
            </w:pPr>
            <w:r w:rsidRPr="003A6407">
              <w:rPr>
                <w:b/>
                <w:noProof/>
                <w:sz w:val="16"/>
                <w:szCs w:val="16"/>
              </w:rPr>
              <w:t>Cel pośredni (2024)</w:t>
            </w:r>
          </w:p>
          <w:p w14:paraId="71533E1E" w14:textId="77777777" w:rsidR="00110039" w:rsidRPr="003A6407" w:rsidRDefault="00110039" w:rsidP="00552832">
            <w:pPr>
              <w:spacing w:before="120" w:after="120" w:line="240" w:lineRule="auto"/>
              <w:jc w:val="center"/>
              <w:rPr>
                <w:b/>
                <w:noProof/>
                <w:sz w:val="16"/>
                <w:szCs w:val="16"/>
              </w:rPr>
            </w:pPr>
          </w:p>
        </w:tc>
        <w:tc>
          <w:tcPr>
            <w:tcW w:w="550" w:type="pct"/>
            <w:shd w:val="clear" w:color="auto" w:fill="auto"/>
            <w:vAlign w:val="center"/>
          </w:tcPr>
          <w:p w14:paraId="2182FD76" w14:textId="77777777" w:rsidR="00110039" w:rsidRPr="003A6407" w:rsidRDefault="00110039" w:rsidP="00552832">
            <w:pPr>
              <w:spacing w:before="120" w:after="120" w:line="240" w:lineRule="auto"/>
              <w:jc w:val="center"/>
              <w:rPr>
                <w:b/>
                <w:noProof/>
                <w:sz w:val="16"/>
                <w:szCs w:val="16"/>
              </w:rPr>
            </w:pPr>
            <w:r w:rsidRPr="003A6407">
              <w:rPr>
                <w:b/>
                <w:noProof/>
                <w:sz w:val="16"/>
                <w:szCs w:val="16"/>
              </w:rPr>
              <w:t>Cel (2029)</w:t>
            </w:r>
          </w:p>
          <w:p w14:paraId="39425562" w14:textId="77777777" w:rsidR="00110039" w:rsidRPr="003A6407" w:rsidRDefault="00110039" w:rsidP="00552832">
            <w:pPr>
              <w:spacing w:before="120" w:after="120" w:line="240" w:lineRule="auto"/>
              <w:jc w:val="center"/>
              <w:rPr>
                <w:b/>
                <w:noProof/>
                <w:sz w:val="16"/>
                <w:szCs w:val="16"/>
              </w:rPr>
            </w:pPr>
          </w:p>
        </w:tc>
      </w:tr>
      <w:tr w:rsidR="00110039" w:rsidRPr="003A6407" w14:paraId="2DEA4D43" w14:textId="77777777" w:rsidTr="00552832">
        <w:trPr>
          <w:trHeight w:val="340"/>
        </w:trPr>
        <w:tc>
          <w:tcPr>
            <w:tcW w:w="451" w:type="pct"/>
            <w:vAlign w:val="center"/>
          </w:tcPr>
          <w:p w14:paraId="2DBE69F8" w14:textId="77777777" w:rsidR="00110039" w:rsidRDefault="00110039" w:rsidP="00552832">
            <w:pPr>
              <w:spacing w:before="120" w:after="120" w:line="240" w:lineRule="auto"/>
              <w:jc w:val="center"/>
              <w:rPr>
                <w:noProof/>
                <w:sz w:val="16"/>
                <w:szCs w:val="16"/>
              </w:rPr>
            </w:pPr>
            <w:r w:rsidRPr="003A6407">
              <w:rPr>
                <w:noProof/>
                <w:sz w:val="16"/>
                <w:szCs w:val="16"/>
              </w:rPr>
              <w:t>4 (vi)</w:t>
            </w:r>
          </w:p>
          <w:p w14:paraId="64051A51" w14:textId="16F40A3F" w:rsidR="001C6669" w:rsidRPr="003A6407" w:rsidRDefault="001C6669" w:rsidP="00552832">
            <w:pPr>
              <w:spacing w:before="120" w:after="120" w:line="240" w:lineRule="auto"/>
              <w:jc w:val="center"/>
              <w:rPr>
                <w:noProof/>
                <w:sz w:val="16"/>
                <w:szCs w:val="16"/>
              </w:rPr>
            </w:pPr>
            <w:r>
              <w:rPr>
                <w:noProof/>
                <w:sz w:val="16"/>
                <w:szCs w:val="16"/>
              </w:rPr>
              <w:t>4.6</w:t>
            </w:r>
          </w:p>
        </w:tc>
        <w:tc>
          <w:tcPr>
            <w:tcW w:w="494" w:type="pct"/>
            <w:vAlign w:val="center"/>
          </w:tcPr>
          <w:p w14:paraId="32CF6F7E" w14:textId="77777777" w:rsidR="00110039" w:rsidRPr="003A6407" w:rsidRDefault="00110039" w:rsidP="00552832">
            <w:pPr>
              <w:spacing w:before="120" w:after="120" w:line="240" w:lineRule="auto"/>
              <w:jc w:val="center"/>
              <w:rPr>
                <w:noProof/>
                <w:sz w:val="16"/>
                <w:szCs w:val="16"/>
              </w:rPr>
            </w:pPr>
            <w:r w:rsidRPr="003A6407">
              <w:rPr>
                <w:noProof/>
                <w:sz w:val="16"/>
                <w:szCs w:val="16"/>
              </w:rPr>
              <w:t>EFRR</w:t>
            </w:r>
          </w:p>
        </w:tc>
        <w:tc>
          <w:tcPr>
            <w:tcW w:w="558" w:type="pct"/>
            <w:vAlign w:val="center"/>
          </w:tcPr>
          <w:p w14:paraId="5AF4F4FC" w14:textId="77777777" w:rsidR="00110039" w:rsidRPr="003A6407" w:rsidRDefault="00110039" w:rsidP="00552832">
            <w:pPr>
              <w:spacing w:before="120" w:after="120" w:line="240" w:lineRule="auto"/>
              <w:jc w:val="center"/>
              <w:rPr>
                <w:noProof/>
                <w:sz w:val="16"/>
                <w:szCs w:val="16"/>
              </w:rPr>
            </w:pPr>
            <w:r w:rsidRPr="003A6407">
              <w:rPr>
                <w:noProof/>
                <w:sz w:val="16"/>
                <w:szCs w:val="16"/>
              </w:rPr>
              <w:t>przejściowy</w:t>
            </w:r>
          </w:p>
        </w:tc>
        <w:tc>
          <w:tcPr>
            <w:tcW w:w="360" w:type="pct"/>
            <w:vAlign w:val="center"/>
          </w:tcPr>
          <w:p w14:paraId="02675AF1" w14:textId="2AB1A9A4" w:rsidR="00110039" w:rsidRPr="003A6407" w:rsidRDefault="00110039" w:rsidP="00552832">
            <w:pPr>
              <w:spacing w:before="120" w:after="120" w:line="240" w:lineRule="auto"/>
              <w:jc w:val="center"/>
              <w:rPr>
                <w:noProof/>
                <w:sz w:val="16"/>
                <w:szCs w:val="16"/>
              </w:rPr>
            </w:pPr>
            <w:r w:rsidRPr="003A6407">
              <w:rPr>
                <w:noProof/>
                <w:sz w:val="16"/>
                <w:szCs w:val="16"/>
              </w:rPr>
              <w:t>PLRO132</w:t>
            </w:r>
          </w:p>
        </w:tc>
        <w:tc>
          <w:tcPr>
            <w:tcW w:w="1411" w:type="pct"/>
            <w:shd w:val="clear" w:color="auto" w:fill="auto"/>
            <w:vAlign w:val="center"/>
          </w:tcPr>
          <w:p w14:paraId="52187889" w14:textId="18CB2E6E" w:rsidR="00110039" w:rsidRPr="003A6407" w:rsidRDefault="00110039" w:rsidP="00552832">
            <w:pPr>
              <w:keepNext/>
              <w:keepLines/>
              <w:spacing w:before="200" w:after="0"/>
              <w:jc w:val="center"/>
              <w:outlineLvl w:val="2"/>
              <w:rPr>
                <w:rFonts w:eastAsiaTheme="majorEastAsia" w:cstheme="majorBidi"/>
                <w:b/>
                <w:bCs/>
                <w:noProof/>
                <w:sz w:val="16"/>
                <w:szCs w:val="16"/>
              </w:rPr>
            </w:pPr>
            <w:bookmarkStart w:id="217" w:name="_Toc120464440"/>
            <w:r w:rsidRPr="003A6407">
              <w:rPr>
                <w:rFonts w:asciiTheme="minorHAnsi" w:eastAsia="Times New Roman" w:hAnsiTheme="minorHAnsi" w:cstheme="minorHAnsi"/>
                <w:bCs/>
                <w:noProof/>
                <w:sz w:val="16"/>
                <w:szCs w:val="16"/>
              </w:rPr>
              <w:t>Liczba obiektów dostosowanych do potrzeb osób z niepełnosprawnościami</w:t>
            </w:r>
            <w:bookmarkEnd w:id="217"/>
          </w:p>
        </w:tc>
        <w:tc>
          <w:tcPr>
            <w:tcW w:w="549" w:type="pct"/>
            <w:vAlign w:val="center"/>
          </w:tcPr>
          <w:p w14:paraId="0FD50753" w14:textId="77777777" w:rsidR="00110039" w:rsidRPr="003A6407" w:rsidRDefault="00110039" w:rsidP="00552832">
            <w:pPr>
              <w:spacing w:before="120" w:after="120" w:line="240" w:lineRule="auto"/>
              <w:jc w:val="center"/>
              <w:rPr>
                <w:noProof/>
                <w:sz w:val="16"/>
                <w:szCs w:val="16"/>
              </w:rPr>
            </w:pPr>
            <w:r w:rsidRPr="003A6407">
              <w:rPr>
                <w:noProof/>
                <w:sz w:val="16"/>
                <w:szCs w:val="16"/>
              </w:rPr>
              <w:t>szt</w:t>
            </w:r>
          </w:p>
        </w:tc>
        <w:tc>
          <w:tcPr>
            <w:tcW w:w="627" w:type="pct"/>
            <w:shd w:val="clear" w:color="auto" w:fill="auto"/>
            <w:vAlign w:val="center"/>
          </w:tcPr>
          <w:p w14:paraId="7A86C6AD" w14:textId="7FA35307" w:rsidR="00110039" w:rsidRPr="003A6407" w:rsidRDefault="007469A8" w:rsidP="00552832">
            <w:pPr>
              <w:spacing w:before="120" w:after="120" w:line="240" w:lineRule="auto"/>
              <w:jc w:val="center"/>
              <w:rPr>
                <w:noProof/>
                <w:sz w:val="16"/>
                <w:szCs w:val="16"/>
              </w:rPr>
            </w:pPr>
            <w:r>
              <w:rPr>
                <w:noProof/>
                <w:sz w:val="16"/>
                <w:szCs w:val="16"/>
              </w:rPr>
              <w:t>0</w:t>
            </w:r>
            <w:r w:rsidR="009E03DD" w:rsidRPr="003A6407">
              <w:rPr>
                <w:noProof/>
                <w:sz w:val="16"/>
                <w:szCs w:val="16"/>
              </w:rPr>
              <w:t>,00</w:t>
            </w:r>
          </w:p>
        </w:tc>
        <w:tc>
          <w:tcPr>
            <w:tcW w:w="550" w:type="pct"/>
            <w:shd w:val="clear" w:color="auto" w:fill="auto"/>
            <w:vAlign w:val="center"/>
          </w:tcPr>
          <w:p w14:paraId="1F80DEA6" w14:textId="31970AF5" w:rsidR="00110039" w:rsidRPr="003A6407" w:rsidRDefault="00465388" w:rsidP="00552832">
            <w:pPr>
              <w:spacing w:before="120" w:after="120" w:line="240" w:lineRule="auto"/>
              <w:jc w:val="center"/>
              <w:rPr>
                <w:noProof/>
                <w:sz w:val="16"/>
                <w:szCs w:val="16"/>
              </w:rPr>
            </w:pPr>
            <w:r w:rsidRPr="003A6407">
              <w:rPr>
                <w:noProof/>
                <w:sz w:val="16"/>
                <w:szCs w:val="16"/>
              </w:rPr>
              <w:t>3</w:t>
            </w:r>
            <w:r w:rsidR="00552832" w:rsidRPr="003A6407">
              <w:rPr>
                <w:noProof/>
                <w:sz w:val="16"/>
                <w:szCs w:val="16"/>
              </w:rPr>
              <w:t>,00</w:t>
            </w:r>
          </w:p>
        </w:tc>
      </w:tr>
      <w:tr w:rsidR="00110039" w:rsidRPr="003A6407" w14:paraId="45D050DF" w14:textId="77777777" w:rsidTr="002B58A1">
        <w:trPr>
          <w:trHeight w:val="340"/>
        </w:trPr>
        <w:tc>
          <w:tcPr>
            <w:tcW w:w="5000" w:type="pct"/>
            <w:gridSpan w:val="8"/>
          </w:tcPr>
          <w:p w14:paraId="10A2DDB5" w14:textId="77777777" w:rsidR="00110039" w:rsidRPr="003A6407" w:rsidRDefault="00110039" w:rsidP="00270B09">
            <w:pPr>
              <w:spacing w:before="60" w:after="60" w:line="240" w:lineRule="auto"/>
              <w:jc w:val="both"/>
            </w:pPr>
            <w:r w:rsidRPr="003A6407">
              <w:t>Metodologia:</w:t>
            </w:r>
          </w:p>
          <w:p w14:paraId="53201E7A" w14:textId="77777777" w:rsidR="00110039" w:rsidRPr="003A6407" w:rsidRDefault="00110039" w:rsidP="00270B09">
            <w:pPr>
              <w:spacing w:before="60" w:after="60" w:line="240" w:lineRule="auto"/>
              <w:jc w:val="both"/>
            </w:pPr>
            <w:r w:rsidRPr="003A6407">
              <w:t xml:space="preserve">Wskaźnik realizuje kod interwencji: </w:t>
            </w:r>
          </w:p>
          <w:p w14:paraId="123E113B" w14:textId="0A8C323F" w:rsidR="00110039" w:rsidRPr="003A6407" w:rsidRDefault="00110039">
            <w:pPr>
              <w:numPr>
                <w:ilvl w:val="0"/>
                <w:numId w:val="65"/>
              </w:numPr>
              <w:spacing w:before="60" w:after="60" w:line="240" w:lineRule="auto"/>
              <w:contextualSpacing/>
              <w:jc w:val="both"/>
            </w:pPr>
            <w:r w:rsidRPr="003A6407">
              <w:t>166 Ochrona, rozwój i promowanie dziedzictwa kulturowego i usług w dziedzinie kultury (17 692 410 EUR)</w:t>
            </w:r>
          </w:p>
          <w:p w14:paraId="3F705B2D" w14:textId="77777777" w:rsidR="00552832" w:rsidRPr="003A6407" w:rsidRDefault="00552832" w:rsidP="00552832">
            <w:pPr>
              <w:spacing w:before="60" w:after="60" w:line="240" w:lineRule="auto"/>
              <w:ind w:left="720"/>
              <w:contextualSpacing/>
              <w:jc w:val="both"/>
            </w:pPr>
          </w:p>
          <w:p w14:paraId="7227AEEA" w14:textId="7A0462ED" w:rsidR="00110039" w:rsidRPr="003A6407" w:rsidRDefault="00110039" w:rsidP="00270B09">
            <w:pPr>
              <w:spacing w:before="60" w:after="60" w:line="240" w:lineRule="auto"/>
              <w:jc w:val="both"/>
            </w:pPr>
            <w:r w:rsidRPr="003A6407">
              <w:t>W ramach działań podejmowanych w obszarze kultury i turystyki planuje się wsparcie 3 instytucji kultury o znaczeniu regionalnym, prowadzonych lub współprowadzonych przez samorząd województwa (na podstawie planowanych do realizacji działań wpisanych w projekcie Kontraktu Programowego).</w:t>
            </w:r>
          </w:p>
          <w:p w14:paraId="5FAE8AC4" w14:textId="5532B3E0" w:rsidR="00110039" w:rsidRPr="003A6407" w:rsidRDefault="00110039" w:rsidP="00270B09">
            <w:pPr>
              <w:spacing w:before="60" w:after="60" w:line="240" w:lineRule="auto"/>
              <w:jc w:val="both"/>
            </w:pPr>
            <w:r w:rsidRPr="003A6407">
              <w:t>W ramach planowanego wsparcia wskazanych instytucji</w:t>
            </w:r>
            <w:r w:rsidR="00552832" w:rsidRPr="003A6407">
              <w:t xml:space="preserve"> (adekwatnie do wartości wskaźnika: Liczba obiektów kulturalnych i turystycznych wspieranych przez Fundusze)</w:t>
            </w:r>
            <w:r w:rsidRPr="003A6407">
              <w:t xml:space="preserve"> planuje się działania o charakterze dostosowującym obiekty do potrzeb osób z niepełnosprawnościami, tym</w:t>
            </w:r>
            <w:r w:rsidR="00A0119E" w:rsidRPr="003A6407">
              <w:t xml:space="preserve"> samym</w:t>
            </w:r>
            <w:r w:rsidRPr="003A6407">
              <w:t xml:space="preserve"> </w:t>
            </w:r>
            <w:r w:rsidR="00A0119E" w:rsidRPr="003A6407">
              <w:t>wskaźnik przyjmuje wartość 3.</w:t>
            </w:r>
            <w:r w:rsidRPr="003A6407">
              <w:t xml:space="preserve"> </w:t>
            </w:r>
          </w:p>
          <w:p w14:paraId="2E5523AF" w14:textId="75F3E80D" w:rsidR="006C2B78" w:rsidRPr="003A6407" w:rsidRDefault="006C2B78" w:rsidP="00270B09">
            <w:pPr>
              <w:spacing w:before="60" w:after="60" w:line="240" w:lineRule="auto"/>
              <w:jc w:val="both"/>
            </w:pPr>
          </w:p>
          <w:p w14:paraId="291A3A8D" w14:textId="1344C2BA" w:rsidR="006C2B78" w:rsidRPr="003A6407" w:rsidRDefault="006C2B78" w:rsidP="00270B09">
            <w:pPr>
              <w:spacing w:before="60" w:after="60" w:line="240" w:lineRule="auto"/>
              <w:jc w:val="both"/>
              <w:rPr>
                <w:b/>
                <w:bCs/>
              </w:rPr>
            </w:pPr>
            <w:r w:rsidRPr="003A6407">
              <w:rPr>
                <w:b/>
                <w:bCs/>
              </w:rPr>
              <w:t>Uzasadnienie dla celu pośredniego:</w:t>
            </w:r>
          </w:p>
          <w:p w14:paraId="5C3C8885" w14:textId="152B6DCC" w:rsidR="006C2B78" w:rsidRPr="003A6407" w:rsidRDefault="006C2B78" w:rsidP="006C2B78">
            <w:pPr>
              <w:spacing w:before="60" w:after="60" w:line="240" w:lineRule="auto"/>
              <w:jc w:val="both"/>
              <w:rPr>
                <w:b/>
                <w:bCs/>
              </w:rPr>
            </w:pPr>
            <w:r w:rsidRPr="003A6407">
              <w:rPr>
                <w:b/>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6c ), na podstawie Sprawozdania rocznego z 2021 r. - wskaźnik pn. Wzrost oczekiwanej liczby odwiedzin w objętych wsparciem obiektach dziedzictwa kulturowego i naturalnego oraz stanowiących atrakcje turystyczne (CI 9) w 2017 r. osiągnął wartość 0, co wobec wartości z wykonania na 2021 r. (679 256) stanowi 0</w:t>
            </w:r>
            <w:r w:rsidR="00412D9C" w:rsidRPr="003A6407">
              <w:rPr>
                <w:b/>
                <w:bCs/>
              </w:rPr>
              <w:t>%</w:t>
            </w:r>
            <w:r w:rsidRPr="003A6407">
              <w:rPr>
                <w:b/>
                <w:bCs/>
              </w:rPr>
              <w:t>.</w:t>
            </w:r>
          </w:p>
          <w:p w14:paraId="4FEF0554" w14:textId="0D054A98" w:rsidR="006C2B78" w:rsidRPr="003A6407" w:rsidRDefault="006C2B78" w:rsidP="006C2B78">
            <w:pPr>
              <w:spacing w:before="60" w:after="60" w:line="240" w:lineRule="auto"/>
              <w:jc w:val="both"/>
              <w:rPr>
                <w:b/>
                <w:bCs/>
              </w:rPr>
            </w:pPr>
            <w:r w:rsidRPr="003A6407">
              <w:rPr>
                <w:b/>
                <w:bCs/>
              </w:rPr>
              <w:t>Mając na uwadze, że 2017 r. był już czwartym rokiem wdrażania programu RPO WD 2014-2020, a rok 2024 będzie de facto dopiero drugim rokiem wdrażania FEDS, wartość pośrednią dla tego wskaźnika ustalono jako 0.</w:t>
            </w:r>
            <w:r w:rsidR="007469A8">
              <w:rPr>
                <w:b/>
                <w:bCs/>
              </w:rPr>
              <w:t xml:space="preserve"> </w:t>
            </w:r>
            <w:r w:rsidR="007469A8" w:rsidRPr="007469A8">
              <w:rPr>
                <w:b/>
                <w:bCs/>
              </w:rPr>
              <w:t>Dodatkowo interwencje w zakresie zabytków wymagają uzgodnień z konserwatorem zabytków, co wpływa na znaczne opóźnienia w realizacji projektów inwestycyjnych.</w:t>
            </w:r>
          </w:p>
          <w:p w14:paraId="1773855F" w14:textId="4161CAD1" w:rsidR="00465388" w:rsidRPr="003A6407" w:rsidRDefault="00465388" w:rsidP="00270B09">
            <w:pPr>
              <w:spacing w:before="60" w:after="60" w:line="240" w:lineRule="auto"/>
              <w:jc w:val="both"/>
            </w:pPr>
          </w:p>
        </w:tc>
      </w:tr>
    </w:tbl>
    <w:p w14:paraId="3E603D10" w14:textId="77777777" w:rsidR="00110039" w:rsidRPr="003A6407" w:rsidRDefault="00110039" w:rsidP="001B0A5A">
      <w:pPr>
        <w:pStyle w:val="Nagwek2"/>
        <w:spacing w:after="200"/>
      </w:pPr>
    </w:p>
    <w:p w14:paraId="4872191A" w14:textId="7A4B85FD" w:rsidR="001D1C32" w:rsidRPr="003A6407" w:rsidRDefault="001D1C32" w:rsidP="001B0A5A">
      <w:pPr>
        <w:pStyle w:val="Nagwek2"/>
        <w:spacing w:after="200"/>
      </w:pPr>
      <w:bookmarkStart w:id="218" w:name="_Toc120464441"/>
      <w:r w:rsidRPr="003A6407">
        <w:t>Wskaźniki rezultatu</w:t>
      </w:r>
      <w:bookmarkEnd w:id="216"/>
      <w:bookmarkEnd w:id="218"/>
      <w:r w:rsidRPr="003A6407">
        <w:t xml:space="preserve">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834"/>
        <w:gridCol w:w="968"/>
        <w:gridCol w:w="552"/>
        <w:gridCol w:w="1386"/>
        <w:gridCol w:w="550"/>
        <w:gridCol w:w="1243"/>
        <w:gridCol w:w="554"/>
        <w:gridCol w:w="691"/>
        <w:gridCol w:w="691"/>
        <w:gridCol w:w="688"/>
      </w:tblGrid>
      <w:tr w:rsidR="00191FE2" w:rsidRPr="003A6407" w14:paraId="62AE06CF" w14:textId="77777777" w:rsidTr="00552832">
        <w:trPr>
          <w:cantSplit/>
          <w:trHeight w:val="1768"/>
        </w:trPr>
        <w:tc>
          <w:tcPr>
            <w:tcW w:w="662" w:type="dxa"/>
            <w:vAlign w:val="center"/>
          </w:tcPr>
          <w:p w14:paraId="5C39D867"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4</w:t>
            </w:r>
          </w:p>
          <w:p w14:paraId="322FDF14" w14:textId="0F73DAFC"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834" w:type="dxa"/>
            <w:vAlign w:val="center"/>
          </w:tcPr>
          <w:p w14:paraId="718DDF2D"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968" w:type="dxa"/>
            <w:vAlign w:val="center"/>
          </w:tcPr>
          <w:p w14:paraId="6AB7A42D"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552" w:type="dxa"/>
            <w:textDirection w:val="btLr"/>
            <w:vAlign w:val="center"/>
          </w:tcPr>
          <w:p w14:paraId="222242AB"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1386" w:type="dxa"/>
            <w:shd w:val="clear" w:color="auto" w:fill="auto"/>
            <w:vAlign w:val="center"/>
          </w:tcPr>
          <w:p w14:paraId="17645850"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550" w:type="dxa"/>
            <w:textDirection w:val="btLr"/>
            <w:vAlign w:val="center"/>
          </w:tcPr>
          <w:p w14:paraId="7F9CC5C2"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1243" w:type="dxa"/>
            <w:textDirection w:val="btLr"/>
            <w:vAlign w:val="center"/>
          </w:tcPr>
          <w:p w14:paraId="3C5B955E"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554" w:type="dxa"/>
            <w:textDirection w:val="btLr"/>
            <w:vAlign w:val="center"/>
          </w:tcPr>
          <w:p w14:paraId="207E1496" w14:textId="77777777" w:rsidR="001D1C32" w:rsidRPr="003A6407" w:rsidRDefault="001D1C32" w:rsidP="0055283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691" w:type="dxa"/>
            <w:shd w:val="clear" w:color="auto" w:fill="auto"/>
            <w:vAlign w:val="center"/>
          </w:tcPr>
          <w:p w14:paraId="1FE88560" w14:textId="77777777" w:rsidR="001D1C32" w:rsidRPr="003A6407" w:rsidRDefault="001D1C32" w:rsidP="0055283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36518745" w14:textId="77777777" w:rsidR="001D1C32" w:rsidRPr="003A6407" w:rsidRDefault="001D1C32" w:rsidP="00552832">
            <w:pPr>
              <w:spacing w:before="120" w:after="120" w:line="240" w:lineRule="auto"/>
              <w:jc w:val="center"/>
              <w:rPr>
                <w:rFonts w:eastAsia="Calibri" w:cs="Times New Roman"/>
                <w:b/>
                <w:noProof/>
                <w:sz w:val="16"/>
                <w:szCs w:val="16"/>
                <w:lang w:eastAsia="pl-PL"/>
              </w:rPr>
            </w:pPr>
          </w:p>
        </w:tc>
        <w:tc>
          <w:tcPr>
            <w:tcW w:w="691" w:type="dxa"/>
            <w:shd w:val="clear" w:color="auto" w:fill="auto"/>
            <w:vAlign w:val="center"/>
          </w:tcPr>
          <w:p w14:paraId="70BF4246" w14:textId="77777777" w:rsidR="001D1C32" w:rsidRPr="003A6407" w:rsidRDefault="001D1C32" w:rsidP="0055283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688" w:type="dxa"/>
            <w:vAlign w:val="center"/>
          </w:tcPr>
          <w:p w14:paraId="745E59F5" w14:textId="77777777" w:rsidR="001D1C32" w:rsidRPr="003A6407" w:rsidRDefault="001D1C32" w:rsidP="0055283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561405E0" w14:textId="77777777" w:rsidTr="00552832">
        <w:trPr>
          <w:trHeight w:val="434"/>
        </w:trPr>
        <w:tc>
          <w:tcPr>
            <w:tcW w:w="662" w:type="dxa"/>
            <w:vAlign w:val="center"/>
          </w:tcPr>
          <w:p w14:paraId="5AB340BA" w14:textId="77777777" w:rsidR="001D1C32" w:rsidRDefault="001D1C32" w:rsidP="0055283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lastRenderedPageBreak/>
              <w:t>4 (vi)</w:t>
            </w:r>
          </w:p>
          <w:p w14:paraId="49482850" w14:textId="2C12FB0C" w:rsidR="001C6669" w:rsidRPr="003A6407" w:rsidRDefault="001C6669" w:rsidP="00552832">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4.6</w:t>
            </w:r>
          </w:p>
        </w:tc>
        <w:tc>
          <w:tcPr>
            <w:tcW w:w="834" w:type="dxa"/>
            <w:vAlign w:val="center"/>
          </w:tcPr>
          <w:p w14:paraId="703F5B3A" w14:textId="77777777" w:rsidR="001D1C32" w:rsidRPr="003A6407" w:rsidRDefault="001D1C32" w:rsidP="00552832">
            <w:pPr>
              <w:jc w:val="center"/>
              <w:rPr>
                <w:rFonts w:eastAsia="Calibri" w:cs="Times New Roman"/>
                <w:sz w:val="16"/>
                <w:szCs w:val="16"/>
              </w:rPr>
            </w:pPr>
            <w:r w:rsidRPr="003A6407">
              <w:rPr>
                <w:rFonts w:eastAsia="Calibri" w:cs="Times New Roman"/>
                <w:noProof/>
                <w:sz w:val="16"/>
                <w:szCs w:val="16"/>
              </w:rPr>
              <w:t>EFRR</w:t>
            </w:r>
          </w:p>
        </w:tc>
        <w:tc>
          <w:tcPr>
            <w:tcW w:w="968" w:type="dxa"/>
            <w:vAlign w:val="center"/>
          </w:tcPr>
          <w:p w14:paraId="499BBBED" w14:textId="77777777" w:rsidR="001D1C32" w:rsidRPr="003A6407" w:rsidRDefault="001D1C32" w:rsidP="00552832">
            <w:pPr>
              <w:jc w:val="center"/>
              <w:rPr>
                <w:rFonts w:eastAsia="Calibri" w:cs="Times New Roman"/>
                <w:sz w:val="16"/>
                <w:szCs w:val="16"/>
              </w:rPr>
            </w:pPr>
            <w:r w:rsidRPr="003A6407">
              <w:rPr>
                <w:rFonts w:eastAsia="Calibri" w:cs="Times New Roman"/>
                <w:noProof/>
                <w:sz w:val="16"/>
                <w:szCs w:val="16"/>
              </w:rPr>
              <w:t>Przejściowy</w:t>
            </w:r>
          </w:p>
        </w:tc>
        <w:tc>
          <w:tcPr>
            <w:tcW w:w="552" w:type="dxa"/>
            <w:vAlign w:val="center"/>
          </w:tcPr>
          <w:p w14:paraId="768556AD" w14:textId="77777777" w:rsidR="001D1C32" w:rsidRPr="003A6407" w:rsidRDefault="001D1C32" w:rsidP="0055283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RCR077</w:t>
            </w:r>
          </w:p>
        </w:tc>
        <w:tc>
          <w:tcPr>
            <w:tcW w:w="1386" w:type="dxa"/>
            <w:shd w:val="clear" w:color="auto" w:fill="auto"/>
            <w:vAlign w:val="center"/>
          </w:tcPr>
          <w:p w14:paraId="745B140B" w14:textId="77777777" w:rsidR="001D1C32" w:rsidRPr="003A6407" w:rsidRDefault="001D1C32" w:rsidP="00552832">
            <w:pPr>
              <w:keepNext/>
              <w:keepLines/>
              <w:spacing w:before="200" w:after="0"/>
              <w:jc w:val="center"/>
              <w:outlineLvl w:val="2"/>
              <w:rPr>
                <w:rFonts w:asciiTheme="minorHAnsi" w:eastAsia="Times New Roman" w:hAnsiTheme="minorHAnsi" w:cstheme="minorHAnsi"/>
                <w:bCs/>
                <w:noProof/>
                <w:sz w:val="16"/>
                <w:szCs w:val="16"/>
              </w:rPr>
            </w:pPr>
            <w:bookmarkStart w:id="219" w:name="_Toc97013491"/>
            <w:bookmarkStart w:id="220" w:name="_Toc120464442"/>
            <w:r w:rsidRPr="003A6407">
              <w:rPr>
                <w:rFonts w:asciiTheme="minorHAnsi" w:eastAsia="Times New Roman" w:hAnsiTheme="minorHAnsi" w:cstheme="minorHAnsi"/>
                <w:bCs/>
                <w:noProof/>
                <w:sz w:val="16"/>
                <w:szCs w:val="16"/>
              </w:rPr>
              <w:t>Liczba osób odwiedzających obiekty kulturalne i turystyczne objęte wsparciem</w:t>
            </w:r>
            <w:bookmarkEnd w:id="219"/>
            <w:bookmarkEnd w:id="220"/>
          </w:p>
        </w:tc>
        <w:tc>
          <w:tcPr>
            <w:tcW w:w="550" w:type="dxa"/>
            <w:vAlign w:val="center"/>
          </w:tcPr>
          <w:p w14:paraId="651CEB18" w14:textId="77777777" w:rsidR="001D1C32" w:rsidRPr="003A6407" w:rsidRDefault="001D1C32" w:rsidP="00552832">
            <w:pPr>
              <w:spacing w:before="120" w:after="120" w:line="240" w:lineRule="auto"/>
              <w:jc w:val="center"/>
              <w:rPr>
                <w:rFonts w:eastAsia="Calibri" w:cs="Times New Roman"/>
                <w:noProof/>
                <w:sz w:val="16"/>
                <w:szCs w:val="16"/>
                <w:lang w:eastAsia="pl-PL"/>
              </w:rPr>
            </w:pPr>
            <w:r w:rsidRPr="003A6407">
              <w:rPr>
                <w:rFonts w:cstheme="minorHAnsi"/>
                <w:noProof/>
                <w:sz w:val="16"/>
                <w:szCs w:val="16"/>
              </w:rPr>
              <w:t>Osoby odwiedzające/rok</w:t>
            </w:r>
          </w:p>
        </w:tc>
        <w:tc>
          <w:tcPr>
            <w:tcW w:w="1243" w:type="dxa"/>
            <w:vAlign w:val="center"/>
          </w:tcPr>
          <w:p w14:paraId="2173F6B9" w14:textId="2D09B318" w:rsidR="001D1C32" w:rsidRPr="003A6407" w:rsidRDefault="009E03DD" w:rsidP="0055283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0,00</w:t>
            </w:r>
          </w:p>
        </w:tc>
        <w:tc>
          <w:tcPr>
            <w:tcW w:w="554" w:type="dxa"/>
            <w:vAlign w:val="center"/>
          </w:tcPr>
          <w:p w14:paraId="78CCEC79" w14:textId="75BCDD29" w:rsidR="001D1C32" w:rsidRPr="00404B9C" w:rsidRDefault="009E03DD" w:rsidP="00552832">
            <w:pPr>
              <w:spacing w:before="120" w:after="120" w:line="240" w:lineRule="auto"/>
              <w:jc w:val="center"/>
              <w:rPr>
                <w:rFonts w:eastAsia="Calibri" w:cs="Times New Roman"/>
                <w:bCs/>
                <w:noProof/>
                <w:sz w:val="16"/>
                <w:szCs w:val="16"/>
                <w:lang w:eastAsia="pl-PL"/>
              </w:rPr>
            </w:pPr>
            <w:r w:rsidRPr="00404B9C">
              <w:rPr>
                <w:rFonts w:eastAsia="Calibri" w:cs="Times New Roman"/>
                <w:bCs/>
                <w:noProof/>
                <w:sz w:val="16"/>
                <w:szCs w:val="16"/>
                <w:lang w:eastAsia="pl-PL"/>
              </w:rPr>
              <w:t>2022</w:t>
            </w:r>
          </w:p>
        </w:tc>
        <w:tc>
          <w:tcPr>
            <w:tcW w:w="691" w:type="dxa"/>
            <w:shd w:val="clear" w:color="auto" w:fill="auto"/>
            <w:vAlign w:val="center"/>
          </w:tcPr>
          <w:p w14:paraId="6898D2EB" w14:textId="77777777" w:rsidR="001D1C32" w:rsidRPr="00404B9C" w:rsidRDefault="001D1C32" w:rsidP="00552832">
            <w:pPr>
              <w:spacing w:before="120" w:after="120" w:line="240" w:lineRule="auto"/>
              <w:jc w:val="center"/>
              <w:rPr>
                <w:rFonts w:eastAsia="Calibri" w:cs="Times New Roman"/>
                <w:bCs/>
                <w:noProof/>
                <w:sz w:val="16"/>
                <w:szCs w:val="16"/>
                <w:lang w:eastAsia="pl-PL"/>
              </w:rPr>
            </w:pPr>
            <w:r w:rsidRPr="00404B9C">
              <w:rPr>
                <w:rFonts w:eastAsia="Calibri" w:cs="Times New Roman"/>
                <w:bCs/>
                <w:noProof/>
                <w:sz w:val="16"/>
                <w:szCs w:val="16"/>
                <w:lang w:eastAsia="pl-PL"/>
              </w:rPr>
              <w:t>60 840</w:t>
            </w:r>
          </w:p>
        </w:tc>
        <w:tc>
          <w:tcPr>
            <w:tcW w:w="691" w:type="dxa"/>
            <w:shd w:val="clear" w:color="auto" w:fill="auto"/>
            <w:vAlign w:val="center"/>
          </w:tcPr>
          <w:p w14:paraId="49E0700A" w14:textId="699E5D17" w:rsidR="001D1C32" w:rsidRPr="003A6407" w:rsidRDefault="009E03DD" w:rsidP="00552832">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688" w:type="dxa"/>
            <w:vAlign w:val="center"/>
          </w:tcPr>
          <w:p w14:paraId="42371456" w14:textId="77777777" w:rsidR="001D1C32" w:rsidRPr="003A6407" w:rsidRDefault="001D1C32" w:rsidP="00552832">
            <w:pPr>
              <w:jc w:val="center"/>
              <w:rPr>
                <w:rFonts w:eastAsia="Calibri" w:cs="Times New Roman"/>
                <w:noProof/>
                <w:sz w:val="16"/>
                <w:szCs w:val="16"/>
              </w:rPr>
            </w:pPr>
          </w:p>
        </w:tc>
      </w:tr>
      <w:tr w:rsidR="001D1C32" w:rsidRPr="003A6407" w14:paraId="1D14265D" w14:textId="77777777" w:rsidTr="002B58A1">
        <w:trPr>
          <w:trHeight w:val="434"/>
        </w:trPr>
        <w:tc>
          <w:tcPr>
            <w:tcW w:w="8819" w:type="dxa"/>
            <w:gridSpan w:val="11"/>
          </w:tcPr>
          <w:p w14:paraId="59324C06" w14:textId="77777777" w:rsidR="001D1C32" w:rsidRPr="003A6407" w:rsidRDefault="001D1C32" w:rsidP="009368FA">
            <w:pPr>
              <w:spacing w:before="60" w:after="60" w:line="240" w:lineRule="auto"/>
              <w:jc w:val="both"/>
            </w:pPr>
            <w:r w:rsidRPr="003A6407">
              <w:t>Metodologia:</w:t>
            </w:r>
          </w:p>
          <w:p w14:paraId="799B605D" w14:textId="77777777" w:rsidR="001D1C32" w:rsidRPr="003A6407" w:rsidRDefault="001D1C32" w:rsidP="009368FA">
            <w:pPr>
              <w:spacing w:before="60" w:after="60" w:line="240" w:lineRule="auto"/>
              <w:jc w:val="both"/>
            </w:pPr>
            <w:r w:rsidRPr="003A6407">
              <w:t>Wskaźnik realizuje kod interwencji:</w:t>
            </w:r>
          </w:p>
          <w:p w14:paraId="58CCB5FC" w14:textId="77777777" w:rsidR="001D1C32" w:rsidRPr="003A6407" w:rsidRDefault="001D1C32">
            <w:pPr>
              <w:numPr>
                <w:ilvl w:val="0"/>
                <w:numId w:val="65"/>
              </w:numPr>
              <w:spacing w:before="60" w:after="60" w:line="240" w:lineRule="auto"/>
              <w:contextualSpacing/>
              <w:jc w:val="both"/>
            </w:pPr>
            <w:r w:rsidRPr="003A6407">
              <w:t>166 Ochrona, rozwój i promowanie dziedzictwa kulturowego i usług w dziedzinie kultury (17 692 410 EUR)</w:t>
            </w:r>
          </w:p>
          <w:p w14:paraId="406E7B75" w14:textId="77777777" w:rsidR="001D1C32" w:rsidRPr="003A6407" w:rsidRDefault="001D1C32" w:rsidP="009368FA">
            <w:pPr>
              <w:spacing w:before="60" w:after="60" w:line="240" w:lineRule="auto"/>
              <w:contextualSpacing/>
              <w:jc w:val="both"/>
            </w:pPr>
            <w:r w:rsidRPr="003A6407">
              <w:t>Biorąc pod uwagę kurs EUR na poziomie 4,45 wartość alokacji wynosi 78 731 224,5 PLN.</w:t>
            </w:r>
          </w:p>
          <w:p w14:paraId="69831B75" w14:textId="77777777" w:rsidR="001D1C32" w:rsidRPr="003A6407" w:rsidRDefault="001D1C32" w:rsidP="009368FA">
            <w:pPr>
              <w:spacing w:before="60" w:after="60" w:line="240" w:lineRule="auto"/>
              <w:jc w:val="both"/>
            </w:pPr>
            <w:r w:rsidRPr="003A6407">
              <w:t xml:space="preserve">Punktem wyjścia do wyliczenia wartości docelowej wskaźnika są dane na temat ilości obiektów, które planuje się wesprzeć w ramach działań podejmowanych w obszarze zdrowia. </w:t>
            </w:r>
          </w:p>
          <w:p w14:paraId="65C13D2E" w14:textId="77777777" w:rsidR="001D1C32" w:rsidRPr="003A6407" w:rsidRDefault="001D1C32" w:rsidP="009368FA">
            <w:pPr>
              <w:spacing w:before="60" w:after="60" w:line="240" w:lineRule="auto"/>
              <w:jc w:val="both"/>
            </w:pPr>
            <w:r w:rsidRPr="003A6407">
              <w:t>Liczba obiektów kulturalnych objętych wsparciem (na podstawie planowanych do realizacji działań wpisanych w projekcie Kontraktu Programowego): 3 obiekty.</w:t>
            </w:r>
          </w:p>
          <w:p w14:paraId="4154FA35" w14:textId="77777777" w:rsidR="001D1C32" w:rsidRPr="003A6407" w:rsidRDefault="001D1C32" w:rsidP="009368FA">
            <w:pPr>
              <w:spacing w:before="60" w:after="60" w:line="240" w:lineRule="auto"/>
              <w:jc w:val="both"/>
            </w:pPr>
            <w:r w:rsidRPr="003A6407">
              <w:t>Dane dotyczące liczby odwiedzających wspartych obiektów kulturalnych zostały pozyskane z Departamentu Kultury i Turystyki, który w zakresie swoich kompetencji i planowanego wsparcia obiektów w ramach projektu Kontraktu Programowego oszacował wartości wskaźników (odwiedzających) za 2019 r. dla poszczególnych jednostek:</w:t>
            </w:r>
          </w:p>
          <w:p w14:paraId="740F9DB1" w14:textId="77777777" w:rsidR="001D1C32" w:rsidRPr="003A6407" w:rsidRDefault="001D1C32">
            <w:pPr>
              <w:numPr>
                <w:ilvl w:val="0"/>
                <w:numId w:val="65"/>
              </w:numPr>
              <w:spacing w:before="60" w:after="60" w:line="240" w:lineRule="auto"/>
              <w:contextualSpacing/>
              <w:jc w:val="both"/>
            </w:pPr>
            <w:r w:rsidRPr="003A6407">
              <w:t>Młyn papierniczy w Dusznikach-Zdroju: 66 803 osoby</w:t>
            </w:r>
          </w:p>
          <w:p w14:paraId="1621725C" w14:textId="77777777" w:rsidR="001D1C32" w:rsidRPr="003A6407" w:rsidRDefault="001D1C32">
            <w:pPr>
              <w:numPr>
                <w:ilvl w:val="0"/>
                <w:numId w:val="65"/>
              </w:numPr>
              <w:spacing w:before="60" w:after="60" w:line="240" w:lineRule="auto"/>
              <w:contextualSpacing/>
              <w:jc w:val="both"/>
            </w:pPr>
            <w:r w:rsidRPr="003A6407">
              <w:t>Teatr Polski we Wrocławiu – Scena Główna: 15 208 osób</w:t>
            </w:r>
          </w:p>
          <w:p w14:paraId="1C2CEBFF" w14:textId="77777777" w:rsidR="001D1C32" w:rsidRPr="003A6407" w:rsidRDefault="001D1C32">
            <w:pPr>
              <w:numPr>
                <w:ilvl w:val="0"/>
                <w:numId w:val="65"/>
              </w:numPr>
              <w:spacing w:before="60" w:after="60" w:line="240" w:lineRule="auto"/>
              <w:contextualSpacing/>
              <w:jc w:val="both"/>
            </w:pPr>
            <w:r w:rsidRPr="003A6407">
              <w:t>Teatr Polski we Wrocławiu – Scena Kameralna: 25 481 osób</w:t>
            </w:r>
          </w:p>
          <w:p w14:paraId="02664E70" w14:textId="77777777" w:rsidR="001D1C32" w:rsidRPr="003A6407" w:rsidRDefault="001D1C32" w:rsidP="009368FA">
            <w:pPr>
              <w:spacing w:before="60" w:after="100" w:afterAutospacing="1" w:line="240" w:lineRule="auto"/>
              <w:jc w:val="both"/>
            </w:pPr>
            <w:r w:rsidRPr="003A6407">
              <w:t>Łącznie przełoży się to na wartość wskaźnika na poziomie 107 492 odwiedzających/rok.</w:t>
            </w:r>
          </w:p>
          <w:p w14:paraId="29DBC607" w14:textId="77777777" w:rsidR="001D1C32" w:rsidRPr="003A6407" w:rsidRDefault="001D1C32" w:rsidP="009368FA">
            <w:pPr>
              <w:spacing w:before="60" w:after="100" w:afterAutospacing="1" w:line="240" w:lineRule="auto"/>
              <w:jc w:val="both"/>
            </w:pPr>
            <w:r w:rsidRPr="003A6407">
              <w:t xml:space="preserve">Jednocześnie na podstawie </w:t>
            </w:r>
            <w:proofErr w:type="spellStart"/>
            <w:r w:rsidRPr="003A6407">
              <w:t>ryzyk</w:t>
            </w:r>
            <w:proofErr w:type="spellEnd"/>
            <w:r w:rsidRPr="003A6407">
              <w:t xml:space="preserve"> związanych z realizacją tego typu projektów określono wskaźnik kompensacji: </w:t>
            </w:r>
          </w:p>
          <w:p w14:paraId="6F48BBE1" w14:textId="77777777" w:rsidR="001D1C32" w:rsidRPr="003A6407" w:rsidRDefault="001D1C32" w:rsidP="009368FA">
            <w:pPr>
              <w:spacing w:before="60" w:after="60" w:line="240" w:lineRule="auto"/>
              <w:jc w:val="both"/>
            </w:pPr>
            <w:r w:rsidRPr="003A6407">
              <w:t>R: [(4*25)+(3*68)]/7= 43,4%</w:t>
            </w:r>
          </w:p>
          <w:p w14:paraId="545CA691" w14:textId="77777777" w:rsidR="001D1C32" w:rsidRPr="003A6407" w:rsidRDefault="001D1C32" w:rsidP="009368FA">
            <w:pPr>
              <w:spacing w:before="60" w:after="60" w:line="240" w:lineRule="auto"/>
              <w:jc w:val="both"/>
            </w:pPr>
            <w:r w:rsidRPr="003A6407">
              <w:t>Wyliczenie:</w:t>
            </w:r>
          </w:p>
          <w:p w14:paraId="016EDE06" w14:textId="77777777" w:rsidR="001D1C32" w:rsidRPr="003A6407" w:rsidRDefault="001D1C32" w:rsidP="009368FA">
            <w:pPr>
              <w:spacing w:before="60" w:after="60" w:line="240" w:lineRule="auto"/>
              <w:jc w:val="both"/>
            </w:pPr>
            <w:r w:rsidRPr="003A6407">
              <w:t>107 492 * (1-0,434) = 60 840 osób odwiedzających/rok</w:t>
            </w:r>
          </w:p>
          <w:p w14:paraId="15483B63" w14:textId="77777777" w:rsidR="001D1C32" w:rsidRPr="003A6407" w:rsidRDefault="001D1C32" w:rsidP="009368FA">
            <w:pPr>
              <w:spacing w:before="60" w:after="60" w:line="240" w:lineRule="auto"/>
              <w:jc w:val="both"/>
            </w:pPr>
          </w:p>
          <w:p w14:paraId="0F1B0914" w14:textId="77777777" w:rsidR="001D1C32" w:rsidRPr="003A6407" w:rsidRDefault="001D1C32" w:rsidP="009368FA">
            <w:pPr>
              <w:spacing w:before="60" w:after="60" w:line="240" w:lineRule="auto"/>
              <w:jc w:val="both"/>
            </w:pPr>
            <w:r w:rsidRPr="003A6407">
              <w:t>Należy zwrócić szczególną uwagę na następujące czynniki ryzyka, które mogą mieć wpływ na poziom osiągnięcia założonej wartości docelowej:</w:t>
            </w:r>
          </w:p>
          <w:p w14:paraId="1B380784" w14:textId="77777777" w:rsidR="001D1C32" w:rsidRPr="003A6407" w:rsidRDefault="001D1C32" w:rsidP="009368FA">
            <w:pPr>
              <w:spacing w:before="60" w:after="60" w:line="240" w:lineRule="auto"/>
              <w:jc w:val="both"/>
            </w:pPr>
            <w:r w:rsidRPr="003A6407">
              <w:rPr>
                <w:b/>
              </w:rPr>
              <w:t>• ryzyko wzrostu cen</w:t>
            </w:r>
            <w:r w:rsidRPr="003A6407">
              <w:t xml:space="preserve"> - ryzyko związane ze wzrostem cen materiałów budowlanych, sprzętu i usług; ryzyko związane z poziomem inflacji (istotność: poważna)</w:t>
            </w:r>
          </w:p>
          <w:p w14:paraId="4F851A79" w14:textId="77777777" w:rsidR="001D1C32" w:rsidRPr="003A6407" w:rsidRDefault="001D1C32" w:rsidP="009368FA">
            <w:pPr>
              <w:spacing w:before="60" w:after="60" w:line="240" w:lineRule="auto"/>
              <w:jc w:val="both"/>
            </w:pPr>
            <w:r w:rsidRPr="003A6407">
              <w:rPr>
                <w:b/>
              </w:rPr>
              <w:t>• ryzyko walutowe</w:t>
            </w:r>
            <w:r w:rsidRPr="003A6407">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055690A" w14:textId="77777777" w:rsidR="001D1C32" w:rsidRPr="003A6407" w:rsidRDefault="001D1C32" w:rsidP="009368FA">
            <w:pPr>
              <w:spacing w:before="60" w:after="60" w:line="240" w:lineRule="auto"/>
              <w:jc w:val="both"/>
            </w:pPr>
            <w:r w:rsidRPr="003A6407">
              <w:rPr>
                <w:b/>
              </w:rPr>
              <w:t>• zawieszenie płatności przez KE dla danej osi priorytetowej</w:t>
            </w:r>
            <w:r w:rsidRPr="003A6407">
              <w:t>; (istotność: umiarkowana)</w:t>
            </w:r>
          </w:p>
          <w:p w14:paraId="27AB74F5" w14:textId="77777777" w:rsidR="001D1C32" w:rsidRPr="003A6407" w:rsidRDefault="001D1C32" w:rsidP="009368FA">
            <w:pPr>
              <w:spacing w:before="60" w:after="60" w:line="240" w:lineRule="auto"/>
              <w:jc w:val="both"/>
            </w:pPr>
            <w:r w:rsidRPr="003A6407">
              <w:rPr>
                <w:b/>
              </w:rPr>
              <w:t>• wartości planowanych w Kontrakcie Programowym projektów</w:t>
            </w:r>
            <w:r w:rsidRPr="003A6407">
              <w:t xml:space="preserve"> – mogą ulec zmianie podczas doprecyzowania projektów; może ulec także zmianie zakres prac (istotność: umiarkowana)</w:t>
            </w:r>
          </w:p>
          <w:p w14:paraId="77B2AA0D" w14:textId="77777777" w:rsidR="001D1C32" w:rsidRPr="003A6407" w:rsidRDefault="001D1C32" w:rsidP="009368FA">
            <w:pPr>
              <w:spacing w:before="60" w:after="60" w:line="240" w:lineRule="auto"/>
              <w:jc w:val="both"/>
            </w:pPr>
            <w:r w:rsidRPr="003A6407">
              <w:rPr>
                <w:b/>
              </w:rPr>
              <w:t>• problemy z zabezpieczeniem wkładu własnego wnioskodawcy</w:t>
            </w:r>
            <w:r w:rsidRPr="003A6407">
              <w:t>; (istotność: umiarkowana)</w:t>
            </w:r>
          </w:p>
          <w:p w14:paraId="1C32A6C4" w14:textId="77777777" w:rsidR="001D1C32" w:rsidRPr="003A6407" w:rsidRDefault="001D1C32" w:rsidP="009368FA">
            <w:pPr>
              <w:spacing w:before="60" w:after="60" w:line="240" w:lineRule="auto"/>
              <w:jc w:val="both"/>
              <w:rPr>
                <w:b/>
              </w:rPr>
            </w:pPr>
            <w:r w:rsidRPr="003A6407">
              <w:rPr>
                <w:b/>
              </w:rPr>
              <w:t xml:space="preserve">• opóźnienia, </w:t>
            </w:r>
            <w:r w:rsidRPr="003A6407">
              <w:rPr>
                <w:bCs/>
              </w:rPr>
              <w:t>bądź niewykonanie projektu związane z procedurami wynikającymi z zamówień publicznych; (istotność: poważna)</w:t>
            </w:r>
          </w:p>
          <w:p w14:paraId="5E34725C" w14:textId="6417497E" w:rsidR="006C2B78" w:rsidRPr="003A6407" w:rsidRDefault="001D1C32" w:rsidP="009368FA">
            <w:pPr>
              <w:rPr>
                <w:bCs/>
              </w:rPr>
            </w:pPr>
            <w:r w:rsidRPr="003A6407">
              <w:rPr>
                <w:b/>
              </w:rPr>
              <w:t xml:space="preserve">• wpływ pandemii koronawirusa SARS-CoV-2 </w:t>
            </w:r>
            <w:r w:rsidRPr="003A6407">
              <w:rPr>
                <w:bCs/>
              </w:rPr>
              <w:t>na potencjalne możliwości realizacji projektów, na zdolności inwestycyjne i nastroje społeczne, zdolność administracyjną i kadrową. (istotność: poważna)</w:t>
            </w:r>
            <w:r w:rsidR="006C2B78" w:rsidRPr="003A6407">
              <w:rPr>
                <w:bCs/>
              </w:rPr>
              <w:t>.</w:t>
            </w:r>
          </w:p>
        </w:tc>
      </w:tr>
    </w:tbl>
    <w:p w14:paraId="42A6CD85" w14:textId="43A37B5F" w:rsidR="002374A8" w:rsidRPr="003A6407" w:rsidRDefault="00D944BF" w:rsidP="00122123">
      <w:pPr>
        <w:pStyle w:val="Nagwek1"/>
        <w:rPr>
          <w:lang w:val="pl-PL"/>
        </w:rPr>
      </w:pPr>
      <w:bookmarkStart w:id="221" w:name="_Toc120464443"/>
      <w:r w:rsidRPr="003A6407">
        <w:rPr>
          <w:lang w:val="pl-PL"/>
        </w:rPr>
        <w:lastRenderedPageBreak/>
        <w:t xml:space="preserve">PRIORYTET 6: FUNDUSZE EUROPEJSKIE </w:t>
      </w:r>
      <w:r w:rsidR="00D62EC5">
        <w:rPr>
          <w:lang w:val="pl-PL"/>
        </w:rPr>
        <w:t>BLIŻEJ MIESZKAŃCÓW DOLNEGO ŚLĄSKA</w:t>
      </w:r>
      <w:r w:rsidRPr="003A6407">
        <w:rPr>
          <w:lang w:val="pl-PL"/>
        </w:rPr>
        <w:t xml:space="preserve"> </w:t>
      </w:r>
      <w:r w:rsidR="002374A8" w:rsidRPr="003A6407">
        <w:rPr>
          <w:lang w:val="pl-PL"/>
        </w:rPr>
        <w:t>(</w:t>
      </w:r>
      <w:r w:rsidR="002374A8" w:rsidRPr="003A6407">
        <w:t>CP5</w:t>
      </w:r>
      <w:r w:rsidRPr="003A6407">
        <w:rPr>
          <w:lang w:val="pl-PL"/>
        </w:rPr>
        <w:t xml:space="preserve"> EFRR</w:t>
      </w:r>
      <w:r w:rsidR="002374A8" w:rsidRPr="003A6407">
        <w:rPr>
          <w:lang w:val="pl-PL"/>
        </w:rPr>
        <w:t>)</w:t>
      </w:r>
      <w:bookmarkEnd w:id="221"/>
    </w:p>
    <w:p w14:paraId="14274488" w14:textId="2F77DEBD" w:rsidR="002374A8" w:rsidRPr="003A6407" w:rsidRDefault="002374A8" w:rsidP="00F554F4">
      <w:pPr>
        <w:keepNext/>
        <w:keepLines/>
        <w:spacing w:before="200"/>
        <w:jc w:val="both"/>
        <w:outlineLvl w:val="1"/>
        <w:rPr>
          <w:rFonts w:eastAsia="Times New Roman" w:cs="Calibri"/>
          <w:b/>
          <w:bCs/>
          <w:color w:val="4472C4"/>
          <w:sz w:val="24"/>
          <w:szCs w:val="26"/>
        </w:rPr>
      </w:pPr>
      <w:bookmarkStart w:id="222" w:name="_Toc120464444"/>
      <w:r w:rsidRPr="003A6407">
        <w:rPr>
          <w:rFonts w:eastAsia="Times New Roman" w:cs="Times New Roman"/>
          <w:b/>
          <w:bCs/>
          <w:color w:val="4472C4"/>
          <w:sz w:val="24"/>
          <w:szCs w:val="26"/>
        </w:rPr>
        <w:t xml:space="preserve">CEL SZCZEGÓŁOWY: </w:t>
      </w:r>
      <w:r w:rsidR="001C6669" w:rsidRPr="001C6669">
        <w:rPr>
          <w:rFonts w:eastAsia="Times New Roman" w:cs="Times New Roman"/>
          <w:b/>
          <w:bCs/>
          <w:color w:val="4472C4"/>
          <w:sz w:val="24"/>
          <w:szCs w:val="26"/>
        </w:rPr>
        <w:t>RSO5.1. Wspieranie zintegrowanego i sprzyjającego włączeniu społecznemu rozwoju społecznego, gospodarczego i środowiskowego, kultury, dziedzictwa naturalnego, zrównoważonej turystyki i bezpieczeństwa na obszarach miejskich (EFRR)</w:t>
      </w:r>
      <w:bookmarkEnd w:id="222"/>
    </w:p>
    <w:p w14:paraId="417CC762" w14:textId="53F7D413" w:rsidR="002374A8" w:rsidRDefault="002374A8" w:rsidP="006B06F8">
      <w:pPr>
        <w:pStyle w:val="Nagwek2"/>
        <w:spacing w:after="200"/>
      </w:pPr>
      <w:bookmarkStart w:id="223" w:name="_Toc120464445"/>
      <w:r w:rsidRPr="003A6407">
        <w:t>Wskaźniki produktu</w:t>
      </w:r>
      <w:bookmarkEnd w:id="223"/>
    </w:p>
    <w:p w14:paraId="658FB923"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042B96E2"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EC04F4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5</w:t>
            </w:r>
          </w:p>
          <w:p w14:paraId="52AE207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D1FA474"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1F4FDB0"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B5130A"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33A85920"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FE914"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C4D96E8"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57A318AC"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6F668E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56227D3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572D3A93"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7480A09"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5</w:t>
            </w:r>
          </w:p>
          <w:p w14:paraId="41B5BC02"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5.1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3FA702A"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EFRR</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9ADFA7C"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6F515F" w14:textId="29DC832C" w:rsidR="00EE0C5C" w:rsidRPr="00B44649"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B44649">
              <w:rPr>
                <w:rFonts w:eastAsia="Calibri" w:cs="Times New Roman"/>
                <w:b/>
                <w:noProof/>
                <w:sz w:val="16"/>
                <w:szCs w:val="16"/>
              </w:rPr>
              <w:t>RCO7</w:t>
            </w:r>
            <w:r>
              <w:rPr>
                <w:rFonts w:eastAsia="Calibri" w:cs="Times New Roman"/>
                <w:b/>
                <w:noProof/>
                <w:sz w:val="16"/>
                <w:szCs w:val="16"/>
              </w:rPr>
              <w:t>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39179B0"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EF6160D"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1B8C4A4" w14:textId="7109D721" w:rsidR="00EE0C5C" w:rsidRPr="00B44649" w:rsidRDefault="007655CA"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7D1D83"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85CB234" w14:textId="5CD2B830" w:rsidR="00EE0C5C" w:rsidRPr="00B44649" w:rsidRDefault="006F3AAB" w:rsidP="002A48C3">
            <w:pPr>
              <w:shd w:val="clear" w:color="auto" w:fill="FFFFFF"/>
              <w:spacing w:before="120" w:after="120" w:line="240" w:lineRule="auto"/>
              <w:jc w:val="center"/>
              <w:rPr>
                <w:rFonts w:eastAsia="Calibri" w:cs="Times New Roman"/>
                <w:b/>
                <w:noProof/>
                <w:sz w:val="16"/>
                <w:szCs w:val="16"/>
              </w:rPr>
            </w:pPr>
            <w:r w:rsidRPr="006F3AAB">
              <w:rPr>
                <w:rFonts w:eastAsia="Calibri" w:cs="Times New Roman"/>
                <w:b/>
                <w:noProof/>
                <w:sz w:val="16"/>
                <w:szCs w:val="16"/>
              </w:rPr>
              <w:t>288</w:t>
            </w:r>
            <w:r>
              <w:rPr>
                <w:rFonts w:eastAsia="Calibri" w:cs="Times New Roman"/>
                <w:b/>
                <w:noProof/>
                <w:sz w:val="16"/>
                <w:szCs w:val="16"/>
              </w:rPr>
              <w:t> </w:t>
            </w:r>
            <w:r w:rsidRPr="006F3AAB">
              <w:rPr>
                <w:rFonts w:eastAsia="Calibri" w:cs="Times New Roman"/>
                <w:b/>
                <w:noProof/>
                <w:sz w:val="16"/>
                <w:szCs w:val="16"/>
              </w:rPr>
              <w:t>043</w:t>
            </w:r>
            <w:r>
              <w:rPr>
                <w:rFonts w:eastAsia="Calibri" w:cs="Times New Roman"/>
                <w:b/>
                <w:noProof/>
                <w:sz w:val="16"/>
                <w:szCs w:val="16"/>
              </w:rPr>
              <w:t>,00</w:t>
            </w:r>
          </w:p>
        </w:tc>
      </w:tr>
      <w:tr w:rsidR="00EE0C5C" w:rsidRPr="003A6407" w14:paraId="6CFAA36E" w14:textId="77777777" w:rsidTr="002A48C3">
        <w:trPr>
          <w:trHeight w:val="340"/>
        </w:trPr>
        <w:tc>
          <w:tcPr>
            <w:tcW w:w="5000" w:type="pct"/>
            <w:gridSpan w:val="8"/>
            <w:shd w:val="clear" w:color="auto" w:fill="auto"/>
          </w:tcPr>
          <w:p w14:paraId="7D2CF064"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400F281C" w14:textId="307B0A9B"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208296B6"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4CDC841B" w14:textId="77777777" w:rsidR="00EE0C5C" w:rsidRPr="003A6407" w:rsidRDefault="00EE0C5C" w:rsidP="002A48C3">
            <w:pPr>
              <w:rPr>
                <w:rFonts w:eastAsia="Calibri"/>
              </w:rPr>
            </w:pPr>
            <w:r w:rsidRPr="003A6407">
              <w:rPr>
                <w:rFonts w:eastAsia="Calibri"/>
              </w:rPr>
              <w:t>- 6 Zintegrowanych Inwestycji Terytorialnych;</w:t>
            </w:r>
          </w:p>
          <w:p w14:paraId="42C4DE4B" w14:textId="77777777" w:rsidR="00EE0C5C" w:rsidRPr="003A6407" w:rsidRDefault="00EE0C5C" w:rsidP="002A48C3">
            <w:pPr>
              <w:rPr>
                <w:rFonts w:eastAsia="Calibri"/>
              </w:rPr>
            </w:pPr>
            <w:r w:rsidRPr="003A6407">
              <w:rPr>
                <w:rFonts w:eastAsia="Calibri"/>
              </w:rPr>
              <w:t>- 1 Inny Instrument Terytorialny;</w:t>
            </w:r>
          </w:p>
          <w:p w14:paraId="68F99A6D" w14:textId="77777777" w:rsidR="00D30AFB" w:rsidRPr="00D30AFB" w:rsidRDefault="00D30AFB" w:rsidP="00D30AFB">
            <w:pPr>
              <w:rPr>
                <w:rFonts w:eastAsia="Calibri"/>
              </w:rPr>
            </w:pPr>
            <w:r w:rsidRPr="00D30AFB">
              <w:rPr>
                <w:rFonts w:eastAsia="Calibri"/>
              </w:rPr>
              <w:t>Wobec powyższego a także biorąc uwagę definicję składnika, która odnosi się do projektów zintegrowanych, zakłada się w ramach metodologii, że wartość docelowa wskaźnika będzie równa 10% liczbie osób zamieszkujących objęte wsparciem instrumenty rozwoju terytorialnego (7).</w:t>
            </w:r>
          </w:p>
          <w:p w14:paraId="5571F20E" w14:textId="77777777" w:rsidR="00EE0C5C" w:rsidRDefault="00D30AFB" w:rsidP="00D30AFB">
            <w:pPr>
              <w:rPr>
                <w:rFonts w:eastAsia="Calibri"/>
              </w:rPr>
            </w:pPr>
            <w:r w:rsidRPr="00D30AFB">
              <w:rPr>
                <w:rFonts w:eastAsia="Calibri"/>
              </w:rPr>
              <w:t>Ponadto wartość wskaźnika zostanie zrewidowana po zatwierdzeniu poszczególnych strategii ZIT/IIT.</w:t>
            </w:r>
          </w:p>
          <w:p w14:paraId="1590BEF6" w14:textId="62730B52" w:rsidR="00FD3DE2" w:rsidRPr="003A6407" w:rsidRDefault="00FD3DE2" w:rsidP="00D30AFB">
            <w:pPr>
              <w:rPr>
                <w:rFonts w:eastAsia="Calibri" w:cs="Times New Roman"/>
                <w:color w:val="000000"/>
              </w:rPr>
            </w:pPr>
            <w:r w:rsidRPr="00FD3DE2">
              <w:rPr>
                <w:rFonts w:eastAsia="Calibri" w:cs="Times New Roman"/>
                <w:color w:val="000000"/>
              </w:rPr>
              <w:t>W przypadku realizacji różnych projektów na tym samym obszarze liczba ludności będzie się multiplikować, stąd konieczność monitorowania tego wskaźnika na poziomie Strategii ZIT.</w:t>
            </w:r>
          </w:p>
        </w:tc>
      </w:tr>
    </w:tbl>
    <w:p w14:paraId="1C454AD8" w14:textId="38A062FD" w:rsidR="00B44649" w:rsidRDefault="00B44649"/>
    <w:p w14:paraId="7C025DBF" w14:textId="77777777" w:rsidR="00B44649" w:rsidRDefault="00B44649"/>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191FE2" w:rsidRPr="003A6407" w14:paraId="3B3AFD88" w14:textId="77777777" w:rsidTr="00552832">
        <w:trPr>
          <w:cantSplit/>
          <w:trHeight w:val="1647"/>
        </w:trPr>
        <w:tc>
          <w:tcPr>
            <w:tcW w:w="451" w:type="pct"/>
            <w:shd w:val="clear" w:color="auto" w:fill="auto"/>
            <w:vAlign w:val="center"/>
          </w:tcPr>
          <w:p w14:paraId="6AF9DA5C"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5</w:t>
            </w:r>
          </w:p>
          <w:p w14:paraId="0E3ADA82" w14:textId="448E3801"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02DD740A"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04B949B3"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534D15FF" w14:textId="77777777" w:rsidR="002374A8" w:rsidRPr="003A6407" w:rsidRDefault="002374A8" w:rsidP="00552832">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4F51AA6C" w14:textId="1F07694A"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0B03D724"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2D6134C1"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05319E31"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5B8E7B9E"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0429309F" w14:textId="77777777" w:rsidR="002374A8" w:rsidRPr="003A6407" w:rsidRDefault="002374A8" w:rsidP="00552832">
            <w:pPr>
              <w:shd w:val="clear" w:color="auto" w:fill="FFFFFF"/>
              <w:spacing w:before="120" w:after="120" w:line="240" w:lineRule="auto"/>
              <w:jc w:val="center"/>
              <w:rPr>
                <w:rFonts w:eastAsia="Calibri" w:cs="Times New Roman"/>
                <w:b/>
                <w:noProof/>
                <w:sz w:val="16"/>
                <w:szCs w:val="16"/>
              </w:rPr>
            </w:pPr>
          </w:p>
        </w:tc>
      </w:tr>
      <w:tr w:rsidR="00191FE2" w:rsidRPr="003A6407" w14:paraId="03335D79" w14:textId="77777777" w:rsidTr="00552832">
        <w:trPr>
          <w:trHeight w:val="340"/>
        </w:trPr>
        <w:tc>
          <w:tcPr>
            <w:tcW w:w="451" w:type="pct"/>
            <w:shd w:val="clear" w:color="auto" w:fill="auto"/>
            <w:vAlign w:val="center"/>
          </w:tcPr>
          <w:p w14:paraId="535C1B20" w14:textId="77777777" w:rsidR="002374A8" w:rsidRDefault="002374A8" w:rsidP="0055283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5</w:t>
            </w:r>
          </w:p>
          <w:p w14:paraId="611D25F8" w14:textId="459ABF5A" w:rsidR="001C6669" w:rsidRPr="003A6407" w:rsidRDefault="001C6669" w:rsidP="0055283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5.1</w:t>
            </w:r>
          </w:p>
        </w:tc>
        <w:tc>
          <w:tcPr>
            <w:tcW w:w="494" w:type="pct"/>
            <w:shd w:val="clear" w:color="auto" w:fill="auto"/>
            <w:vAlign w:val="center"/>
          </w:tcPr>
          <w:p w14:paraId="36467396" w14:textId="77777777" w:rsidR="002374A8" w:rsidRPr="003A6407" w:rsidRDefault="002374A8" w:rsidP="0055283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47CD08D3" w14:textId="77777777" w:rsidR="002374A8" w:rsidRPr="003A6407" w:rsidRDefault="002374A8" w:rsidP="0055283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1FD85D7F" w14:textId="0BA0FA71" w:rsidR="002374A8" w:rsidRPr="003A6407" w:rsidRDefault="002374A8" w:rsidP="0055283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RCO7</w:t>
            </w:r>
            <w:r w:rsidR="00552832" w:rsidRPr="003A6407">
              <w:rPr>
                <w:rFonts w:eastAsia="Calibri" w:cs="Times New Roman"/>
                <w:noProof/>
                <w:sz w:val="16"/>
                <w:szCs w:val="16"/>
              </w:rPr>
              <w:t>5</w:t>
            </w:r>
          </w:p>
        </w:tc>
        <w:tc>
          <w:tcPr>
            <w:tcW w:w="1348" w:type="pct"/>
            <w:shd w:val="clear" w:color="auto" w:fill="auto"/>
            <w:vAlign w:val="center"/>
          </w:tcPr>
          <w:p w14:paraId="4A87989E" w14:textId="3B82582F" w:rsidR="002374A8" w:rsidRPr="003A6407" w:rsidRDefault="00F75D9B" w:rsidP="00552832">
            <w:pPr>
              <w:keepNext/>
              <w:keepLines/>
              <w:spacing w:before="200" w:after="0"/>
              <w:jc w:val="center"/>
              <w:outlineLvl w:val="2"/>
              <w:rPr>
                <w:rFonts w:eastAsia="Calibri" w:cs="Times New Roman"/>
                <w:noProof/>
                <w:sz w:val="16"/>
                <w:szCs w:val="16"/>
              </w:rPr>
            </w:pPr>
            <w:bookmarkStart w:id="224" w:name="_Toc120464446"/>
            <w:r w:rsidRPr="003A6407">
              <w:rPr>
                <w:rFonts w:eastAsia="Times New Roman" w:cs="Calibri"/>
                <w:bCs/>
                <w:noProof/>
                <w:sz w:val="16"/>
                <w:szCs w:val="16"/>
              </w:rPr>
              <w:t>Wspierane strategie zintegrowanego rozwoju terytorialnego</w:t>
            </w:r>
            <w:bookmarkEnd w:id="224"/>
          </w:p>
        </w:tc>
        <w:tc>
          <w:tcPr>
            <w:tcW w:w="549" w:type="pct"/>
            <w:shd w:val="clear" w:color="auto" w:fill="auto"/>
            <w:vAlign w:val="center"/>
          </w:tcPr>
          <w:p w14:paraId="4EF6CA2D" w14:textId="39B47128" w:rsidR="002374A8" w:rsidRPr="003A6407" w:rsidRDefault="00216562" w:rsidP="0055283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wkłady na rzecz strategii</w:t>
            </w:r>
          </w:p>
        </w:tc>
        <w:tc>
          <w:tcPr>
            <w:tcW w:w="627" w:type="pct"/>
            <w:shd w:val="clear" w:color="auto" w:fill="auto"/>
            <w:vAlign w:val="center"/>
          </w:tcPr>
          <w:p w14:paraId="6CB705F3" w14:textId="5A65D688" w:rsidR="002374A8" w:rsidRPr="003A6407" w:rsidRDefault="00D30AFB" w:rsidP="0055283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9E03DD" w:rsidRPr="003A6407">
              <w:rPr>
                <w:rFonts w:eastAsia="Calibri" w:cs="Times New Roman"/>
                <w:noProof/>
                <w:sz w:val="16"/>
                <w:szCs w:val="16"/>
              </w:rPr>
              <w:t>,00</w:t>
            </w:r>
          </w:p>
        </w:tc>
        <w:tc>
          <w:tcPr>
            <w:tcW w:w="550" w:type="pct"/>
            <w:shd w:val="clear" w:color="auto" w:fill="auto"/>
            <w:vAlign w:val="center"/>
          </w:tcPr>
          <w:p w14:paraId="446C20CE" w14:textId="2165C3D5" w:rsidR="002374A8" w:rsidRPr="003A6407" w:rsidRDefault="00F75D9B" w:rsidP="0055283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7,00</w:t>
            </w:r>
          </w:p>
        </w:tc>
      </w:tr>
      <w:tr w:rsidR="002374A8" w:rsidRPr="003A6407" w14:paraId="35B59EDA" w14:textId="77777777" w:rsidTr="002B58A1">
        <w:trPr>
          <w:trHeight w:val="340"/>
        </w:trPr>
        <w:tc>
          <w:tcPr>
            <w:tcW w:w="5000" w:type="pct"/>
            <w:gridSpan w:val="8"/>
            <w:shd w:val="clear" w:color="auto" w:fill="auto"/>
          </w:tcPr>
          <w:p w14:paraId="6495AE3E" w14:textId="77777777" w:rsidR="002374A8" w:rsidRPr="003A6407" w:rsidRDefault="002374A8" w:rsidP="00F554F4">
            <w:pPr>
              <w:shd w:val="clear" w:color="auto" w:fill="FFFFFF"/>
              <w:spacing w:before="60" w:after="60" w:line="240" w:lineRule="auto"/>
              <w:jc w:val="both"/>
              <w:rPr>
                <w:rFonts w:eastAsia="Calibri"/>
                <w:b/>
                <w:bCs/>
              </w:rPr>
            </w:pPr>
            <w:r w:rsidRPr="003A6407">
              <w:rPr>
                <w:rFonts w:eastAsia="Calibri"/>
                <w:b/>
                <w:bCs/>
              </w:rPr>
              <w:t>Metodologia:</w:t>
            </w:r>
          </w:p>
          <w:p w14:paraId="245B12C8" w14:textId="2EF1C3AD" w:rsidR="00F75D9B" w:rsidRPr="003A6407" w:rsidRDefault="00F75D9B" w:rsidP="00F75D9B">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54EC4844" w14:textId="77777777" w:rsidR="00F75D9B" w:rsidRPr="003A6407" w:rsidRDefault="00F75D9B" w:rsidP="00F75D9B">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079D343B" w14:textId="77777777" w:rsidR="00F75D9B" w:rsidRPr="003A6407" w:rsidRDefault="00F75D9B" w:rsidP="00F75D9B">
            <w:pPr>
              <w:rPr>
                <w:rFonts w:eastAsia="Calibri"/>
              </w:rPr>
            </w:pPr>
            <w:r w:rsidRPr="003A6407">
              <w:rPr>
                <w:rFonts w:eastAsia="Calibri"/>
              </w:rPr>
              <w:t>- 6 Zintegrowanych Inwestycji Terytorialnych;</w:t>
            </w:r>
          </w:p>
          <w:p w14:paraId="34E97D39" w14:textId="77777777" w:rsidR="00F75D9B" w:rsidRPr="003A6407" w:rsidRDefault="00F75D9B" w:rsidP="00F75D9B">
            <w:pPr>
              <w:rPr>
                <w:rFonts w:eastAsia="Calibri"/>
              </w:rPr>
            </w:pPr>
            <w:r w:rsidRPr="003A6407">
              <w:rPr>
                <w:rFonts w:eastAsia="Calibri"/>
              </w:rPr>
              <w:t>- 1 Inny Instrument Terytorialny;</w:t>
            </w:r>
          </w:p>
          <w:p w14:paraId="5FEDD1DD" w14:textId="77777777" w:rsidR="002374A8" w:rsidRDefault="00F75D9B" w:rsidP="00F75D9B">
            <w:pPr>
              <w:rPr>
                <w:rFonts w:eastAsia="Calibri"/>
              </w:rPr>
            </w:pPr>
            <w:r w:rsidRPr="003A6407">
              <w:rPr>
                <w:rFonts w:eastAsia="Calibri"/>
              </w:rPr>
              <w:t>Wobec powyższego zakłada się w ramach metodologii, że wartość docelowa wskaźnika będzie równa liczbie utworzonych instrumentów rozwoju terytorialnego (7).</w:t>
            </w:r>
          </w:p>
          <w:p w14:paraId="092042F6" w14:textId="31AA6064" w:rsidR="00D30AFB" w:rsidRPr="003A6407"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tc>
      </w:tr>
    </w:tbl>
    <w:p w14:paraId="7755DF04" w14:textId="3459814F" w:rsidR="00F75D9B" w:rsidRPr="003A6407" w:rsidRDefault="00F75D9B"/>
    <w:p w14:paraId="68C27A0E" w14:textId="313DA9A5" w:rsidR="00F75D9B" w:rsidRDefault="00F75D9B"/>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404B9C" w:rsidRPr="003A6407" w14:paraId="4C64E2BB" w14:textId="77777777" w:rsidTr="008352E3">
        <w:trPr>
          <w:cantSplit/>
          <w:trHeight w:val="1647"/>
        </w:trPr>
        <w:tc>
          <w:tcPr>
            <w:tcW w:w="451" w:type="pct"/>
            <w:shd w:val="clear" w:color="auto" w:fill="auto"/>
            <w:vAlign w:val="center"/>
          </w:tcPr>
          <w:p w14:paraId="51AEF5EF"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5</w:t>
            </w:r>
          </w:p>
          <w:p w14:paraId="401DA7D8"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4CBCD106"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02ABBEEE"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11C86B95" w14:textId="77777777" w:rsidR="00404B9C" w:rsidRPr="003A6407" w:rsidRDefault="00404B9C" w:rsidP="008352E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50D3F2AB"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6E117C29"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2FD51C45"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1DAA41C9"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27AA70C5"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50B50A9C" w14:textId="77777777" w:rsidR="00404B9C" w:rsidRPr="003A6407" w:rsidRDefault="00404B9C" w:rsidP="008352E3">
            <w:pPr>
              <w:shd w:val="clear" w:color="auto" w:fill="FFFFFF"/>
              <w:spacing w:before="120" w:after="120" w:line="240" w:lineRule="auto"/>
              <w:jc w:val="center"/>
              <w:rPr>
                <w:rFonts w:eastAsia="Calibri" w:cs="Times New Roman"/>
                <w:b/>
                <w:noProof/>
                <w:sz w:val="16"/>
                <w:szCs w:val="16"/>
              </w:rPr>
            </w:pPr>
          </w:p>
        </w:tc>
      </w:tr>
      <w:tr w:rsidR="00404B9C" w:rsidRPr="003A6407" w14:paraId="26065AF9" w14:textId="77777777" w:rsidTr="008352E3">
        <w:trPr>
          <w:trHeight w:val="340"/>
        </w:trPr>
        <w:tc>
          <w:tcPr>
            <w:tcW w:w="451" w:type="pct"/>
            <w:shd w:val="clear" w:color="auto" w:fill="auto"/>
            <w:vAlign w:val="center"/>
          </w:tcPr>
          <w:p w14:paraId="555AF487" w14:textId="77777777" w:rsidR="00404B9C" w:rsidRDefault="00404B9C" w:rsidP="008352E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5</w:t>
            </w:r>
          </w:p>
          <w:p w14:paraId="1D63BBA8" w14:textId="77777777" w:rsidR="00404B9C" w:rsidRPr="003A6407" w:rsidRDefault="00404B9C" w:rsidP="008352E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5.1</w:t>
            </w:r>
          </w:p>
        </w:tc>
        <w:tc>
          <w:tcPr>
            <w:tcW w:w="494" w:type="pct"/>
            <w:shd w:val="clear" w:color="auto" w:fill="auto"/>
            <w:vAlign w:val="center"/>
          </w:tcPr>
          <w:p w14:paraId="1622E2FE" w14:textId="77777777" w:rsidR="00404B9C" w:rsidRPr="003A6407" w:rsidRDefault="00404B9C" w:rsidP="008352E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558" w:type="pct"/>
            <w:shd w:val="clear" w:color="auto" w:fill="auto"/>
            <w:vAlign w:val="center"/>
          </w:tcPr>
          <w:p w14:paraId="536ADE46" w14:textId="77777777" w:rsidR="00404B9C" w:rsidRPr="003A6407" w:rsidRDefault="00404B9C" w:rsidP="008352E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45DDFF84" w14:textId="6DF7001B" w:rsidR="00404B9C" w:rsidRPr="003A6407" w:rsidRDefault="00404B9C" w:rsidP="008352E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RCO76</w:t>
            </w:r>
          </w:p>
        </w:tc>
        <w:tc>
          <w:tcPr>
            <w:tcW w:w="1348" w:type="pct"/>
            <w:shd w:val="clear" w:color="auto" w:fill="auto"/>
            <w:vAlign w:val="center"/>
          </w:tcPr>
          <w:p w14:paraId="70A04DDB" w14:textId="42A02290" w:rsidR="00404B9C" w:rsidRPr="003A6407" w:rsidRDefault="00404B9C" w:rsidP="008352E3">
            <w:pPr>
              <w:keepNext/>
              <w:keepLines/>
              <w:spacing w:before="200" w:after="0"/>
              <w:jc w:val="center"/>
              <w:outlineLvl w:val="2"/>
              <w:rPr>
                <w:rFonts w:eastAsia="Calibri" w:cs="Times New Roman"/>
                <w:noProof/>
                <w:sz w:val="16"/>
                <w:szCs w:val="16"/>
              </w:rPr>
            </w:pPr>
            <w:bookmarkStart w:id="225" w:name="_Toc120464447"/>
            <w:r w:rsidRPr="00404B9C">
              <w:rPr>
                <w:rFonts w:eastAsia="Times New Roman" w:cs="Calibri"/>
                <w:bCs/>
                <w:noProof/>
                <w:sz w:val="16"/>
                <w:szCs w:val="16"/>
              </w:rPr>
              <w:t>Zintegrowane projekty rozwoju terytorialnego</w:t>
            </w:r>
            <w:bookmarkEnd w:id="225"/>
          </w:p>
        </w:tc>
        <w:tc>
          <w:tcPr>
            <w:tcW w:w="549" w:type="pct"/>
            <w:shd w:val="clear" w:color="auto" w:fill="auto"/>
            <w:vAlign w:val="center"/>
          </w:tcPr>
          <w:p w14:paraId="50D7C1C5" w14:textId="0FE418CB" w:rsidR="00404B9C" w:rsidRPr="003A6407" w:rsidRDefault="00216562" w:rsidP="008352E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projekty</w:t>
            </w:r>
          </w:p>
        </w:tc>
        <w:tc>
          <w:tcPr>
            <w:tcW w:w="627" w:type="pct"/>
            <w:shd w:val="clear" w:color="auto" w:fill="auto"/>
            <w:vAlign w:val="center"/>
          </w:tcPr>
          <w:p w14:paraId="00317C1C" w14:textId="5995A621" w:rsidR="00404B9C" w:rsidRPr="003A6407" w:rsidRDefault="00087FE2" w:rsidP="008352E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0,00</w:t>
            </w:r>
          </w:p>
        </w:tc>
        <w:tc>
          <w:tcPr>
            <w:tcW w:w="550" w:type="pct"/>
            <w:shd w:val="clear" w:color="auto" w:fill="auto"/>
            <w:vAlign w:val="center"/>
          </w:tcPr>
          <w:p w14:paraId="0572F3F9" w14:textId="77777777" w:rsidR="00404B9C" w:rsidRPr="003A6407" w:rsidRDefault="00404B9C" w:rsidP="008352E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28,00</w:t>
            </w:r>
          </w:p>
        </w:tc>
      </w:tr>
      <w:tr w:rsidR="00404B9C" w:rsidRPr="003A6407" w14:paraId="57C17EC8" w14:textId="77777777" w:rsidTr="008352E3">
        <w:trPr>
          <w:trHeight w:val="340"/>
        </w:trPr>
        <w:tc>
          <w:tcPr>
            <w:tcW w:w="5000" w:type="pct"/>
            <w:gridSpan w:val="8"/>
            <w:shd w:val="clear" w:color="auto" w:fill="auto"/>
          </w:tcPr>
          <w:p w14:paraId="5CDCB731" w14:textId="77777777" w:rsidR="00404B9C" w:rsidRPr="003A6407" w:rsidRDefault="00404B9C" w:rsidP="008352E3">
            <w:pPr>
              <w:shd w:val="clear" w:color="auto" w:fill="FFFFFF"/>
              <w:spacing w:before="60" w:after="60" w:line="240" w:lineRule="auto"/>
              <w:jc w:val="both"/>
              <w:rPr>
                <w:rFonts w:eastAsia="Calibri"/>
                <w:b/>
                <w:bCs/>
              </w:rPr>
            </w:pPr>
            <w:r w:rsidRPr="003A6407">
              <w:rPr>
                <w:rFonts w:eastAsia="Calibri"/>
                <w:b/>
                <w:bCs/>
              </w:rPr>
              <w:t>Metodologia:</w:t>
            </w:r>
          </w:p>
          <w:p w14:paraId="269C75F6" w14:textId="77777777" w:rsidR="00E57FA0" w:rsidRDefault="00404B9C" w:rsidP="008352E3">
            <w:pPr>
              <w:rPr>
                <w:rFonts w:eastAsia="Calibri"/>
              </w:rPr>
            </w:pPr>
            <w:r w:rsidRPr="003A6407">
              <w:rPr>
                <w:rFonts w:eastAsia="Calibri"/>
              </w:rPr>
              <w:t>Wartość wskaźnika zostanie uzupełniona po zatwierdzeniu poszczególnych strategii ZIT/IIT. Obecna wartość opiera się jedynie na danych ZIT LGOF, który przekazał niezbędne informacje w celu programowania wsparcia.</w:t>
            </w:r>
          </w:p>
          <w:p w14:paraId="1A6CB752" w14:textId="177C55B3" w:rsidR="00404B9C" w:rsidRPr="003A6407" w:rsidRDefault="00E57FA0" w:rsidP="008352E3">
            <w:pPr>
              <w:rPr>
                <w:rFonts w:eastAsia="Calibri" w:cs="Times New Roman"/>
                <w:color w:val="000000"/>
              </w:rPr>
            </w:pPr>
            <w:r w:rsidRPr="00E57FA0">
              <w:rPr>
                <w:rFonts w:eastAsia="Calibri"/>
              </w:rPr>
              <w:lastRenderedPageBreak/>
              <w:t>Ponadto wartość wskaźnika zostanie zrewidowana po zatwierdzeniu poszczególnych strategii ZIT/IIT.</w:t>
            </w:r>
            <w:r w:rsidR="00404B9C" w:rsidRPr="003A6407">
              <w:rPr>
                <w:rFonts w:eastAsia="Calibri"/>
              </w:rPr>
              <w:t xml:space="preserve"> </w:t>
            </w:r>
          </w:p>
        </w:tc>
      </w:tr>
    </w:tbl>
    <w:p w14:paraId="25A1FDE1" w14:textId="15530435" w:rsidR="00404B9C" w:rsidRDefault="00404B9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404B9C" w:rsidRPr="00404B9C" w14:paraId="7236935E" w14:textId="77777777" w:rsidTr="008352E3">
        <w:trPr>
          <w:cantSplit/>
          <w:trHeight w:val="1647"/>
        </w:trPr>
        <w:tc>
          <w:tcPr>
            <w:tcW w:w="451" w:type="pct"/>
            <w:shd w:val="clear" w:color="auto" w:fill="auto"/>
            <w:vAlign w:val="center"/>
          </w:tcPr>
          <w:p w14:paraId="02B2D6EF" w14:textId="77777777" w:rsidR="00404B9C" w:rsidRPr="00404B9C" w:rsidRDefault="00404B9C" w:rsidP="00404B9C">
            <w:pPr>
              <w:rPr>
                <w:b/>
              </w:rPr>
            </w:pPr>
            <w:r w:rsidRPr="00404B9C">
              <w:rPr>
                <w:b/>
              </w:rPr>
              <w:t>CP 5</w:t>
            </w:r>
          </w:p>
          <w:p w14:paraId="21EC5170" w14:textId="77777777" w:rsidR="00404B9C" w:rsidRPr="00404B9C" w:rsidRDefault="00404B9C" w:rsidP="00404B9C">
            <w:pPr>
              <w:rPr>
                <w:b/>
              </w:rPr>
            </w:pPr>
            <w:r w:rsidRPr="00404B9C">
              <w:rPr>
                <w:b/>
              </w:rPr>
              <w:t>Cel szczegółowy</w:t>
            </w:r>
          </w:p>
        </w:tc>
        <w:tc>
          <w:tcPr>
            <w:tcW w:w="494" w:type="pct"/>
            <w:shd w:val="clear" w:color="auto" w:fill="auto"/>
            <w:vAlign w:val="center"/>
          </w:tcPr>
          <w:p w14:paraId="01FCFB87" w14:textId="77777777" w:rsidR="00404B9C" w:rsidRPr="00404B9C" w:rsidRDefault="00404B9C" w:rsidP="00404B9C">
            <w:pPr>
              <w:rPr>
                <w:b/>
              </w:rPr>
            </w:pPr>
            <w:r w:rsidRPr="00404B9C">
              <w:rPr>
                <w:b/>
              </w:rPr>
              <w:t>Fundusz</w:t>
            </w:r>
          </w:p>
        </w:tc>
        <w:tc>
          <w:tcPr>
            <w:tcW w:w="558" w:type="pct"/>
            <w:shd w:val="clear" w:color="auto" w:fill="auto"/>
            <w:vAlign w:val="center"/>
          </w:tcPr>
          <w:p w14:paraId="614A193F" w14:textId="77777777" w:rsidR="00404B9C" w:rsidRPr="00404B9C" w:rsidRDefault="00404B9C" w:rsidP="00404B9C">
            <w:pPr>
              <w:rPr>
                <w:b/>
              </w:rPr>
            </w:pPr>
            <w:r w:rsidRPr="00404B9C">
              <w:rPr>
                <w:b/>
              </w:rPr>
              <w:t>Kategoria regionu</w:t>
            </w:r>
          </w:p>
        </w:tc>
        <w:tc>
          <w:tcPr>
            <w:tcW w:w="423" w:type="pct"/>
            <w:shd w:val="clear" w:color="auto" w:fill="auto"/>
            <w:textDirection w:val="btLr"/>
            <w:vAlign w:val="center"/>
          </w:tcPr>
          <w:p w14:paraId="72B7705C" w14:textId="77777777" w:rsidR="00404B9C" w:rsidRPr="00404B9C" w:rsidRDefault="00404B9C" w:rsidP="00404B9C">
            <w:pPr>
              <w:rPr>
                <w:b/>
              </w:rPr>
            </w:pPr>
            <w:r w:rsidRPr="00404B9C">
              <w:rPr>
                <w:b/>
              </w:rPr>
              <w:t>Nr identyfikacyjny [5]</w:t>
            </w:r>
          </w:p>
        </w:tc>
        <w:tc>
          <w:tcPr>
            <w:tcW w:w="1348" w:type="pct"/>
            <w:shd w:val="clear" w:color="auto" w:fill="auto"/>
            <w:vAlign w:val="center"/>
          </w:tcPr>
          <w:p w14:paraId="025E6E8A" w14:textId="77777777" w:rsidR="00404B9C" w:rsidRPr="00404B9C" w:rsidRDefault="00404B9C" w:rsidP="00404B9C">
            <w:pPr>
              <w:rPr>
                <w:b/>
              </w:rPr>
            </w:pPr>
            <w:r w:rsidRPr="00404B9C">
              <w:rPr>
                <w:b/>
              </w:rPr>
              <w:t>Wskaźnik [255]</w:t>
            </w:r>
          </w:p>
        </w:tc>
        <w:tc>
          <w:tcPr>
            <w:tcW w:w="549" w:type="pct"/>
            <w:shd w:val="clear" w:color="auto" w:fill="auto"/>
            <w:vAlign w:val="center"/>
          </w:tcPr>
          <w:p w14:paraId="7BC35402" w14:textId="77777777" w:rsidR="00404B9C" w:rsidRPr="00404B9C" w:rsidRDefault="00404B9C" w:rsidP="00404B9C">
            <w:pPr>
              <w:rPr>
                <w:b/>
              </w:rPr>
            </w:pPr>
            <w:r w:rsidRPr="00404B9C">
              <w:rPr>
                <w:b/>
              </w:rPr>
              <w:t>Jednostka miary</w:t>
            </w:r>
          </w:p>
        </w:tc>
        <w:tc>
          <w:tcPr>
            <w:tcW w:w="627" w:type="pct"/>
            <w:shd w:val="clear" w:color="auto" w:fill="auto"/>
            <w:vAlign w:val="center"/>
          </w:tcPr>
          <w:p w14:paraId="0F7AD38F" w14:textId="77777777" w:rsidR="00404B9C" w:rsidRPr="00404B9C" w:rsidRDefault="00404B9C" w:rsidP="00404B9C">
            <w:pPr>
              <w:rPr>
                <w:b/>
              </w:rPr>
            </w:pPr>
            <w:r w:rsidRPr="00404B9C">
              <w:rPr>
                <w:b/>
              </w:rPr>
              <w:t>Cel pośredni (2024)</w:t>
            </w:r>
          </w:p>
          <w:p w14:paraId="7612BEAE" w14:textId="77777777" w:rsidR="00404B9C" w:rsidRPr="00404B9C" w:rsidRDefault="00404B9C" w:rsidP="00404B9C">
            <w:pPr>
              <w:rPr>
                <w:b/>
              </w:rPr>
            </w:pPr>
          </w:p>
        </w:tc>
        <w:tc>
          <w:tcPr>
            <w:tcW w:w="550" w:type="pct"/>
            <w:shd w:val="clear" w:color="auto" w:fill="auto"/>
            <w:vAlign w:val="center"/>
          </w:tcPr>
          <w:p w14:paraId="482A2015" w14:textId="77777777" w:rsidR="00404B9C" w:rsidRPr="00404B9C" w:rsidRDefault="00404B9C" w:rsidP="00404B9C">
            <w:pPr>
              <w:rPr>
                <w:b/>
              </w:rPr>
            </w:pPr>
            <w:r w:rsidRPr="00404B9C">
              <w:rPr>
                <w:b/>
              </w:rPr>
              <w:t>Cel (2029)</w:t>
            </w:r>
          </w:p>
          <w:p w14:paraId="131D9DAC" w14:textId="77777777" w:rsidR="00404B9C" w:rsidRPr="00404B9C" w:rsidRDefault="00404B9C" w:rsidP="00404B9C">
            <w:pPr>
              <w:rPr>
                <w:b/>
              </w:rPr>
            </w:pPr>
          </w:p>
        </w:tc>
      </w:tr>
      <w:tr w:rsidR="00404B9C" w:rsidRPr="00404B9C" w14:paraId="7AC69CFF" w14:textId="77777777" w:rsidTr="008352E3">
        <w:trPr>
          <w:trHeight w:val="340"/>
        </w:trPr>
        <w:tc>
          <w:tcPr>
            <w:tcW w:w="451" w:type="pct"/>
            <w:shd w:val="clear" w:color="auto" w:fill="auto"/>
            <w:vAlign w:val="center"/>
          </w:tcPr>
          <w:p w14:paraId="32C06CB8" w14:textId="77777777" w:rsidR="00404B9C" w:rsidRPr="00404B9C" w:rsidRDefault="00404B9C" w:rsidP="00404B9C">
            <w:pPr>
              <w:rPr>
                <w:sz w:val="16"/>
                <w:szCs w:val="16"/>
              </w:rPr>
            </w:pPr>
            <w:r w:rsidRPr="00404B9C">
              <w:rPr>
                <w:sz w:val="16"/>
                <w:szCs w:val="16"/>
              </w:rPr>
              <w:t>5</w:t>
            </w:r>
          </w:p>
          <w:p w14:paraId="1B179428" w14:textId="77777777" w:rsidR="00404B9C" w:rsidRPr="00404B9C" w:rsidRDefault="00404B9C" w:rsidP="00404B9C">
            <w:pPr>
              <w:rPr>
                <w:sz w:val="16"/>
                <w:szCs w:val="16"/>
              </w:rPr>
            </w:pPr>
            <w:r w:rsidRPr="00404B9C">
              <w:rPr>
                <w:sz w:val="16"/>
                <w:szCs w:val="16"/>
              </w:rPr>
              <w:t>5.1</w:t>
            </w:r>
          </w:p>
        </w:tc>
        <w:tc>
          <w:tcPr>
            <w:tcW w:w="494" w:type="pct"/>
            <w:shd w:val="clear" w:color="auto" w:fill="auto"/>
            <w:vAlign w:val="center"/>
          </w:tcPr>
          <w:p w14:paraId="729B76AE" w14:textId="77777777" w:rsidR="00404B9C" w:rsidRPr="00404B9C" w:rsidRDefault="00404B9C" w:rsidP="00404B9C">
            <w:pPr>
              <w:rPr>
                <w:sz w:val="16"/>
                <w:szCs w:val="16"/>
              </w:rPr>
            </w:pPr>
            <w:r w:rsidRPr="00404B9C">
              <w:rPr>
                <w:sz w:val="16"/>
                <w:szCs w:val="16"/>
              </w:rPr>
              <w:t>EFRR</w:t>
            </w:r>
          </w:p>
        </w:tc>
        <w:tc>
          <w:tcPr>
            <w:tcW w:w="558" w:type="pct"/>
            <w:shd w:val="clear" w:color="auto" w:fill="auto"/>
            <w:vAlign w:val="center"/>
          </w:tcPr>
          <w:p w14:paraId="5124DB3C" w14:textId="77777777" w:rsidR="00404B9C" w:rsidRPr="00404B9C" w:rsidRDefault="00404B9C" w:rsidP="00404B9C">
            <w:pPr>
              <w:rPr>
                <w:sz w:val="16"/>
                <w:szCs w:val="16"/>
              </w:rPr>
            </w:pPr>
            <w:r w:rsidRPr="00404B9C">
              <w:rPr>
                <w:sz w:val="16"/>
                <w:szCs w:val="16"/>
              </w:rPr>
              <w:t>przejściowy</w:t>
            </w:r>
          </w:p>
        </w:tc>
        <w:tc>
          <w:tcPr>
            <w:tcW w:w="423" w:type="pct"/>
            <w:shd w:val="clear" w:color="auto" w:fill="auto"/>
            <w:vAlign w:val="center"/>
          </w:tcPr>
          <w:p w14:paraId="0DFB678A" w14:textId="79643BF7" w:rsidR="00404B9C" w:rsidRPr="00404B9C" w:rsidRDefault="00404B9C" w:rsidP="00404B9C">
            <w:pPr>
              <w:rPr>
                <w:sz w:val="16"/>
                <w:szCs w:val="16"/>
              </w:rPr>
            </w:pPr>
            <w:r w:rsidRPr="00404B9C">
              <w:rPr>
                <w:sz w:val="16"/>
                <w:szCs w:val="16"/>
              </w:rPr>
              <w:t>RCO77</w:t>
            </w:r>
          </w:p>
        </w:tc>
        <w:tc>
          <w:tcPr>
            <w:tcW w:w="1348" w:type="pct"/>
            <w:shd w:val="clear" w:color="auto" w:fill="auto"/>
            <w:vAlign w:val="center"/>
          </w:tcPr>
          <w:p w14:paraId="00BFCB57" w14:textId="53E503FC" w:rsidR="00404B9C" w:rsidRPr="00404B9C" w:rsidRDefault="00404B9C" w:rsidP="00404B9C">
            <w:pPr>
              <w:rPr>
                <w:sz w:val="16"/>
                <w:szCs w:val="16"/>
              </w:rPr>
            </w:pPr>
            <w:r w:rsidRPr="00404B9C">
              <w:rPr>
                <w:bCs/>
                <w:sz w:val="16"/>
                <w:szCs w:val="16"/>
              </w:rPr>
              <w:t>Liczba obiektów kulturalnych i turystycznych objętych wsparciem</w:t>
            </w:r>
          </w:p>
        </w:tc>
        <w:tc>
          <w:tcPr>
            <w:tcW w:w="549" w:type="pct"/>
            <w:shd w:val="clear" w:color="auto" w:fill="auto"/>
            <w:vAlign w:val="center"/>
          </w:tcPr>
          <w:p w14:paraId="58E8708B" w14:textId="3C97E11D" w:rsidR="00404B9C" w:rsidRPr="00404B9C" w:rsidRDefault="00216562" w:rsidP="00404B9C">
            <w:pPr>
              <w:rPr>
                <w:sz w:val="16"/>
                <w:szCs w:val="16"/>
              </w:rPr>
            </w:pPr>
            <w:r>
              <w:rPr>
                <w:sz w:val="16"/>
                <w:szCs w:val="16"/>
              </w:rPr>
              <w:t>obiekty kulturalne i turystyczne</w:t>
            </w:r>
          </w:p>
        </w:tc>
        <w:tc>
          <w:tcPr>
            <w:tcW w:w="627" w:type="pct"/>
            <w:shd w:val="clear" w:color="auto" w:fill="auto"/>
            <w:vAlign w:val="center"/>
          </w:tcPr>
          <w:p w14:paraId="68325737" w14:textId="60226380" w:rsidR="00404B9C" w:rsidRPr="00404B9C" w:rsidRDefault="00087FE2" w:rsidP="00404B9C">
            <w:pPr>
              <w:rPr>
                <w:sz w:val="16"/>
                <w:szCs w:val="16"/>
              </w:rPr>
            </w:pPr>
            <w:r>
              <w:rPr>
                <w:sz w:val="16"/>
                <w:szCs w:val="16"/>
              </w:rPr>
              <w:t>0,00</w:t>
            </w:r>
          </w:p>
        </w:tc>
        <w:tc>
          <w:tcPr>
            <w:tcW w:w="550" w:type="pct"/>
            <w:shd w:val="clear" w:color="auto" w:fill="auto"/>
            <w:vAlign w:val="center"/>
          </w:tcPr>
          <w:p w14:paraId="6E48D2A9" w14:textId="1630C45B" w:rsidR="00404B9C" w:rsidRPr="00404B9C" w:rsidRDefault="00404B9C" w:rsidP="00404B9C">
            <w:pPr>
              <w:rPr>
                <w:sz w:val="16"/>
                <w:szCs w:val="16"/>
              </w:rPr>
            </w:pPr>
            <w:r w:rsidRPr="00404B9C">
              <w:rPr>
                <w:sz w:val="16"/>
                <w:szCs w:val="16"/>
              </w:rPr>
              <w:t>7,00</w:t>
            </w:r>
          </w:p>
        </w:tc>
      </w:tr>
      <w:tr w:rsidR="00404B9C" w:rsidRPr="00404B9C" w14:paraId="4C2F9FBA" w14:textId="77777777" w:rsidTr="008352E3">
        <w:trPr>
          <w:trHeight w:val="340"/>
        </w:trPr>
        <w:tc>
          <w:tcPr>
            <w:tcW w:w="5000" w:type="pct"/>
            <w:gridSpan w:val="8"/>
            <w:shd w:val="clear" w:color="auto" w:fill="auto"/>
          </w:tcPr>
          <w:p w14:paraId="3081C95D" w14:textId="77777777" w:rsidR="00404B9C" w:rsidRPr="00404B9C" w:rsidRDefault="00404B9C" w:rsidP="00404B9C">
            <w:pPr>
              <w:rPr>
                <w:b/>
                <w:bCs/>
              </w:rPr>
            </w:pPr>
            <w:r w:rsidRPr="00404B9C">
              <w:rPr>
                <w:b/>
                <w:bCs/>
              </w:rPr>
              <w:t>Metodologia:</w:t>
            </w:r>
          </w:p>
          <w:p w14:paraId="1D4F9EED" w14:textId="77777777" w:rsidR="00404B9C" w:rsidRDefault="00404B9C" w:rsidP="00404B9C">
            <w:r w:rsidRPr="00404B9C">
              <w:t xml:space="preserve">Wartość wskaźnika zostanie uzupełniona po zatwierdzeniu poszczególnych strategii ZIT/IIT. Obecna wartość opiera się jedynie na danych ZIT LGOF, który przekazał niezbędne informacje w celu programowania wsparcia. </w:t>
            </w:r>
          </w:p>
          <w:p w14:paraId="7E16CFD2" w14:textId="7D066E2F" w:rsidR="00E57FA0" w:rsidRPr="00404B9C" w:rsidRDefault="00E57FA0" w:rsidP="00404B9C">
            <w:r w:rsidRPr="00E57FA0">
              <w:t>Ponadto wartość wskaźnika zostanie zrewidowana po zatwierdzeniu poszczególnych strategii ZIT/IIT.</w:t>
            </w:r>
          </w:p>
        </w:tc>
      </w:tr>
    </w:tbl>
    <w:p w14:paraId="2CD53368" w14:textId="35261971" w:rsidR="00404B9C" w:rsidRDefault="00404B9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CB4992" w:rsidRPr="00404B9C" w14:paraId="77F4C073" w14:textId="77777777" w:rsidTr="00F054E5">
        <w:trPr>
          <w:cantSplit/>
          <w:trHeight w:val="1647"/>
        </w:trPr>
        <w:tc>
          <w:tcPr>
            <w:tcW w:w="451" w:type="pct"/>
            <w:shd w:val="clear" w:color="auto" w:fill="auto"/>
            <w:vAlign w:val="center"/>
          </w:tcPr>
          <w:p w14:paraId="2A0BB756" w14:textId="77777777" w:rsidR="00CB4992" w:rsidRPr="00404B9C" w:rsidRDefault="00CB4992" w:rsidP="00F054E5">
            <w:pPr>
              <w:rPr>
                <w:b/>
              </w:rPr>
            </w:pPr>
            <w:r w:rsidRPr="00404B9C">
              <w:rPr>
                <w:b/>
              </w:rPr>
              <w:t>CP 5</w:t>
            </w:r>
          </w:p>
          <w:p w14:paraId="1E852CD8" w14:textId="77777777" w:rsidR="00CB4992" w:rsidRPr="00404B9C" w:rsidRDefault="00CB4992" w:rsidP="00F054E5">
            <w:pPr>
              <w:rPr>
                <w:b/>
              </w:rPr>
            </w:pPr>
            <w:r w:rsidRPr="00404B9C">
              <w:rPr>
                <w:b/>
              </w:rPr>
              <w:t>Cel szczegółowy</w:t>
            </w:r>
          </w:p>
        </w:tc>
        <w:tc>
          <w:tcPr>
            <w:tcW w:w="494" w:type="pct"/>
            <w:shd w:val="clear" w:color="auto" w:fill="auto"/>
            <w:vAlign w:val="center"/>
          </w:tcPr>
          <w:p w14:paraId="761622B2" w14:textId="77777777" w:rsidR="00CB4992" w:rsidRPr="00404B9C" w:rsidRDefault="00CB4992" w:rsidP="00F054E5">
            <w:pPr>
              <w:rPr>
                <w:b/>
              </w:rPr>
            </w:pPr>
            <w:r w:rsidRPr="00404B9C">
              <w:rPr>
                <w:b/>
              </w:rPr>
              <w:t>Fundusz</w:t>
            </w:r>
          </w:p>
        </w:tc>
        <w:tc>
          <w:tcPr>
            <w:tcW w:w="558" w:type="pct"/>
            <w:shd w:val="clear" w:color="auto" w:fill="auto"/>
            <w:vAlign w:val="center"/>
          </w:tcPr>
          <w:p w14:paraId="4A3E0AC3" w14:textId="77777777" w:rsidR="00CB4992" w:rsidRPr="00404B9C" w:rsidRDefault="00CB4992" w:rsidP="00F054E5">
            <w:pPr>
              <w:rPr>
                <w:b/>
              </w:rPr>
            </w:pPr>
            <w:r w:rsidRPr="00404B9C">
              <w:rPr>
                <w:b/>
              </w:rPr>
              <w:t>Kategoria regionu</w:t>
            </w:r>
          </w:p>
        </w:tc>
        <w:tc>
          <w:tcPr>
            <w:tcW w:w="423" w:type="pct"/>
            <w:shd w:val="clear" w:color="auto" w:fill="auto"/>
            <w:textDirection w:val="btLr"/>
            <w:vAlign w:val="center"/>
          </w:tcPr>
          <w:p w14:paraId="492FBDAC" w14:textId="77777777" w:rsidR="00CB4992" w:rsidRPr="00404B9C" w:rsidRDefault="00CB4992" w:rsidP="00F054E5">
            <w:pPr>
              <w:rPr>
                <w:b/>
              </w:rPr>
            </w:pPr>
            <w:r w:rsidRPr="00404B9C">
              <w:rPr>
                <w:b/>
              </w:rPr>
              <w:t>Nr identyfikacyjny [5]</w:t>
            </w:r>
          </w:p>
        </w:tc>
        <w:tc>
          <w:tcPr>
            <w:tcW w:w="1348" w:type="pct"/>
            <w:shd w:val="clear" w:color="auto" w:fill="auto"/>
            <w:vAlign w:val="center"/>
          </w:tcPr>
          <w:p w14:paraId="478C395D" w14:textId="77777777" w:rsidR="00CB4992" w:rsidRPr="00404B9C" w:rsidRDefault="00CB4992" w:rsidP="00F054E5">
            <w:pPr>
              <w:rPr>
                <w:b/>
              </w:rPr>
            </w:pPr>
            <w:r w:rsidRPr="00404B9C">
              <w:rPr>
                <w:b/>
              </w:rPr>
              <w:t>Wskaźnik [255]</w:t>
            </w:r>
          </w:p>
        </w:tc>
        <w:tc>
          <w:tcPr>
            <w:tcW w:w="549" w:type="pct"/>
            <w:shd w:val="clear" w:color="auto" w:fill="auto"/>
            <w:vAlign w:val="center"/>
          </w:tcPr>
          <w:p w14:paraId="6981825E" w14:textId="77777777" w:rsidR="00CB4992" w:rsidRPr="00404B9C" w:rsidRDefault="00CB4992" w:rsidP="00F054E5">
            <w:pPr>
              <w:rPr>
                <w:b/>
              </w:rPr>
            </w:pPr>
            <w:r w:rsidRPr="00404B9C">
              <w:rPr>
                <w:b/>
              </w:rPr>
              <w:t>Jednostka miary</w:t>
            </w:r>
          </w:p>
        </w:tc>
        <w:tc>
          <w:tcPr>
            <w:tcW w:w="627" w:type="pct"/>
            <w:shd w:val="clear" w:color="auto" w:fill="auto"/>
            <w:vAlign w:val="center"/>
          </w:tcPr>
          <w:p w14:paraId="28734B55" w14:textId="77777777" w:rsidR="00CB4992" w:rsidRPr="00404B9C" w:rsidRDefault="00CB4992" w:rsidP="00F054E5">
            <w:pPr>
              <w:rPr>
                <w:b/>
              </w:rPr>
            </w:pPr>
            <w:r w:rsidRPr="00404B9C">
              <w:rPr>
                <w:b/>
              </w:rPr>
              <w:t>Cel pośredni (2024)</w:t>
            </w:r>
          </w:p>
          <w:p w14:paraId="6A1DC708" w14:textId="77777777" w:rsidR="00CB4992" w:rsidRPr="00404B9C" w:rsidRDefault="00CB4992" w:rsidP="00F054E5">
            <w:pPr>
              <w:rPr>
                <w:b/>
              </w:rPr>
            </w:pPr>
          </w:p>
        </w:tc>
        <w:tc>
          <w:tcPr>
            <w:tcW w:w="550" w:type="pct"/>
            <w:shd w:val="clear" w:color="auto" w:fill="auto"/>
            <w:vAlign w:val="center"/>
          </w:tcPr>
          <w:p w14:paraId="13695EDE" w14:textId="77777777" w:rsidR="00CB4992" w:rsidRPr="00404B9C" w:rsidRDefault="00CB4992" w:rsidP="00F054E5">
            <w:pPr>
              <w:rPr>
                <w:b/>
              </w:rPr>
            </w:pPr>
            <w:r w:rsidRPr="00404B9C">
              <w:rPr>
                <w:b/>
              </w:rPr>
              <w:t>Cel (2029)</w:t>
            </w:r>
          </w:p>
          <w:p w14:paraId="4C691FC6" w14:textId="77777777" w:rsidR="00CB4992" w:rsidRPr="00404B9C" w:rsidRDefault="00CB4992" w:rsidP="00F054E5">
            <w:pPr>
              <w:rPr>
                <w:b/>
              </w:rPr>
            </w:pPr>
          </w:p>
        </w:tc>
      </w:tr>
      <w:tr w:rsidR="00CB4992" w:rsidRPr="00404B9C" w14:paraId="0BADF0C2" w14:textId="77777777" w:rsidTr="00F054E5">
        <w:trPr>
          <w:trHeight w:val="340"/>
        </w:trPr>
        <w:tc>
          <w:tcPr>
            <w:tcW w:w="451" w:type="pct"/>
            <w:shd w:val="clear" w:color="auto" w:fill="auto"/>
            <w:vAlign w:val="center"/>
          </w:tcPr>
          <w:p w14:paraId="0387ED99" w14:textId="77777777" w:rsidR="00CB4992" w:rsidRPr="00404B9C" w:rsidRDefault="00CB4992" w:rsidP="00F054E5">
            <w:pPr>
              <w:rPr>
                <w:sz w:val="16"/>
                <w:szCs w:val="16"/>
              </w:rPr>
            </w:pPr>
            <w:r w:rsidRPr="00404B9C">
              <w:rPr>
                <w:sz w:val="16"/>
                <w:szCs w:val="16"/>
              </w:rPr>
              <w:t>5</w:t>
            </w:r>
          </w:p>
          <w:p w14:paraId="10B2B6C4" w14:textId="77777777" w:rsidR="00CB4992" w:rsidRPr="00404B9C" w:rsidRDefault="00CB4992" w:rsidP="00F054E5">
            <w:pPr>
              <w:rPr>
                <w:sz w:val="16"/>
                <w:szCs w:val="16"/>
              </w:rPr>
            </w:pPr>
            <w:r w:rsidRPr="00404B9C">
              <w:rPr>
                <w:sz w:val="16"/>
                <w:szCs w:val="16"/>
              </w:rPr>
              <w:t>5.1</w:t>
            </w:r>
          </w:p>
        </w:tc>
        <w:tc>
          <w:tcPr>
            <w:tcW w:w="494" w:type="pct"/>
            <w:shd w:val="clear" w:color="auto" w:fill="auto"/>
            <w:vAlign w:val="center"/>
          </w:tcPr>
          <w:p w14:paraId="331A28D0" w14:textId="77777777" w:rsidR="00CB4992" w:rsidRPr="00404B9C" w:rsidRDefault="00CB4992" w:rsidP="00F054E5">
            <w:pPr>
              <w:rPr>
                <w:sz w:val="16"/>
                <w:szCs w:val="16"/>
              </w:rPr>
            </w:pPr>
            <w:r w:rsidRPr="00404B9C">
              <w:rPr>
                <w:sz w:val="16"/>
                <w:szCs w:val="16"/>
              </w:rPr>
              <w:t>EFRR</w:t>
            </w:r>
          </w:p>
        </w:tc>
        <w:tc>
          <w:tcPr>
            <w:tcW w:w="558" w:type="pct"/>
            <w:shd w:val="clear" w:color="auto" w:fill="auto"/>
            <w:vAlign w:val="center"/>
          </w:tcPr>
          <w:p w14:paraId="0D9C8277" w14:textId="77777777" w:rsidR="00CB4992" w:rsidRPr="00404B9C" w:rsidRDefault="00CB4992" w:rsidP="00F054E5">
            <w:pPr>
              <w:rPr>
                <w:sz w:val="16"/>
                <w:szCs w:val="16"/>
              </w:rPr>
            </w:pPr>
            <w:r w:rsidRPr="00404B9C">
              <w:rPr>
                <w:sz w:val="16"/>
                <w:szCs w:val="16"/>
              </w:rPr>
              <w:t>przejściowy</w:t>
            </w:r>
          </w:p>
        </w:tc>
        <w:tc>
          <w:tcPr>
            <w:tcW w:w="423" w:type="pct"/>
            <w:shd w:val="clear" w:color="auto" w:fill="auto"/>
            <w:vAlign w:val="center"/>
          </w:tcPr>
          <w:p w14:paraId="4845CCF9" w14:textId="0E685F23" w:rsidR="00CB4992" w:rsidRPr="00404B9C" w:rsidRDefault="00CB4992" w:rsidP="00F054E5">
            <w:pPr>
              <w:rPr>
                <w:sz w:val="16"/>
                <w:szCs w:val="16"/>
              </w:rPr>
            </w:pPr>
            <w:r w:rsidRPr="00404B9C">
              <w:rPr>
                <w:sz w:val="16"/>
                <w:szCs w:val="16"/>
              </w:rPr>
              <w:t>RCO</w:t>
            </w:r>
            <w:r>
              <w:rPr>
                <w:sz w:val="16"/>
                <w:szCs w:val="16"/>
              </w:rPr>
              <w:t>114</w:t>
            </w:r>
          </w:p>
        </w:tc>
        <w:tc>
          <w:tcPr>
            <w:tcW w:w="1348" w:type="pct"/>
            <w:shd w:val="clear" w:color="auto" w:fill="auto"/>
            <w:vAlign w:val="center"/>
          </w:tcPr>
          <w:p w14:paraId="38D539B5" w14:textId="234CCA20" w:rsidR="00CB4992" w:rsidRPr="00404B9C" w:rsidRDefault="00CB4992" w:rsidP="00F054E5">
            <w:pPr>
              <w:rPr>
                <w:sz w:val="16"/>
                <w:szCs w:val="16"/>
              </w:rPr>
            </w:pPr>
            <w:r w:rsidRPr="00CB4992">
              <w:rPr>
                <w:bCs/>
                <w:sz w:val="16"/>
                <w:szCs w:val="16"/>
              </w:rPr>
              <w:t>Otwarta przestrzeń utworzona lub rekultywowana na obszarach miejskich</w:t>
            </w:r>
          </w:p>
        </w:tc>
        <w:tc>
          <w:tcPr>
            <w:tcW w:w="549" w:type="pct"/>
            <w:shd w:val="clear" w:color="auto" w:fill="auto"/>
            <w:vAlign w:val="center"/>
          </w:tcPr>
          <w:p w14:paraId="6713B902" w14:textId="5412190C" w:rsidR="00CB4992" w:rsidRPr="00404B9C" w:rsidRDefault="00B01D39" w:rsidP="00F054E5">
            <w:pPr>
              <w:rPr>
                <w:sz w:val="16"/>
                <w:szCs w:val="16"/>
              </w:rPr>
            </w:pPr>
            <w:r>
              <w:rPr>
                <w:sz w:val="16"/>
                <w:szCs w:val="16"/>
              </w:rPr>
              <w:t>m2</w:t>
            </w:r>
          </w:p>
        </w:tc>
        <w:tc>
          <w:tcPr>
            <w:tcW w:w="627" w:type="pct"/>
            <w:shd w:val="clear" w:color="auto" w:fill="auto"/>
            <w:vAlign w:val="center"/>
          </w:tcPr>
          <w:p w14:paraId="7AAD5CE9" w14:textId="751008FA" w:rsidR="00CB4992" w:rsidRPr="00404B9C" w:rsidRDefault="009B7C38" w:rsidP="00F054E5">
            <w:pPr>
              <w:rPr>
                <w:sz w:val="16"/>
                <w:szCs w:val="16"/>
              </w:rPr>
            </w:pPr>
            <w:r>
              <w:rPr>
                <w:sz w:val="16"/>
                <w:szCs w:val="16"/>
              </w:rPr>
              <w:t>0,00</w:t>
            </w:r>
          </w:p>
        </w:tc>
        <w:tc>
          <w:tcPr>
            <w:tcW w:w="550" w:type="pct"/>
            <w:shd w:val="clear" w:color="auto" w:fill="auto"/>
            <w:vAlign w:val="center"/>
          </w:tcPr>
          <w:p w14:paraId="67D25905" w14:textId="5A2B9892" w:rsidR="00CB4992" w:rsidRPr="00404B9C" w:rsidRDefault="00CB4992" w:rsidP="00F054E5">
            <w:pPr>
              <w:rPr>
                <w:sz w:val="16"/>
                <w:szCs w:val="16"/>
              </w:rPr>
            </w:pPr>
            <w:r>
              <w:rPr>
                <w:sz w:val="16"/>
                <w:szCs w:val="16"/>
              </w:rPr>
              <w:t>500 000,00</w:t>
            </w:r>
          </w:p>
        </w:tc>
      </w:tr>
      <w:tr w:rsidR="00CB4992" w:rsidRPr="00404B9C" w14:paraId="63D6EA8F" w14:textId="77777777" w:rsidTr="00F054E5">
        <w:trPr>
          <w:trHeight w:val="340"/>
        </w:trPr>
        <w:tc>
          <w:tcPr>
            <w:tcW w:w="5000" w:type="pct"/>
            <w:gridSpan w:val="8"/>
            <w:shd w:val="clear" w:color="auto" w:fill="auto"/>
          </w:tcPr>
          <w:p w14:paraId="2AF9F115" w14:textId="77777777" w:rsidR="00CB4992" w:rsidRPr="00404B9C" w:rsidRDefault="00CB4992" w:rsidP="00F054E5">
            <w:pPr>
              <w:rPr>
                <w:b/>
                <w:bCs/>
              </w:rPr>
            </w:pPr>
            <w:r w:rsidRPr="00404B9C">
              <w:rPr>
                <w:b/>
                <w:bCs/>
              </w:rPr>
              <w:t>Metodologia:</w:t>
            </w:r>
          </w:p>
          <w:p w14:paraId="4DD8D499" w14:textId="77777777" w:rsidR="00CB4992" w:rsidRDefault="00CB4992" w:rsidP="00F054E5">
            <w:r w:rsidRPr="00404B9C">
              <w:t xml:space="preserve">Wartość wskaźnika zostanie uzupełniona po zatwierdzeniu poszczególnych strategii ZIT/IIT. Obecna wartość opiera się jedynie na danych ZIT LGOF, który przekazał niezbędne informacje w celu programowania wsparcia. </w:t>
            </w:r>
            <w:r>
              <w:t>Obecnie wartość bazuje na powierzchni Parku Miejskiego w Legnicy.</w:t>
            </w:r>
          </w:p>
          <w:p w14:paraId="51A28BB8" w14:textId="66D37062" w:rsidR="00E57FA0" w:rsidRPr="00404B9C" w:rsidRDefault="00E57FA0" w:rsidP="00F054E5">
            <w:r w:rsidRPr="00E57FA0">
              <w:t>Ponadto wartość wskaźnika zostanie zrewidowana po zatwierdzeniu poszczególnych strategii ZIT/IIT</w:t>
            </w:r>
            <w:r w:rsidR="009B7C38">
              <w:t>, gdzie wówczas będzie możliwość określenie celu pośredniego.</w:t>
            </w:r>
          </w:p>
        </w:tc>
      </w:tr>
    </w:tbl>
    <w:p w14:paraId="11AAD08E" w14:textId="77777777" w:rsidR="00CB4992" w:rsidRPr="003A6407" w:rsidRDefault="00CB4992"/>
    <w:p w14:paraId="5B787946" w14:textId="77777777" w:rsidR="002374A8" w:rsidRPr="003A6407" w:rsidRDefault="002374A8" w:rsidP="006B06F8">
      <w:pPr>
        <w:pStyle w:val="Nagwek2"/>
        <w:spacing w:after="200"/>
      </w:pPr>
      <w:bookmarkStart w:id="226" w:name="_Toc120464448"/>
      <w:r w:rsidRPr="003A6407">
        <w:t>Wskaźniki rezultatu</w:t>
      </w:r>
      <w:bookmarkEnd w:id="226"/>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76"/>
        <w:gridCol w:w="759"/>
        <w:gridCol w:w="576"/>
        <w:gridCol w:w="1837"/>
        <w:gridCol w:w="748"/>
        <w:gridCol w:w="853"/>
        <w:gridCol w:w="750"/>
        <w:gridCol w:w="750"/>
        <w:gridCol w:w="747"/>
        <w:gridCol w:w="743"/>
      </w:tblGrid>
      <w:tr w:rsidR="00191FE2" w:rsidRPr="003A6407" w14:paraId="6E4EB86E" w14:textId="77777777" w:rsidTr="00F75D9B">
        <w:trPr>
          <w:cantSplit/>
          <w:trHeight w:val="1647"/>
        </w:trPr>
        <w:tc>
          <w:tcPr>
            <w:tcW w:w="342" w:type="pct"/>
            <w:shd w:val="clear" w:color="auto" w:fill="auto"/>
            <w:vAlign w:val="center"/>
          </w:tcPr>
          <w:p w14:paraId="37D157F5"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5</w:t>
            </w:r>
          </w:p>
          <w:p w14:paraId="7528308F" w14:textId="692C49C3"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373" w:type="pct"/>
            <w:shd w:val="clear" w:color="auto" w:fill="auto"/>
            <w:vAlign w:val="center"/>
          </w:tcPr>
          <w:p w14:paraId="21DBE6FF"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419" w:type="pct"/>
            <w:shd w:val="clear" w:color="auto" w:fill="auto"/>
            <w:vAlign w:val="center"/>
          </w:tcPr>
          <w:p w14:paraId="0C3980A8"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318" w:type="pct"/>
            <w:shd w:val="clear" w:color="auto" w:fill="auto"/>
            <w:textDirection w:val="btLr"/>
            <w:vAlign w:val="center"/>
          </w:tcPr>
          <w:p w14:paraId="15097377" w14:textId="77777777" w:rsidR="002374A8" w:rsidRPr="003A6407" w:rsidRDefault="002374A8" w:rsidP="00F75D9B">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014" w:type="pct"/>
            <w:shd w:val="clear" w:color="auto" w:fill="auto"/>
            <w:vAlign w:val="center"/>
          </w:tcPr>
          <w:p w14:paraId="269F6C2E" w14:textId="6316A6BD"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413" w:type="pct"/>
            <w:shd w:val="clear" w:color="auto" w:fill="auto"/>
            <w:vAlign w:val="center"/>
          </w:tcPr>
          <w:p w14:paraId="4D05F348"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71" w:type="pct"/>
            <w:shd w:val="clear" w:color="auto" w:fill="auto"/>
            <w:textDirection w:val="btLr"/>
            <w:vAlign w:val="center"/>
          </w:tcPr>
          <w:p w14:paraId="7852F170" w14:textId="77777777" w:rsidR="002374A8" w:rsidRPr="003A6407" w:rsidRDefault="002374A8" w:rsidP="00F75D9B">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Wartość bazowa lub wartość odniesienia</w:t>
            </w:r>
          </w:p>
        </w:tc>
        <w:tc>
          <w:tcPr>
            <w:tcW w:w="414" w:type="pct"/>
            <w:textDirection w:val="btLr"/>
            <w:vAlign w:val="center"/>
          </w:tcPr>
          <w:p w14:paraId="21053F30" w14:textId="77777777" w:rsidR="002374A8" w:rsidRPr="003A6407" w:rsidRDefault="002374A8" w:rsidP="00F75D9B">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Rok referencyjny</w:t>
            </w:r>
          </w:p>
        </w:tc>
        <w:tc>
          <w:tcPr>
            <w:tcW w:w="414" w:type="pct"/>
            <w:vAlign w:val="center"/>
          </w:tcPr>
          <w:p w14:paraId="6155E4AF"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3732FC05"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p>
        </w:tc>
        <w:tc>
          <w:tcPr>
            <w:tcW w:w="412" w:type="pct"/>
            <w:shd w:val="clear" w:color="auto" w:fill="auto"/>
            <w:vAlign w:val="center"/>
          </w:tcPr>
          <w:p w14:paraId="39FB1B9E" w14:textId="770785E3" w:rsidR="002374A8" w:rsidRPr="003A6407" w:rsidRDefault="002374A8" w:rsidP="00F75D9B">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Źródło danych</w:t>
            </w:r>
          </w:p>
        </w:tc>
        <w:tc>
          <w:tcPr>
            <w:tcW w:w="411" w:type="pct"/>
            <w:vAlign w:val="center"/>
          </w:tcPr>
          <w:p w14:paraId="715F4108" w14:textId="77777777" w:rsidR="002374A8" w:rsidRPr="003A6407" w:rsidRDefault="002374A8" w:rsidP="00F75D9B">
            <w:pPr>
              <w:shd w:val="clear" w:color="auto" w:fill="FFFFFF"/>
              <w:spacing w:before="120" w:after="120" w:line="240" w:lineRule="auto"/>
              <w:jc w:val="center"/>
              <w:rPr>
                <w:rFonts w:eastAsia="Calibri" w:cs="Times New Roman"/>
                <w:b/>
                <w:noProof/>
                <w:sz w:val="16"/>
                <w:szCs w:val="16"/>
              </w:rPr>
            </w:pPr>
          </w:p>
        </w:tc>
      </w:tr>
      <w:tr w:rsidR="00191FE2" w:rsidRPr="003A6407" w14:paraId="3EBFB971" w14:textId="77777777" w:rsidTr="00F75D9B">
        <w:trPr>
          <w:trHeight w:val="340"/>
        </w:trPr>
        <w:tc>
          <w:tcPr>
            <w:tcW w:w="342" w:type="pct"/>
            <w:shd w:val="clear" w:color="auto" w:fill="auto"/>
            <w:vAlign w:val="center"/>
          </w:tcPr>
          <w:p w14:paraId="63C081C4" w14:textId="77777777" w:rsidR="002374A8" w:rsidRDefault="002374A8"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lastRenderedPageBreak/>
              <w:t>5</w:t>
            </w:r>
          </w:p>
          <w:p w14:paraId="5D063CC9" w14:textId="633CAC32" w:rsidR="001C6669" w:rsidRPr="003A6407" w:rsidRDefault="001C6669" w:rsidP="00F75D9B">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5.1</w:t>
            </w:r>
          </w:p>
        </w:tc>
        <w:tc>
          <w:tcPr>
            <w:tcW w:w="373" w:type="pct"/>
            <w:shd w:val="clear" w:color="auto" w:fill="auto"/>
            <w:vAlign w:val="center"/>
          </w:tcPr>
          <w:p w14:paraId="5356C95A" w14:textId="77777777" w:rsidR="002374A8" w:rsidRPr="003A6407" w:rsidRDefault="002374A8"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419" w:type="pct"/>
            <w:shd w:val="clear" w:color="auto" w:fill="auto"/>
            <w:vAlign w:val="center"/>
          </w:tcPr>
          <w:p w14:paraId="437775D6" w14:textId="77777777" w:rsidR="002374A8" w:rsidRPr="003A6407" w:rsidRDefault="002374A8"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318" w:type="pct"/>
            <w:shd w:val="clear" w:color="auto" w:fill="auto"/>
            <w:vAlign w:val="center"/>
          </w:tcPr>
          <w:p w14:paraId="58F05B0C" w14:textId="29A3E64F" w:rsidR="002374A8" w:rsidRPr="003A6407" w:rsidRDefault="00DA059E" w:rsidP="00F75D9B">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DOL2R</w:t>
            </w:r>
          </w:p>
        </w:tc>
        <w:tc>
          <w:tcPr>
            <w:tcW w:w="1014" w:type="pct"/>
            <w:shd w:val="clear" w:color="auto" w:fill="auto"/>
            <w:vAlign w:val="center"/>
          </w:tcPr>
          <w:p w14:paraId="17E1C011" w14:textId="693DEB01" w:rsidR="002374A8" w:rsidRPr="003A6407" w:rsidRDefault="00F75D9B" w:rsidP="00F75D9B">
            <w:pPr>
              <w:keepNext/>
              <w:keepLines/>
              <w:spacing w:before="200" w:after="0"/>
              <w:jc w:val="center"/>
              <w:outlineLvl w:val="2"/>
              <w:rPr>
                <w:rFonts w:eastAsia="Calibri" w:cs="Times New Roman"/>
                <w:noProof/>
                <w:sz w:val="16"/>
                <w:szCs w:val="16"/>
              </w:rPr>
            </w:pPr>
            <w:bookmarkStart w:id="227" w:name="_Toc120464449"/>
            <w:r w:rsidRPr="003A6407">
              <w:rPr>
                <w:rFonts w:eastAsia="Times New Roman" w:cs="Calibri"/>
                <w:bCs/>
                <w:noProof/>
                <w:sz w:val="16"/>
                <w:szCs w:val="16"/>
              </w:rPr>
              <w:t>Liczba osób, które zamieszkują obszar objęty realizacją instrumentu rozwoju terytorialnego</w:t>
            </w:r>
            <w:bookmarkEnd w:id="227"/>
          </w:p>
        </w:tc>
        <w:tc>
          <w:tcPr>
            <w:tcW w:w="413" w:type="pct"/>
            <w:shd w:val="clear" w:color="auto" w:fill="auto"/>
            <w:vAlign w:val="center"/>
          </w:tcPr>
          <w:p w14:paraId="4A920472" w14:textId="348EF317" w:rsidR="002374A8" w:rsidRPr="003A6407" w:rsidRDefault="00F75D9B"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osoby</w:t>
            </w:r>
          </w:p>
        </w:tc>
        <w:tc>
          <w:tcPr>
            <w:tcW w:w="471" w:type="pct"/>
            <w:shd w:val="clear" w:color="auto" w:fill="auto"/>
            <w:vAlign w:val="center"/>
          </w:tcPr>
          <w:p w14:paraId="5EC17310" w14:textId="77777777" w:rsidR="002374A8" w:rsidRPr="003A6407" w:rsidRDefault="002374A8"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w:t>
            </w:r>
          </w:p>
        </w:tc>
        <w:tc>
          <w:tcPr>
            <w:tcW w:w="414" w:type="pct"/>
            <w:vAlign w:val="center"/>
          </w:tcPr>
          <w:p w14:paraId="3E680AFF" w14:textId="287E2926" w:rsidR="002374A8" w:rsidRPr="003A6407" w:rsidRDefault="009E03DD"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2022</w:t>
            </w:r>
          </w:p>
        </w:tc>
        <w:tc>
          <w:tcPr>
            <w:tcW w:w="414" w:type="pct"/>
            <w:vAlign w:val="center"/>
          </w:tcPr>
          <w:p w14:paraId="387ABED7" w14:textId="49BC0C62" w:rsidR="002374A8" w:rsidRPr="003A6407" w:rsidRDefault="00F75D9B"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2 880 432</w:t>
            </w:r>
          </w:p>
        </w:tc>
        <w:tc>
          <w:tcPr>
            <w:tcW w:w="412" w:type="pct"/>
            <w:shd w:val="clear" w:color="auto" w:fill="auto"/>
            <w:vAlign w:val="center"/>
          </w:tcPr>
          <w:p w14:paraId="57F80EA7" w14:textId="091B3A8E" w:rsidR="002374A8" w:rsidRPr="003A6407" w:rsidRDefault="00F75D9B" w:rsidP="00F75D9B">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GUS BDL</w:t>
            </w:r>
          </w:p>
        </w:tc>
        <w:tc>
          <w:tcPr>
            <w:tcW w:w="411" w:type="pct"/>
            <w:vAlign w:val="center"/>
          </w:tcPr>
          <w:p w14:paraId="6257009F" w14:textId="77777777" w:rsidR="002374A8" w:rsidRPr="003A6407" w:rsidRDefault="002374A8" w:rsidP="00F75D9B">
            <w:pPr>
              <w:shd w:val="clear" w:color="auto" w:fill="FFFFFF"/>
              <w:spacing w:before="120" w:after="120" w:line="240" w:lineRule="auto"/>
              <w:jc w:val="center"/>
              <w:rPr>
                <w:rFonts w:eastAsia="Calibri" w:cs="Times New Roman"/>
                <w:noProof/>
                <w:sz w:val="16"/>
                <w:szCs w:val="16"/>
              </w:rPr>
            </w:pPr>
          </w:p>
        </w:tc>
      </w:tr>
      <w:tr w:rsidR="002374A8" w:rsidRPr="003A6407" w14:paraId="70E8B663" w14:textId="77777777" w:rsidTr="002B58A1">
        <w:trPr>
          <w:trHeight w:val="340"/>
        </w:trPr>
        <w:tc>
          <w:tcPr>
            <w:tcW w:w="5000" w:type="pct"/>
            <w:gridSpan w:val="11"/>
          </w:tcPr>
          <w:p w14:paraId="5C39EA2F" w14:textId="77777777" w:rsidR="002374A8" w:rsidRPr="003A6407" w:rsidRDefault="002374A8" w:rsidP="00F554F4">
            <w:pPr>
              <w:shd w:val="clear" w:color="auto" w:fill="FFFFFF"/>
              <w:spacing w:before="60" w:after="60" w:line="240" w:lineRule="auto"/>
              <w:jc w:val="both"/>
              <w:rPr>
                <w:rFonts w:eastAsia="Calibri"/>
              </w:rPr>
            </w:pPr>
            <w:r w:rsidRPr="003A6407">
              <w:rPr>
                <w:rFonts w:eastAsia="Calibri"/>
              </w:rPr>
              <w:t>Metodologia:</w:t>
            </w:r>
          </w:p>
          <w:p w14:paraId="34D9E784" w14:textId="0E5C06C5" w:rsidR="002374A8" w:rsidRPr="003A6407" w:rsidRDefault="002374A8" w:rsidP="00F554F4">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26936FA6" w14:textId="77777777" w:rsidR="002374A8" w:rsidRPr="003A6407" w:rsidRDefault="002374A8" w:rsidP="00F554F4">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012EEBBB" w14:textId="77777777" w:rsidR="002374A8" w:rsidRPr="003A6407" w:rsidRDefault="002374A8" w:rsidP="00F554F4">
            <w:pPr>
              <w:rPr>
                <w:rFonts w:eastAsia="Calibri"/>
              </w:rPr>
            </w:pPr>
            <w:r w:rsidRPr="003A6407">
              <w:rPr>
                <w:rFonts w:eastAsia="Calibri"/>
              </w:rPr>
              <w:t>- 6 Zintegrowanych Inwestycji Terytorialnych;</w:t>
            </w:r>
          </w:p>
          <w:p w14:paraId="00160FCC" w14:textId="77777777" w:rsidR="002374A8" w:rsidRPr="003A6407" w:rsidRDefault="002374A8" w:rsidP="00F554F4">
            <w:pPr>
              <w:rPr>
                <w:rFonts w:eastAsia="Calibri"/>
              </w:rPr>
            </w:pPr>
            <w:r w:rsidRPr="003A6407">
              <w:rPr>
                <w:rFonts w:eastAsia="Calibri"/>
              </w:rPr>
              <w:t>- 1 Inny Instrument Terytorialny;</w:t>
            </w:r>
          </w:p>
          <w:p w14:paraId="67684D80" w14:textId="77777777" w:rsidR="002374A8" w:rsidRDefault="002374A8" w:rsidP="00F554F4">
            <w:pPr>
              <w:rPr>
                <w:rFonts w:eastAsia="Calibri"/>
              </w:rPr>
            </w:pPr>
            <w:r w:rsidRPr="003A6407">
              <w:rPr>
                <w:rFonts w:eastAsia="Calibri"/>
              </w:rPr>
              <w:t xml:space="preserve">Wobec powyższego zakłada się w ramach metodologii, że wartość docelowa wskaźnika będzie równa liczbie </w:t>
            </w:r>
            <w:r w:rsidR="001D52F2" w:rsidRPr="003A6407">
              <w:rPr>
                <w:rFonts w:eastAsia="Calibri"/>
              </w:rPr>
              <w:t>osób zamieszkujących obszary objęte podejściem terytorialnym, tj. całe województwo dolnośląskie.</w:t>
            </w:r>
          </w:p>
          <w:p w14:paraId="384D3432" w14:textId="77777777" w:rsidR="00882F3A" w:rsidRPr="00882F3A" w:rsidRDefault="00882F3A" w:rsidP="00882F3A">
            <w:pPr>
              <w:rPr>
                <w:rFonts w:eastAsia="Calibri"/>
              </w:rPr>
            </w:pPr>
            <w:r w:rsidRPr="00882F3A">
              <w:rPr>
                <w:rFonts w:eastAsia="Calibri"/>
              </w:rPr>
              <w:t>Metodologia pomiaru wskaźnika</w:t>
            </w:r>
          </w:p>
          <w:p w14:paraId="04D82E25" w14:textId="77777777" w:rsidR="00882F3A" w:rsidRPr="00882F3A" w:rsidRDefault="00882F3A" w:rsidP="00882F3A">
            <w:pPr>
              <w:rPr>
                <w:rFonts w:eastAsia="Calibri"/>
              </w:rPr>
            </w:pPr>
            <w:r w:rsidRPr="00882F3A">
              <w:rPr>
                <w:rFonts w:eastAsia="Calibri"/>
              </w:rPr>
              <w:t xml:space="preserve">Wskaźnik mierzy liczbę osób zamieszkujących obszar danego instrumentu terytorialnego (ZIT, IIT) w obrębie jego jednostek administracyjnych. </w:t>
            </w:r>
          </w:p>
          <w:p w14:paraId="746EFBF5" w14:textId="77777777" w:rsidR="00882F3A" w:rsidRPr="00882F3A" w:rsidRDefault="00882F3A" w:rsidP="00882F3A">
            <w:pPr>
              <w:rPr>
                <w:rFonts w:eastAsia="Calibri"/>
              </w:rPr>
            </w:pPr>
            <w:r w:rsidRPr="00882F3A">
              <w:rPr>
                <w:rFonts w:eastAsia="Calibri"/>
              </w:rPr>
              <w:t xml:space="preserve">Wskaźnik podawany na podstawie danych publikowanych przez GUS. </w:t>
            </w:r>
          </w:p>
          <w:p w14:paraId="6968B4B0" w14:textId="60C4E0E2" w:rsidR="00882F3A" w:rsidRPr="003A6407" w:rsidRDefault="00882F3A" w:rsidP="00882F3A">
            <w:pPr>
              <w:rPr>
                <w:rFonts w:eastAsia="Calibri"/>
              </w:rPr>
            </w:pPr>
            <w:r w:rsidRPr="00882F3A">
              <w:rPr>
                <w:rFonts w:eastAsia="Calibri"/>
              </w:rPr>
              <w:t>Wartość wskaźnika programowego określana przez Instytucję Zarządzającą na poziomie celu szczegółowego/Programu.</w:t>
            </w:r>
          </w:p>
        </w:tc>
      </w:tr>
    </w:tbl>
    <w:p w14:paraId="1A682A01" w14:textId="0F58ED76" w:rsidR="00BA4C5C" w:rsidRPr="003A6407" w:rsidRDefault="00BA4C5C" w:rsidP="00BA4C5C">
      <w:bookmarkStart w:id="228" w:name="_Toc114662375"/>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76"/>
        <w:gridCol w:w="759"/>
        <w:gridCol w:w="576"/>
        <w:gridCol w:w="1837"/>
        <w:gridCol w:w="748"/>
        <w:gridCol w:w="853"/>
        <w:gridCol w:w="750"/>
        <w:gridCol w:w="750"/>
        <w:gridCol w:w="747"/>
        <w:gridCol w:w="743"/>
      </w:tblGrid>
      <w:tr w:rsidR="00CB4992" w:rsidRPr="003A6407" w14:paraId="535D9057" w14:textId="77777777" w:rsidTr="00F054E5">
        <w:trPr>
          <w:cantSplit/>
          <w:trHeight w:val="1647"/>
        </w:trPr>
        <w:tc>
          <w:tcPr>
            <w:tcW w:w="342" w:type="pct"/>
            <w:shd w:val="clear" w:color="auto" w:fill="auto"/>
            <w:vAlign w:val="center"/>
          </w:tcPr>
          <w:p w14:paraId="593BA25F"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5</w:t>
            </w:r>
          </w:p>
          <w:p w14:paraId="5FD10DCC"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373" w:type="pct"/>
            <w:shd w:val="clear" w:color="auto" w:fill="auto"/>
            <w:vAlign w:val="center"/>
          </w:tcPr>
          <w:p w14:paraId="720B2B8A"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419" w:type="pct"/>
            <w:shd w:val="clear" w:color="auto" w:fill="auto"/>
            <w:vAlign w:val="center"/>
          </w:tcPr>
          <w:p w14:paraId="31924492"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318" w:type="pct"/>
            <w:shd w:val="clear" w:color="auto" w:fill="auto"/>
            <w:textDirection w:val="btLr"/>
            <w:vAlign w:val="center"/>
          </w:tcPr>
          <w:p w14:paraId="535D5D32" w14:textId="77777777" w:rsidR="00CB4992" w:rsidRPr="003A6407" w:rsidRDefault="00CB4992" w:rsidP="00F054E5">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014" w:type="pct"/>
            <w:shd w:val="clear" w:color="auto" w:fill="auto"/>
            <w:vAlign w:val="center"/>
          </w:tcPr>
          <w:p w14:paraId="3FCD1DEE"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413" w:type="pct"/>
            <w:shd w:val="clear" w:color="auto" w:fill="auto"/>
            <w:vAlign w:val="center"/>
          </w:tcPr>
          <w:p w14:paraId="3B021A57"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71" w:type="pct"/>
            <w:shd w:val="clear" w:color="auto" w:fill="auto"/>
            <w:textDirection w:val="btLr"/>
            <w:vAlign w:val="center"/>
          </w:tcPr>
          <w:p w14:paraId="5AB93E24" w14:textId="77777777" w:rsidR="00CB4992" w:rsidRPr="003A6407" w:rsidRDefault="00CB4992" w:rsidP="00F054E5">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Wartość bazowa lub wartość odniesienia</w:t>
            </w:r>
          </w:p>
        </w:tc>
        <w:tc>
          <w:tcPr>
            <w:tcW w:w="414" w:type="pct"/>
            <w:textDirection w:val="btLr"/>
            <w:vAlign w:val="center"/>
          </w:tcPr>
          <w:p w14:paraId="0F91D04F" w14:textId="77777777" w:rsidR="00CB4992" w:rsidRPr="003A6407" w:rsidRDefault="00CB4992" w:rsidP="00F054E5">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Rok referencyjny</w:t>
            </w:r>
          </w:p>
        </w:tc>
        <w:tc>
          <w:tcPr>
            <w:tcW w:w="414" w:type="pct"/>
            <w:vAlign w:val="center"/>
          </w:tcPr>
          <w:p w14:paraId="67F12962"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29CD87C5"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p>
        </w:tc>
        <w:tc>
          <w:tcPr>
            <w:tcW w:w="412" w:type="pct"/>
            <w:shd w:val="clear" w:color="auto" w:fill="auto"/>
            <w:vAlign w:val="center"/>
          </w:tcPr>
          <w:p w14:paraId="4CDE4B03"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Źródło danych</w:t>
            </w:r>
          </w:p>
        </w:tc>
        <w:tc>
          <w:tcPr>
            <w:tcW w:w="411" w:type="pct"/>
            <w:vAlign w:val="center"/>
          </w:tcPr>
          <w:p w14:paraId="06F07FA5" w14:textId="77777777" w:rsidR="00CB4992" w:rsidRPr="003A6407" w:rsidRDefault="00CB4992" w:rsidP="00F054E5">
            <w:pPr>
              <w:shd w:val="clear" w:color="auto" w:fill="FFFFFF"/>
              <w:spacing w:before="120" w:after="120" w:line="240" w:lineRule="auto"/>
              <w:jc w:val="center"/>
              <w:rPr>
                <w:rFonts w:eastAsia="Calibri" w:cs="Times New Roman"/>
                <w:b/>
                <w:noProof/>
                <w:sz w:val="16"/>
                <w:szCs w:val="16"/>
              </w:rPr>
            </w:pPr>
          </w:p>
        </w:tc>
      </w:tr>
      <w:tr w:rsidR="00CB4992" w:rsidRPr="003A6407" w14:paraId="0E8E52C4" w14:textId="77777777" w:rsidTr="00F054E5">
        <w:trPr>
          <w:trHeight w:val="340"/>
        </w:trPr>
        <w:tc>
          <w:tcPr>
            <w:tcW w:w="342" w:type="pct"/>
            <w:shd w:val="clear" w:color="auto" w:fill="auto"/>
            <w:vAlign w:val="center"/>
          </w:tcPr>
          <w:p w14:paraId="47774AAC" w14:textId="77777777" w:rsidR="00CB4992" w:rsidRDefault="00CB4992" w:rsidP="00F054E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5</w:t>
            </w:r>
          </w:p>
          <w:p w14:paraId="467885FF" w14:textId="77777777" w:rsidR="00CB4992" w:rsidRPr="003A6407" w:rsidRDefault="00CB4992" w:rsidP="00F054E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5.1</w:t>
            </w:r>
          </w:p>
        </w:tc>
        <w:tc>
          <w:tcPr>
            <w:tcW w:w="373" w:type="pct"/>
            <w:shd w:val="clear" w:color="auto" w:fill="auto"/>
            <w:vAlign w:val="center"/>
          </w:tcPr>
          <w:p w14:paraId="18B9557D" w14:textId="77777777" w:rsidR="00CB4992" w:rsidRPr="003A6407" w:rsidRDefault="00CB4992" w:rsidP="00F054E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EFRR</w:t>
            </w:r>
          </w:p>
        </w:tc>
        <w:tc>
          <w:tcPr>
            <w:tcW w:w="419" w:type="pct"/>
            <w:shd w:val="clear" w:color="auto" w:fill="auto"/>
            <w:vAlign w:val="center"/>
          </w:tcPr>
          <w:p w14:paraId="19116BB0" w14:textId="77777777" w:rsidR="00CB4992" w:rsidRPr="003A6407" w:rsidRDefault="00CB4992" w:rsidP="00F054E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318" w:type="pct"/>
            <w:shd w:val="clear" w:color="auto" w:fill="auto"/>
            <w:vAlign w:val="center"/>
          </w:tcPr>
          <w:p w14:paraId="4C5CF928" w14:textId="50C30B50" w:rsidR="00CB4992" w:rsidRPr="003A6407" w:rsidRDefault="00CB4992" w:rsidP="00F054E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RCR77</w:t>
            </w:r>
          </w:p>
        </w:tc>
        <w:tc>
          <w:tcPr>
            <w:tcW w:w="1014" w:type="pct"/>
            <w:shd w:val="clear" w:color="auto" w:fill="auto"/>
            <w:vAlign w:val="center"/>
          </w:tcPr>
          <w:p w14:paraId="25CF528B" w14:textId="21FD51AE" w:rsidR="00CB4992" w:rsidRPr="003A6407" w:rsidRDefault="00CB4992" w:rsidP="00F054E5">
            <w:pPr>
              <w:keepNext/>
              <w:keepLines/>
              <w:spacing w:before="200" w:after="0"/>
              <w:jc w:val="center"/>
              <w:outlineLvl w:val="2"/>
              <w:rPr>
                <w:rFonts w:eastAsia="Calibri" w:cs="Times New Roman"/>
                <w:noProof/>
                <w:sz w:val="16"/>
                <w:szCs w:val="16"/>
              </w:rPr>
            </w:pPr>
            <w:bookmarkStart w:id="229" w:name="_Toc120464450"/>
            <w:r w:rsidRPr="00CB4992">
              <w:rPr>
                <w:rFonts w:eastAsia="Times New Roman" w:cs="Calibri"/>
                <w:bCs/>
                <w:noProof/>
                <w:sz w:val="16"/>
                <w:szCs w:val="16"/>
              </w:rPr>
              <w:t>Liczba osób odwiedzających obiekty kulturalne i turystyczne objęte wsparciem</w:t>
            </w:r>
            <w:bookmarkEnd w:id="229"/>
          </w:p>
        </w:tc>
        <w:tc>
          <w:tcPr>
            <w:tcW w:w="413" w:type="pct"/>
            <w:shd w:val="clear" w:color="auto" w:fill="auto"/>
            <w:vAlign w:val="center"/>
          </w:tcPr>
          <w:p w14:paraId="1D9E5E43" w14:textId="34A33C08" w:rsidR="00CB4992" w:rsidRPr="003A6407" w:rsidRDefault="00216562" w:rsidP="00F054E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O</w:t>
            </w:r>
            <w:r w:rsidR="00CB4992" w:rsidRPr="003A6407">
              <w:rPr>
                <w:rFonts w:eastAsia="Calibri" w:cs="Times New Roman"/>
                <w:noProof/>
                <w:sz w:val="16"/>
                <w:szCs w:val="16"/>
              </w:rPr>
              <w:t>soby</w:t>
            </w:r>
            <w:r>
              <w:rPr>
                <w:rFonts w:eastAsia="Calibri" w:cs="Times New Roman"/>
                <w:noProof/>
                <w:sz w:val="16"/>
                <w:szCs w:val="16"/>
              </w:rPr>
              <w:t xml:space="preserve"> odwiedzające / rok</w:t>
            </w:r>
          </w:p>
        </w:tc>
        <w:tc>
          <w:tcPr>
            <w:tcW w:w="471" w:type="pct"/>
            <w:shd w:val="clear" w:color="auto" w:fill="auto"/>
            <w:vAlign w:val="center"/>
          </w:tcPr>
          <w:p w14:paraId="5F92F9EB" w14:textId="77777777" w:rsidR="00CB4992" w:rsidRPr="003A6407" w:rsidRDefault="00CB4992" w:rsidP="00F054E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w:t>
            </w:r>
          </w:p>
        </w:tc>
        <w:tc>
          <w:tcPr>
            <w:tcW w:w="414" w:type="pct"/>
            <w:vAlign w:val="center"/>
          </w:tcPr>
          <w:p w14:paraId="248A9473" w14:textId="77777777" w:rsidR="00CB4992" w:rsidRPr="003A6407" w:rsidRDefault="00CB4992" w:rsidP="00F054E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2022</w:t>
            </w:r>
          </w:p>
        </w:tc>
        <w:tc>
          <w:tcPr>
            <w:tcW w:w="414" w:type="pct"/>
            <w:vAlign w:val="center"/>
          </w:tcPr>
          <w:p w14:paraId="736DBEB7" w14:textId="60445D14" w:rsidR="00CB4992" w:rsidRPr="003A6407" w:rsidRDefault="00CB4992" w:rsidP="00F054E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700</w:t>
            </w:r>
          </w:p>
        </w:tc>
        <w:tc>
          <w:tcPr>
            <w:tcW w:w="412" w:type="pct"/>
            <w:shd w:val="clear" w:color="auto" w:fill="auto"/>
            <w:vAlign w:val="center"/>
          </w:tcPr>
          <w:p w14:paraId="543A627F" w14:textId="61C22336" w:rsidR="00CB4992" w:rsidRPr="003A6407" w:rsidRDefault="00CB4992" w:rsidP="00F054E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SL</w:t>
            </w:r>
          </w:p>
        </w:tc>
        <w:tc>
          <w:tcPr>
            <w:tcW w:w="411" w:type="pct"/>
            <w:vAlign w:val="center"/>
          </w:tcPr>
          <w:p w14:paraId="5EE19141" w14:textId="77777777" w:rsidR="00CB4992" w:rsidRPr="003A6407" w:rsidRDefault="00CB4992" w:rsidP="00F054E5">
            <w:pPr>
              <w:shd w:val="clear" w:color="auto" w:fill="FFFFFF"/>
              <w:spacing w:before="120" w:after="120" w:line="240" w:lineRule="auto"/>
              <w:jc w:val="center"/>
              <w:rPr>
                <w:rFonts w:eastAsia="Calibri" w:cs="Times New Roman"/>
                <w:noProof/>
                <w:sz w:val="16"/>
                <w:szCs w:val="16"/>
              </w:rPr>
            </w:pPr>
          </w:p>
        </w:tc>
      </w:tr>
      <w:tr w:rsidR="00CB4992" w:rsidRPr="003A6407" w14:paraId="416D9B3C" w14:textId="77777777" w:rsidTr="00F054E5">
        <w:trPr>
          <w:trHeight w:val="340"/>
        </w:trPr>
        <w:tc>
          <w:tcPr>
            <w:tcW w:w="5000" w:type="pct"/>
            <w:gridSpan w:val="11"/>
          </w:tcPr>
          <w:p w14:paraId="0509EF1D" w14:textId="77777777" w:rsidR="00CB4992" w:rsidRPr="003A6407" w:rsidRDefault="00CB4992" w:rsidP="00F054E5">
            <w:pPr>
              <w:shd w:val="clear" w:color="auto" w:fill="FFFFFF"/>
              <w:spacing w:before="60" w:after="60" w:line="240" w:lineRule="auto"/>
              <w:jc w:val="both"/>
              <w:rPr>
                <w:rFonts w:eastAsia="Calibri"/>
              </w:rPr>
            </w:pPr>
            <w:r w:rsidRPr="003A6407">
              <w:rPr>
                <w:rFonts w:eastAsia="Calibri"/>
              </w:rPr>
              <w:t>Metodologia:</w:t>
            </w:r>
          </w:p>
          <w:p w14:paraId="73508C64" w14:textId="77777777" w:rsidR="00CB4992" w:rsidRDefault="00CB4992" w:rsidP="00F054E5">
            <w:pPr>
              <w:rPr>
                <w:rFonts w:eastAsia="Calibri"/>
              </w:rPr>
            </w:pPr>
            <w:r>
              <w:rPr>
                <w:rFonts w:eastAsia="Calibri"/>
              </w:rPr>
              <w:t>W</w:t>
            </w:r>
            <w:r w:rsidRPr="00CB4992">
              <w:rPr>
                <w:rFonts w:eastAsia="Calibri"/>
              </w:rPr>
              <w:t>artość wskaźnika zostanie uzupełniona po zatwierdzeniu strategii</w:t>
            </w:r>
            <w:r>
              <w:rPr>
                <w:rFonts w:eastAsia="Calibri"/>
              </w:rPr>
              <w:t xml:space="preserve"> ZIT/IIT</w:t>
            </w:r>
            <w:r w:rsidRPr="00CB4992">
              <w:rPr>
                <w:rFonts w:eastAsia="Calibri"/>
              </w:rPr>
              <w:t xml:space="preserve">. Obecna wartość opiera się jedynie na danych ZIT LGOF, który jako jedyny </w:t>
            </w:r>
            <w:r>
              <w:rPr>
                <w:rFonts w:eastAsia="Calibri"/>
              </w:rPr>
              <w:t>przekazał</w:t>
            </w:r>
            <w:r w:rsidRPr="00CB4992">
              <w:rPr>
                <w:rFonts w:eastAsia="Calibri"/>
              </w:rPr>
              <w:t xml:space="preserve"> niezbędne informacje w celu programowania </w:t>
            </w:r>
            <w:r w:rsidRPr="00CB4992">
              <w:rPr>
                <w:rFonts w:eastAsia="Calibri"/>
              </w:rPr>
              <w:lastRenderedPageBreak/>
              <w:t>wsparcia</w:t>
            </w:r>
            <w:r>
              <w:rPr>
                <w:rFonts w:eastAsia="Calibri"/>
              </w:rPr>
              <w:t xml:space="preserve"> i bazuje na wartości docelowej wskaźnika produktu </w:t>
            </w:r>
            <w:r w:rsidRPr="00CB4992">
              <w:rPr>
                <w:rFonts w:eastAsia="Calibri"/>
              </w:rPr>
              <w:t>Liczba obiektów kulturalnych i turystycznych objętych wsparciem</w:t>
            </w:r>
            <w:r>
              <w:rPr>
                <w:rFonts w:eastAsia="Calibri"/>
              </w:rPr>
              <w:t xml:space="preserve"> przy założeniu 100 osób odwiedzających dany obiekt.</w:t>
            </w:r>
          </w:p>
          <w:p w14:paraId="04155514" w14:textId="4405035D" w:rsidR="00822F0F" w:rsidRPr="003A6407" w:rsidRDefault="00822F0F" w:rsidP="00F054E5">
            <w:pPr>
              <w:rPr>
                <w:rFonts w:eastAsia="Calibri"/>
              </w:rPr>
            </w:pPr>
            <w:r w:rsidRPr="00822F0F">
              <w:rPr>
                <w:rFonts w:eastAsia="Calibri"/>
              </w:rPr>
              <w:t>Ponadto wartość wskaźnika zostanie zrewidowana po zatwierdzeniu poszczególnych strategii ZIT/IIT.</w:t>
            </w:r>
          </w:p>
        </w:tc>
      </w:tr>
    </w:tbl>
    <w:p w14:paraId="619A86E1" w14:textId="00355CBB" w:rsidR="00BA4C5C" w:rsidRPr="003A6407" w:rsidRDefault="00BA4C5C" w:rsidP="00BA4C5C"/>
    <w:p w14:paraId="0E547B0A" w14:textId="3C23B1FD" w:rsidR="00BA4C5C" w:rsidRPr="003A6407" w:rsidRDefault="00D944BF" w:rsidP="00122123">
      <w:pPr>
        <w:pStyle w:val="Nagwek1"/>
        <w:rPr>
          <w:rFonts w:asciiTheme="minorHAnsi" w:hAnsiTheme="minorHAnsi" w:cstheme="minorHAnsi"/>
          <w:lang w:val="pl-PL"/>
        </w:rPr>
      </w:pPr>
      <w:bookmarkStart w:id="230" w:name="_Toc98188968"/>
      <w:bookmarkStart w:id="231" w:name="_Toc120464451"/>
      <w:r w:rsidRPr="003A6407">
        <w:rPr>
          <w:rFonts w:asciiTheme="minorHAnsi" w:hAnsiTheme="minorHAnsi" w:cstheme="minorHAnsi"/>
          <w:lang w:val="pl-PL"/>
        </w:rPr>
        <w:t>PRIORYTET 7: FUNDUSZE EUROPEJSKIE NA RZECZ RYNKU PRACY I WŁĄCZENIA SPOŁECZNEGO NA DOLNYM ŚLĄSKU</w:t>
      </w:r>
      <w:r w:rsidR="00BA4C5C" w:rsidRPr="003A6407">
        <w:rPr>
          <w:rFonts w:asciiTheme="minorHAnsi" w:hAnsiTheme="minorHAnsi" w:cstheme="minorHAnsi"/>
        </w:rPr>
        <w:t xml:space="preserve"> </w:t>
      </w:r>
      <w:r w:rsidR="00BA4C5C" w:rsidRPr="003A6407">
        <w:rPr>
          <w:rFonts w:asciiTheme="minorHAnsi" w:hAnsiTheme="minorHAnsi" w:cstheme="minorHAnsi"/>
          <w:lang w:val="pl-PL"/>
        </w:rPr>
        <w:t>(</w:t>
      </w:r>
      <w:r w:rsidR="00BA4C5C" w:rsidRPr="003A6407">
        <w:rPr>
          <w:rFonts w:asciiTheme="minorHAnsi" w:hAnsiTheme="minorHAnsi" w:cstheme="minorHAnsi"/>
        </w:rPr>
        <w:t>CP4</w:t>
      </w:r>
      <w:r w:rsidRPr="003A6407">
        <w:rPr>
          <w:rFonts w:asciiTheme="minorHAnsi" w:hAnsiTheme="minorHAnsi" w:cstheme="minorHAnsi"/>
          <w:lang w:val="pl-PL"/>
        </w:rPr>
        <w:t xml:space="preserve"> EFS+</w:t>
      </w:r>
      <w:r w:rsidR="00BA4C5C" w:rsidRPr="003A6407">
        <w:rPr>
          <w:rFonts w:asciiTheme="minorHAnsi" w:hAnsiTheme="minorHAnsi" w:cstheme="minorHAnsi"/>
          <w:lang w:val="pl-PL"/>
        </w:rPr>
        <w:t>)</w:t>
      </w:r>
      <w:bookmarkEnd w:id="230"/>
      <w:bookmarkEnd w:id="231"/>
    </w:p>
    <w:p w14:paraId="5A00DB10" w14:textId="24A8D666" w:rsidR="00BA4C5C" w:rsidRPr="003A6407" w:rsidRDefault="00BA4C5C" w:rsidP="00B10034">
      <w:pPr>
        <w:pStyle w:val="Nagwek2"/>
        <w:spacing w:after="200"/>
        <w:rPr>
          <w:rFonts w:asciiTheme="minorHAnsi" w:hAnsiTheme="minorHAnsi" w:cstheme="minorHAnsi"/>
        </w:rPr>
      </w:pPr>
      <w:bookmarkStart w:id="232" w:name="_Toc98188969"/>
      <w:bookmarkStart w:id="233" w:name="_Toc120464452"/>
      <w:r w:rsidRPr="003A6407">
        <w:rPr>
          <w:rFonts w:asciiTheme="minorHAnsi" w:hAnsiTheme="minorHAnsi" w:cstheme="minorHAnsi"/>
        </w:rPr>
        <w:t xml:space="preserve">CEL SZCZEGÓŁOWY: </w:t>
      </w:r>
      <w:r w:rsidR="001C6669" w:rsidRPr="001C6669">
        <w:rPr>
          <w:rFonts w:asciiTheme="minorHAnsi" w:hAnsiTheme="minorHAnsi" w:cstheme="minorHAnsi"/>
        </w:rP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232"/>
      <w:bookmarkEnd w:id="233"/>
    </w:p>
    <w:p w14:paraId="6DE0E9FF" w14:textId="77777777" w:rsidR="00BA4C5C" w:rsidRPr="003A6407" w:rsidRDefault="00BA4C5C" w:rsidP="00B10034">
      <w:pPr>
        <w:pStyle w:val="Nagwek2"/>
        <w:spacing w:after="200"/>
        <w:rPr>
          <w:rFonts w:asciiTheme="minorHAnsi" w:hAnsiTheme="minorHAnsi" w:cstheme="minorHAnsi"/>
        </w:rPr>
      </w:pPr>
      <w:bookmarkStart w:id="234" w:name="_Toc98188970"/>
      <w:bookmarkStart w:id="235" w:name="_Toc120464453"/>
      <w:r w:rsidRPr="003A6407">
        <w:rPr>
          <w:rFonts w:asciiTheme="minorHAnsi" w:hAnsiTheme="minorHAnsi" w:cstheme="minorHAnsi"/>
        </w:rPr>
        <w:t>Wskaźniki produktu</w:t>
      </w:r>
      <w:bookmarkEnd w:id="234"/>
      <w:bookmarkEnd w:id="235"/>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53084DF" w14:textId="77777777" w:rsidTr="00270B09">
        <w:trPr>
          <w:cantSplit/>
          <w:trHeight w:val="1647"/>
        </w:trPr>
        <w:tc>
          <w:tcPr>
            <w:tcW w:w="451" w:type="pct"/>
            <w:shd w:val="clear" w:color="auto" w:fill="auto"/>
            <w:vAlign w:val="center"/>
          </w:tcPr>
          <w:p w14:paraId="687DDF2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FE6132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7879F6B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79FBB19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47D99EBD"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02AB964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0BAFC3B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70F3C1E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5262D93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3534960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3D6BA1F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3C124218" w14:textId="77777777" w:rsidTr="00270B09">
        <w:trPr>
          <w:trHeight w:val="340"/>
        </w:trPr>
        <w:tc>
          <w:tcPr>
            <w:tcW w:w="451" w:type="pct"/>
            <w:shd w:val="clear" w:color="auto" w:fill="auto"/>
            <w:vAlign w:val="center"/>
          </w:tcPr>
          <w:p w14:paraId="4CB466F9"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(a)</w:t>
            </w:r>
          </w:p>
          <w:p w14:paraId="1166558D" w14:textId="7B84F22A"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w:t>
            </w:r>
          </w:p>
        </w:tc>
        <w:tc>
          <w:tcPr>
            <w:tcW w:w="494" w:type="pct"/>
            <w:shd w:val="clear" w:color="auto" w:fill="auto"/>
            <w:vAlign w:val="center"/>
          </w:tcPr>
          <w:p w14:paraId="1DECC35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1F0E8E2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C70A58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EECO 02</w:t>
            </w:r>
          </w:p>
        </w:tc>
        <w:tc>
          <w:tcPr>
            <w:tcW w:w="1411" w:type="pct"/>
            <w:shd w:val="clear" w:color="auto" w:fill="auto"/>
            <w:vAlign w:val="center"/>
          </w:tcPr>
          <w:p w14:paraId="588AA500" w14:textId="689D527A" w:rsidR="00BA4C5C" w:rsidRPr="003A6407" w:rsidRDefault="007227CB" w:rsidP="00270B09">
            <w:pPr>
              <w:keepNext/>
              <w:keepLines/>
              <w:spacing w:before="200" w:after="0"/>
              <w:jc w:val="center"/>
              <w:outlineLvl w:val="2"/>
              <w:rPr>
                <w:rFonts w:asciiTheme="minorHAnsi" w:eastAsia="Calibri" w:hAnsiTheme="minorHAnsi" w:cstheme="minorHAnsi"/>
                <w:noProof/>
                <w:sz w:val="16"/>
                <w:szCs w:val="16"/>
              </w:rPr>
            </w:pPr>
            <w:bookmarkStart w:id="236" w:name="_Toc98188971"/>
            <w:bookmarkStart w:id="237" w:name="_Toc120464454"/>
            <w:r w:rsidRPr="007227CB">
              <w:rPr>
                <w:rFonts w:asciiTheme="minorHAnsi" w:eastAsia="Times New Roman" w:hAnsiTheme="minorHAnsi" w:cstheme="minorHAnsi"/>
                <w:bCs/>
                <w:noProof/>
                <w:sz w:val="16"/>
                <w:szCs w:val="16"/>
              </w:rPr>
              <w:t>Bezrobotni, w tym długotrwale bezrobotni</w:t>
            </w:r>
            <w:bookmarkEnd w:id="236"/>
            <w:bookmarkEnd w:id="237"/>
          </w:p>
        </w:tc>
        <w:tc>
          <w:tcPr>
            <w:tcW w:w="549" w:type="pct"/>
            <w:shd w:val="clear" w:color="auto" w:fill="auto"/>
            <w:vAlign w:val="center"/>
          </w:tcPr>
          <w:p w14:paraId="59E8C7F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524D30B1" w14:textId="7C35C372" w:rsidR="00BA4C5C" w:rsidRPr="003A6407" w:rsidRDefault="001B0178"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2 599</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7651D2D6" w14:textId="3597D5B0" w:rsidR="00BA4C5C" w:rsidRPr="003A6407" w:rsidRDefault="00547A22"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17 32</w:t>
            </w:r>
            <w:r w:rsidR="001B0178">
              <w:rPr>
                <w:rFonts w:asciiTheme="minorHAnsi" w:eastAsia="Calibri" w:hAnsiTheme="minorHAnsi" w:cstheme="minorHAnsi"/>
                <w:noProof/>
                <w:sz w:val="16"/>
                <w:szCs w:val="16"/>
              </w:rPr>
              <w:t>5</w:t>
            </w:r>
            <w:r w:rsidR="00BA4C5C" w:rsidRPr="003A6407">
              <w:rPr>
                <w:rFonts w:asciiTheme="minorHAnsi" w:eastAsia="Calibri" w:hAnsiTheme="minorHAnsi" w:cstheme="minorHAnsi"/>
                <w:noProof/>
                <w:sz w:val="16"/>
                <w:szCs w:val="16"/>
              </w:rPr>
              <w:t>,00</w:t>
            </w:r>
          </w:p>
        </w:tc>
      </w:tr>
      <w:tr w:rsidR="00BA4C5C" w:rsidRPr="003A6407" w14:paraId="3A1052DB" w14:textId="77777777" w:rsidTr="00270B09">
        <w:trPr>
          <w:trHeight w:val="340"/>
        </w:trPr>
        <w:tc>
          <w:tcPr>
            <w:tcW w:w="5000" w:type="pct"/>
            <w:gridSpan w:val="8"/>
            <w:shd w:val="clear" w:color="auto" w:fill="auto"/>
          </w:tcPr>
          <w:p w14:paraId="237E715B"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44CF7358"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6588D527" w14:textId="73F855DE" w:rsidR="00BA4C5C" w:rsidRPr="003A6407" w:rsidRDefault="00BA4C5C" w:rsidP="00F20BCD">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134 Działania na rzecz poprawy dostępu do zatrudnienia (4</w:t>
            </w:r>
            <w:r w:rsidR="004D463F">
              <w:rPr>
                <w:rFonts w:asciiTheme="minorHAnsi" w:eastAsia="Calibri" w:hAnsiTheme="minorHAnsi" w:cstheme="minorHAnsi"/>
              </w:rPr>
              <w:t>8 285 108</w:t>
            </w:r>
            <w:r w:rsidRPr="003A6407">
              <w:rPr>
                <w:rFonts w:asciiTheme="minorHAnsi" w:eastAsia="Calibri" w:hAnsiTheme="minorHAnsi" w:cstheme="minorHAnsi"/>
              </w:rPr>
              <w:t xml:space="preserve"> EUR/</w:t>
            </w:r>
            <w:r w:rsidRPr="003A6407">
              <w:rPr>
                <w:rFonts w:asciiTheme="minorHAnsi" w:hAnsiTheme="minorHAnsi" w:cstheme="minorHAnsi"/>
              </w:rPr>
              <w:t xml:space="preserve"> </w:t>
            </w:r>
            <w:r w:rsidR="004D463F">
              <w:rPr>
                <w:rFonts w:asciiTheme="minorHAnsi" w:hAnsiTheme="minorHAnsi" w:cstheme="minorHAnsi"/>
              </w:rPr>
              <w:t>214 868 730,6</w:t>
            </w:r>
            <w:r w:rsidRPr="003A6407">
              <w:rPr>
                <w:rFonts w:asciiTheme="minorHAnsi" w:eastAsia="Calibri" w:hAnsiTheme="minorHAnsi" w:cstheme="minorHAnsi"/>
              </w:rPr>
              <w:t>PLN);</w:t>
            </w:r>
          </w:p>
          <w:p w14:paraId="4D661F5F" w14:textId="77777777" w:rsidR="00BA4C5C" w:rsidRPr="003A6407" w:rsidRDefault="00BA4C5C" w:rsidP="00F20BCD">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136 Wsparcie szczególne na rzecz zatrudnienia ludzi młodych i integracji społeczno-gospodarczej ludzi młodych (26 500 000 EUR/</w:t>
            </w:r>
            <w:r w:rsidRPr="003A6407">
              <w:rPr>
                <w:rFonts w:asciiTheme="minorHAnsi" w:hAnsiTheme="minorHAnsi" w:cstheme="minorHAnsi"/>
              </w:rPr>
              <w:t xml:space="preserve"> </w:t>
            </w:r>
            <w:r w:rsidRPr="003A6407">
              <w:rPr>
                <w:rFonts w:asciiTheme="minorHAnsi" w:eastAsia="Calibri" w:hAnsiTheme="minorHAnsi" w:cstheme="minorHAnsi"/>
              </w:rPr>
              <w:t>117 925 000  PLN);</w:t>
            </w:r>
          </w:p>
          <w:p w14:paraId="147466EA" w14:textId="77777777" w:rsidR="004D463F" w:rsidRDefault="00BA4C5C" w:rsidP="00FE3720">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4D463F">
              <w:rPr>
                <w:rFonts w:asciiTheme="minorHAnsi" w:eastAsia="Calibri" w:hAnsiTheme="minorHAnsi" w:cstheme="minorHAnsi"/>
              </w:rPr>
              <w:t>137 Wsparcie na rzecz samozatrudnienia i zakładania działalności gospodarczej typu start-</w:t>
            </w:r>
            <w:proofErr w:type="spellStart"/>
            <w:r w:rsidRPr="004D463F">
              <w:rPr>
                <w:rFonts w:asciiTheme="minorHAnsi" w:eastAsia="Calibri" w:hAnsiTheme="minorHAnsi" w:cstheme="minorHAnsi"/>
              </w:rPr>
              <w:t>up</w:t>
            </w:r>
            <w:proofErr w:type="spellEnd"/>
            <w:r w:rsidRPr="004D463F">
              <w:rPr>
                <w:rFonts w:asciiTheme="minorHAnsi" w:eastAsia="Calibri" w:hAnsiTheme="minorHAnsi" w:cstheme="minorHAnsi"/>
              </w:rPr>
              <w:t xml:space="preserve"> </w:t>
            </w:r>
            <w:r w:rsidRPr="004D463F">
              <w:rPr>
                <w:rFonts w:asciiTheme="minorHAnsi" w:eastAsia="Calibri" w:hAnsiTheme="minorHAnsi" w:cstheme="minorHAnsi"/>
              </w:rPr>
              <w:br/>
              <w:t>(3</w:t>
            </w:r>
            <w:r w:rsidR="004D463F" w:rsidRPr="004D463F">
              <w:rPr>
                <w:rFonts w:asciiTheme="minorHAnsi" w:eastAsia="Calibri" w:hAnsiTheme="minorHAnsi" w:cstheme="minorHAnsi"/>
              </w:rPr>
              <w:t>3 375 258</w:t>
            </w:r>
            <w:r w:rsidRPr="004D463F">
              <w:rPr>
                <w:rFonts w:asciiTheme="minorHAnsi" w:eastAsia="Calibri" w:hAnsiTheme="minorHAnsi" w:cstheme="minorHAnsi"/>
              </w:rPr>
              <w:t xml:space="preserve"> EUR/</w:t>
            </w:r>
            <w:r w:rsidR="004D463F" w:rsidRPr="004D463F">
              <w:rPr>
                <w:rFonts w:asciiTheme="minorHAnsi" w:eastAsia="Calibri" w:hAnsiTheme="minorHAnsi" w:cstheme="minorHAnsi"/>
              </w:rPr>
              <w:t>148 519 898,1</w:t>
            </w:r>
            <w:r w:rsidRPr="004D463F">
              <w:rPr>
                <w:rFonts w:asciiTheme="minorHAnsi" w:eastAsia="Calibri" w:hAnsiTheme="minorHAnsi" w:cstheme="minorHAnsi"/>
              </w:rPr>
              <w:t xml:space="preserve"> PLN).</w:t>
            </w:r>
          </w:p>
          <w:p w14:paraId="5C00682B" w14:textId="77777777" w:rsidR="004D463F" w:rsidRPr="004D463F" w:rsidRDefault="004D463F" w:rsidP="004D463F">
            <w:pPr>
              <w:pStyle w:val="Akapitzlist"/>
              <w:numPr>
                <w:ilvl w:val="0"/>
                <w:numId w:val="12"/>
              </w:numPr>
              <w:rPr>
                <w:rFonts w:asciiTheme="minorHAnsi" w:eastAsia="Calibri" w:hAnsiTheme="minorHAnsi" w:cstheme="minorHAnsi"/>
              </w:rPr>
            </w:pPr>
            <w:r w:rsidRPr="004D463F">
              <w:rPr>
                <w:rFonts w:asciiTheme="minorHAnsi" w:eastAsia="Calibri" w:hAnsiTheme="minorHAnsi" w:cstheme="minorHAnsi"/>
              </w:rPr>
              <w:t>142 Działania na rzecz promowania aktywności zawodowej kobiet oraz zmniejszenia segregacji na rynku pracy ze względu na płeć (3 000 000 EUR/ 13 350 000)</w:t>
            </w:r>
          </w:p>
          <w:p w14:paraId="42E23367" w14:textId="4E4DA9B5" w:rsidR="00BA4C5C" w:rsidRPr="004D463F" w:rsidRDefault="00BA4C5C" w:rsidP="004D463F">
            <w:pPr>
              <w:shd w:val="clear" w:color="auto" w:fill="FFFFFF"/>
              <w:spacing w:before="60" w:after="60" w:line="240" w:lineRule="auto"/>
              <w:contextualSpacing/>
              <w:jc w:val="both"/>
              <w:rPr>
                <w:rFonts w:asciiTheme="minorHAnsi" w:eastAsia="Calibri" w:hAnsiTheme="minorHAnsi" w:cstheme="minorHAnsi"/>
              </w:rPr>
            </w:pPr>
            <w:r w:rsidRPr="004D463F">
              <w:rPr>
                <w:rFonts w:asciiTheme="minorHAnsi" w:eastAsia="Calibri" w:hAnsiTheme="minorHAnsi" w:cstheme="minorHAnsi"/>
              </w:rPr>
              <w:t>Biorąc pod uwagę kurs EUR na poziomie 4,45 suma alokacji na realizację wskaźnika wynosi 494 663 628,70 PLN, z czego 407 549 663,30 PLN (91 584 194 EUR) na projekty PUP oraz 87 113 965,40 PLN (19 576 172,00 EUR) na pozostałe projekty.</w:t>
            </w:r>
          </w:p>
          <w:p w14:paraId="7ADADC18" w14:textId="7A8EE96C"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(realizacja działań aktywizacji zawodowej) wynosi 19 507,89 PLN. Koszt jednostkowy został skorygowany w oparciu o wartość inflacji na poziomie 15% i wynosi 22 434,07 PLN, a obniżony do wartości dofinansowania na poziomie 70% wynosi 15 703,85 PLN. Na podstawie tych danych wyliczono wartość wskaźnika. </w:t>
            </w:r>
          </w:p>
          <w:p w14:paraId="393A7137"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1216256C" w14:textId="77777777" w:rsidR="00BA4C5C" w:rsidRPr="003A6407" w:rsidRDefault="00BA4C5C" w:rsidP="00136DAF">
            <w:pPr>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[(1*3)+(7*25)+(8*68)]/16 = 45,13%. Wartość zaokrąglono do pełnej wartości 45%. </w:t>
            </w:r>
          </w:p>
          <w:p w14:paraId="76A65CEC"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p>
          <w:p w14:paraId="6747CEE1"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Wyliczenie:</w:t>
            </w:r>
          </w:p>
          <w:p w14:paraId="48D88566" w14:textId="5D5039FB" w:rsidR="00BA4C5C" w:rsidRPr="003A6407" w:rsidRDefault="002A39EE" w:rsidP="00136DAF">
            <w:pPr>
              <w:shd w:val="clear" w:color="auto" w:fill="FFFFFF"/>
              <w:spacing w:before="60" w:after="60" w:line="240" w:lineRule="auto"/>
              <w:jc w:val="both"/>
              <w:rPr>
                <w:rFonts w:asciiTheme="minorHAnsi" w:eastAsia="Calibri" w:hAnsiTheme="minorHAnsi" w:cstheme="minorHAnsi"/>
              </w:rPr>
            </w:pPr>
            <w:r>
              <w:rPr>
                <w:rFonts w:asciiTheme="minorHAnsi" w:eastAsia="Calibri" w:hAnsiTheme="minorHAnsi" w:cstheme="minorHAnsi"/>
              </w:rPr>
              <w:t>494 663 628,70</w:t>
            </w:r>
            <w:r w:rsidR="00BA4C5C" w:rsidRPr="003A6407">
              <w:rPr>
                <w:rFonts w:asciiTheme="minorHAnsi" w:eastAsia="Calibri" w:hAnsiTheme="minorHAnsi" w:cstheme="minorHAnsi"/>
              </w:rPr>
              <w:t xml:space="preserve"> / 15 703,85 * (1-0,45) = </w:t>
            </w:r>
            <w:r w:rsidR="00547A22">
              <w:rPr>
                <w:rFonts w:asciiTheme="minorHAnsi" w:eastAsia="Calibri" w:hAnsiTheme="minorHAnsi" w:cstheme="minorHAnsi"/>
              </w:rPr>
              <w:t>17 325</w:t>
            </w:r>
            <w:r w:rsidR="00BA4C5C" w:rsidRPr="003A6407">
              <w:rPr>
                <w:rFonts w:asciiTheme="minorHAnsi" w:eastAsia="Calibri" w:hAnsiTheme="minorHAnsi" w:cstheme="minorHAnsi"/>
              </w:rPr>
              <w:t xml:space="preserve"> osób.</w:t>
            </w:r>
          </w:p>
          <w:p w14:paraId="42F39231"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p>
          <w:p w14:paraId="153C3F6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43588DC9" w14:textId="77777777" w:rsidR="00BA4C5C" w:rsidRPr="003A6407" w:rsidRDefault="00BA4C5C">
            <w:pPr>
              <w:numPr>
                <w:ilvl w:val="0"/>
                <w:numId w:val="34"/>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3744232C" w14:textId="77777777" w:rsidR="00BA4C5C" w:rsidRPr="003A6407" w:rsidRDefault="00BA4C5C">
            <w:pPr>
              <w:numPr>
                <w:ilvl w:val="0"/>
                <w:numId w:val="34"/>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4C062FF1" w14:textId="77777777" w:rsidR="00BA4C5C" w:rsidRPr="003A6407" w:rsidRDefault="00BA4C5C">
            <w:pPr>
              <w:numPr>
                <w:ilvl w:val="0"/>
                <w:numId w:val="34"/>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246A0C0A" w14:textId="77777777" w:rsidR="00BA4C5C" w:rsidRPr="003A6407" w:rsidRDefault="00BA4C5C">
            <w:pPr>
              <w:numPr>
                <w:ilvl w:val="0"/>
                <w:numId w:val="34"/>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135CAD28" w14:textId="77777777" w:rsidR="00BA4C5C" w:rsidRPr="003A6407" w:rsidRDefault="00BA4C5C">
            <w:pPr>
              <w:numPr>
                <w:ilvl w:val="0"/>
                <w:numId w:val="34"/>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656BA2FB" w14:textId="77777777" w:rsidR="00BA4C5C" w:rsidRPr="003A6407" w:rsidRDefault="00BA4C5C">
            <w:pPr>
              <w:numPr>
                <w:ilvl w:val="0"/>
                <w:numId w:val="34"/>
              </w:numPr>
              <w:shd w:val="clear" w:color="auto" w:fill="FFFFFF"/>
              <w:spacing w:before="60" w:after="60" w:line="240" w:lineRule="auto"/>
              <w:ind w:left="714" w:hanging="357"/>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D587403" w14:textId="77777777" w:rsidR="00BA4C5C" w:rsidRPr="003A6407" w:rsidRDefault="00BA4C5C" w:rsidP="00270B09">
            <w:pPr>
              <w:shd w:val="clear" w:color="auto" w:fill="FFFFFF"/>
              <w:spacing w:before="60" w:after="60" w:line="240" w:lineRule="auto"/>
              <w:ind w:left="714"/>
              <w:contextualSpacing/>
              <w:jc w:val="both"/>
              <w:rPr>
                <w:rFonts w:asciiTheme="minorHAnsi" w:eastAsia="Calibri" w:hAnsiTheme="minorHAnsi" w:cstheme="minorHAnsi"/>
                <w:bCs/>
                <w:color w:val="000000"/>
              </w:rPr>
            </w:pPr>
          </w:p>
          <w:p w14:paraId="7567887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1FEAC39A"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0C5EAF5C"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277A09AE"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0FD226F7"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EFS(istotność: poważna)</w:t>
            </w:r>
          </w:p>
          <w:p w14:paraId="0C2D818A"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48CF3A43"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lastRenderedPageBreak/>
              <w:t xml:space="preserve">ryzyko związane z </w:t>
            </w:r>
            <w:r w:rsidRPr="003A6407">
              <w:rPr>
                <w:rFonts w:asciiTheme="minorHAnsi" w:eastAsia="Calibri" w:hAnsiTheme="minorHAnsi" w:cstheme="minorHAnsi"/>
                <w:b/>
                <w:color w:val="000000"/>
              </w:rPr>
              <w:t>nowelizacją ustawy o promocji zatrudnienia i instytucjach rynku pracy</w:t>
            </w:r>
            <w:r w:rsidRPr="003A6407">
              <w:rPr>
                <w:rFonts w:asciiTheme="minorHAnsi" w:eastAsia="Calibri" w:hAnsiTheme="minorHAnsi" w:cstheme="minorHAnsi"/>
                <w:color w:val="000000"/>
              </w:rPr>
              <w:t>, zgodnie z którą wsparcie dla osób bezrobotnych będzie realizowane; (istotność: poważna)</w:t>
            </w:r>
          </w:p>
          <w:p w14:paraId="50FAFFD8"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specyfika grupy docelowej</w:t>
            </w:r>
            <w:r w:rsidRPr="003A6407">
              <w:rPr>
                <w:rFonts w:asciiTheme="minorHAnsi" w:eastAsia="Calibri" w:hAnsiTheme="minorHAnsi" w:cstheme="minorHAnsi"/>
                <w:color w:val="000000"/>
              </w:rPr>
              <w:t>: cechy bezrobotnych wpływające na ich zatrudnialność (płeć, wiek, stan cywilny, liczba dzieci pozostających na utrzymaniu osoby bezrobotnej, wykształcenie, doświadczenie zawodowe, liczba osób w gospodarstwie domowym bezrobotnego, obowiązki opiekuńcze, stan zdrowia, skłonność bezrobotnego do podnoszenia, uzupełniania i uaktualniania kwalifikacji zawodowych, skłonność do zmiany zawodu, skłonność do zmiany miejsca zamieszkania, minimalne oczekiwania płacowe); (istotność: poważna)</w:t>
            </w:r>
          </w:p>
          <w:p w14:paraId="4835E3B3"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determinanty podejmowania pracy przez bezrobotnych</w:t>
            </w:r>
            <w:r w:rsidRPr="003A6407">
              <w:rPr>
                <w:rFonts w:asciiTheme="minorHAnsi" w:eastAsia="Calibri" w:hAnsiTheme="minorHAnsi" w:cstheme="minorHAnsi"/>
                <w:color w:val="000000"/>
              </w:rPr>
              <w:t>: cechy demograficzne i społeczno-zawodowe sprzyjające podejmowaniu pracy (istotność: poważna)</w:t>
            </w:r>
          </w:p>
          <w:p w14:paraId="566D28E3"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sz w:val="22"/>
                <w:szCs w:val="22"/>
              </w:rPr>
            </w:pPr>
            <w:r w:rsidRPr="003A6407">
              <w:rPr>
                <w:rFonts w:asciiTheme="minorHAnsi" w:eastAsia="Calibri" w:hAnsiTheme="minorHAnsi" w:cstheme="minorHAnsi"/>
                <w:b/>
                <w:color w:val="000000"/>
              </w:rPr>
              <w:t>niemierzalne czynniki utrudniające bezrobotnym znalezienie pracy</w:t>
            </w:r>
            <w:r w:rsidRPr="003A6407">
              <w:rPr>
                <w:rFonts w:asciiTheme="minorHAnsi" w:eastAsia="Calibri" w:hAnsiTheme="minorHAnsi" w:cstheme="minorHAnsi"/>
                <w:color w:val="000000"/>
              </w:rPr>
              <w:t xml:space="preserve"> jak niska motywacja do poszukiwania pracy, słaba prezencja i niska samoocena (Istotność: poważna)</w:t>
            </w:r>
          </w:p>
          <w:p w14:paraId="1211160A" w14:textId="77777777" w:rsidR="00BA4C5C" w:rsidRPr="003A6407" w:rsidRDefault="00BA4C5C" w:rsidP="00F20BCD">
            <w:pPr>
              <w:numPr>
                <w:ilvl w:val="0"/>
                <w:numId w:val="1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ryzyko nie kwalifikowalności stawki jednostkowej ze względu na niespełnienie wymogu podjęcia zatrudnienia lub rozpoczęcia działalności gospodarczej do czterech tygodni od zakończenia przez uczestnika udziału w projekcie</w:t>
            </w:r>
            <w:r w:rsidRPr="003A6407">
              <w:rPr>
                <w:rFonts w:asciiTheme="minorHAnsi" w:eastAsia="Calibri" w:hAnsiTheme="minorHAnsi" w:cstheme="minorHAnsi"/>
                <w:color w:val="000000"/>
              </w:rPr>
              <w:t>: wymogiem niezbędnym do refundacji kosztów jest zmiana statusu osoby na rynku pracy po opuszczeniu programu, w stosunku do sytuacji w momencie przystąpienia do interwencji EFS+. Może mieć to poważny wpływ na realizację wskaźników w projektach PUP (istotność: poważna).</w:t>
            </w:r>
          </w:p>
          <w:p w14:paraId="40711C7C" w14:textId="77777777" w:rsidR="00AC0413" w:rsidRPr="003A6407" w:rsidRDefault="00AC0413" w:rsidP="00AC0413">
            <w:pPr>
              <w:spacing w:after="0" w:line="240" w:lineRule="auto"/>
              <w:contextualSpacing/>
              <w:jc w:val="both"/>
              <w:rPr>
                <w:rFonts w:asciiTheme="minorHAnsi" w:eastAsia="Calibri" w:hAnsiTheme="minorHAnsi" w:cstheme="minorHAnsi"/>
                <w:color w:val="000000"/>
              </w:rPr>
            </w:pPr>
          </w:p>
          <w:p w14:paraId="426BCA40" w14:textId="77777777" w:rsidR="00AC0413" w:rsidRPr="003A6407" w:rsidRDefault="00AC0413" w:rsidP="00AC0413">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34C664A8" w14:textId="3FABAE9F" w:rsidR="00AC0413" w:rsidRPr="003A6407" w:rsidRDefault="00AD44B8" w:rsidP="002A39EE">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Przeanalizowano dane historyczne z wdrażania RPO WD 2014-2020 </w:t>
            </w:r>
            <w:r w:rsidR="002A39EE">
              <w:rPr>
                <w:rFonts w:asciiTheme="minorHAnsi" w:eastAsia="Calibri" w:hAnsiTheme="minorHAnsi" w:cstheme="minorHAnsi"/>
                <w:b/>
                <w:bCs/>
                <w:color w:val="000000"/>
              </w:rPr>
              <w:t>na podstawie danych sprawozdawczych ustalono wartość celu pośredniego na poziomie 15% wartości docelowej.</w:t>
            </w:r>
          </w:p>
        </w:tc>
      </w:tr>
    </w:tbl>
    <w:p w14:paraId="1F475C86" w14:textId="77777777" w:rsidR="00BA4C5C" w:rsidRPr="003A6407" w:rsidRDefault="00BA4C5C" w:rsidP="00136DAF">
      <w:pPr>
        <w:keepNext/>
        <w:keepLines/>
        <w:spacing w:before="120" w:after="120"/>
        <w:jc w:val="both"/>
        <w:outlineLvl w:val="2"/>
        <w:rPr>
          <w:rStyle w:val="Nagwek3Znak"/>
          <w:rFonts w:asciiTheme="minorHAnsi" w:hAnsiTheme="minorHAnsi" w:cstheme="minorHAns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0E6BDE48" w14:textId="77777777" w:rsidTr="00270B09">
        <w:trPr>
          <w:cantSplit/>
          <w:trHeight w:val="1647"/>
        </w:trPr>
        <w:tc>
          <w:tcPr>
            <w:tcW w:w="451" w:type="pct"/>
            <w:shd w:val="clear" w:color="auto" w:fill="auto"/>
            <w:vAlign w:val="center"/>
          </w:tcPr>
          <w:p w14:paraId="0FB546A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864B44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0A64334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10FE27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196FC78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70452BE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28B3064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7705A4B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2E8C09A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4D5AD5C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30C8478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1F33D198" w14:textId="77777777" w:rsidTr="00270B09">
        <w:trPr>
          <w:trHeight w:val="340"/>
        </w:trPr>
        <w:tc>
          <w:tcPr>
            <w:tcW w:w="451" w:type="pct"/>
            <w:shd w:val="clear" w:color="auto" w:fill="auto"/>
            <w:vAlign w:val="center"/>
          </w:tcPr>
          <w:p w14:paraId="361E6224"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(a)</w:t>
            </w:r>
          </w:p>
          <w:p w14:paraId="5B3B2F65" w14:textId="2B7DA7A1"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w:t>
            </w:r>
          </w:p>
        </w:tc>
        <w:tc>
          <w:tcPr>
            <w:tcW w:w="494" w:type="pct"/>
            <w:shd w:val="clear" w:color="auto" w:fill="auto"/>
            <w:vAlign w:val="center"/>
          </w:tcPr>
          <w:p w14:paraId="08961B3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019F11E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4E7EAD9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EECO 07</w:t>
            </w:r>
          </w:p>
        </w:tc>
        <w:tc>
          <w:tcPr>
            <w:tcW w:w="1411" w:type="pct"/>
            <w:shd w:val="clear" w:color="auto" w:fill="auto"/>
            <w:vAlign w:val="center"/>
          </w:tcPr>
          <w:p w14:paraId="6CD6A8E3" w14:textId="7671FFF0" w:rsidR="00BA4C5C" w:rsidRPr="003A6407" w:rsidRDefault="007227CB" w:rsidP="00270B09">
            <w:pPr>
              <w:keepNext/>
              <w:keepLines/>
              <w:spacing w:before="200" w:after="0"/>
              <w:jc w:val="center"/>
              <w:outlineLvl w:val="2"/>
              <w:rPr>
                <w:rFonts w:asciiTheme="minorHAnsi" w:eastAsia="Times New Roman" w:hAnsiTheme="minorHAnsi" w:cstheme="minorHAnsi"/>
                <w:bCs/>
                <w:noProof/>
                <w:sz w:val="16"/>
                <w:szCs w:val="16"/>
              </w:rPr>
            </w:pPr>
            <w:bookmarkStart w:id="238" w:name="_Toc98188972"/>
            <w:bookmarkStart w:id="239" w:name="_Toc120464455"/>
            <w:r w:rsidRPr="007227CB">
              <w:rPr>
                <w:rFonts w:asciiTheme="minorHAnsi" w:eastAsia="Times New Roman" w:hAnsiTheme="minorHAnsi" w:cstheme="minorHAnsi"/>
                <w:bCs/>
                <w:noProof/>
                <w:sz w:val="16"/>
                <w:szCs w:val="16"/>
              </w:rPr>
              <w:t>Osoby młode w wieku 18–29 lat</w:t>
            </w:r>
            <w:bookmarkEnd w:id="238"/>
            <w:bookmarkEnd w:id="239"/>
          </w:p>
        </w:tc>
        <w:tc>
          <w:tcPr>
            <w:tcW w:w="549" w:type="pct"/>
            <w:shd w:val="clear" w:color="auto" w:fill="auto"/>
            <w:vAlign w:val="center"/>
          </w:tcPr>
          <w:p w14:paraId="0219FDC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3A28C788" w14:textId="08F2FE32" w:rsidR="00BA4C5C" w:rsidRPr="003A6407" w:rsidRDefault="006300E3"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540</w:t>
            </w:r>
            <w:r w:rsidR="00205D19">
              <w:rPr>
                <w:rFonts w:asciiTheme="minorHAnsi" w:eastAsia="Calibri" w:hAnsiTheme="minorHAnsi" w:cstheme="minorHAnsi"/>
                <w:noProof/>
                <w:sz w:val="16"/>
                <w:szCs w:val="16"/>
              </w:rPr>
              <w:t>,00</w:t>
            </w:r>
          </w:p>
        </w:tc>
        <w:tc>
          <w:tcPr>
            <w:tcW w:w="550" w:type="pct"/>
            <w:shd w:val="clear" w:color="auto" w:fill="auto"/>
            <w:vAlign w:val="center"/>
          </w:tcPr>
          <w:p w14:paraId="497B6DE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6 024,00</w:t>
            </w:r>
          </w:p>
        </w:tc>
      </w:tr>
      <w:tr w:rsidR="00BA4C5C" w:rsidRPr="003A6407" w14:paraId="441569E8" w14:textId="77777777" w:rsidTr="00270B09">
        <w:trPr>
          <w:trHeight w:val="340"/>
        </w:trPr>
        <w:tc>
          <w:tcPr>
            <w:tcW w:w="5000" w:type="pct"/>
            <w:gridSpan w:val="8"/>
            <w:shd w:val="clear" w:color="auto" w:fill="auto"/>
          </w:tcPr>
          <w:p w14:paraId="21FC812C"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6EF43D5D"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2AE30475" w14:textId="77777777" w:rsidR="00BA4C5C" w:rsidRPr="003A6407" w:rsidRDefault="00BA4C5C" w:rsidP="00F20BCD">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136 Wsparcie szczególne na rzecz zatrudnienia ludzi młodych i integracji społeczno-gospodarczej ludzi młodych (26 500 000 EUR/</w:t>
            </w:r>
            <w:r w:rsidRPr="003A6407">
              <w:rPr>
                <w:rFonts w:asciiTheme="minorHAnsi" w:hAnsiTheme="minorHAnsi" w:cstheme="minorHAnsi"/>
              </w:rPr>
              <w:t xml:space="preserve"> </w:t>
            </w:r>
            <w:r w:rsidRPr="003A6407">
              <w:rPr>
                <w:rFonts w:asciiTheme="minorHAnsi" w:eastAsia="Calibri" w:hAnsiTheme="minorHAnsi" w:cstheme="minorHAnsi"/>
              </w:rPr>
              <w:t>117 925 000PLN);</w:t>
            </w:r>
          </w:p>
          <w:p w14:paraId="622ED717"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117 925 000 PLN.</w:t>
            </w:r>
          </w:p>
          <w:p w14:paraId="39FE7E59"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Ogólnopolska stawka jednostkowa za doprowadzenie przez PUP do podjęcia zatrudnienia przez daną osobę wynosi 13 375,59 PLN. Koszt jednostkowy został skorygowany w oparciu o wartość inflacji na poziomie 15% i wynosi  15 381,93 PLN, a obniżona do wartości dofinansowania na poziomie 70% wynosi 10 767,35 PLN. Na podstawie tych danych wyliczono wartość wskaźnika.</w:t>
            </w:r>
          </w:p>
          <w:p w14:paraId="7341F2DF"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Przy obliczeniach wskaźnika wzięto pod uwagę fakt, iż osoby w wieku 18 – 29 będą również wykazywane we wskaźniku ogólnym pn.: Liczba osób bezrobotnych, w tym długotrwale bezrobotnych, objętych wsparciem w programie, ponieważ  uwzględnia on wszystkie osoby zarejestrowane jako bezrobotne (w tym również  osoby w wieku 18 – 29 lat). Różnicę przy wyliczeniach stanowi alokacja przeznaczona na daną grupę docelową, natomiast koszt jednostkowy jest tożsamy (koszt aktywizacji zawodowej osoby młodej jest taki sam, jak pozostałej grupy docelowej).</w:t>
            </w:r>
          </w:p>
          <w:p w14:paraId="440F4D59"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1A171E62" w14:textId="77777777" w:rsidR="00BA4C5C" w:rsidRPr="003A6407" w:rsidRDefault="00BA4C5C" w:rsidP="00136DAF">
            <w:pPr>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[(1*3)+(7*25)+(8*68)]/16 = 45,13%. Wartość zaokrąglono do pełnej wartości 45%. </w:t>
            </w:r>
          </w:p>
          <w:p w14:paraId="03F56148"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Wyliczenie:</w:t>
            </w:r>
          </w:p>
          <w:p w14:paraId="77A1CC2A"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117 925 000 / 10 767,35 * (1-0,45) =  6 024 osoby.</w:t>
            </w:r>
          </w:p>
          <w:p w14:paraId="15224C4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5FD47A7C" w14:textId="77777777" w:rsidR="00BA4C5C" w:rsidRPr="003A6407" w:rsidRDefault="00BA4C5C" w:rsidP="00F20BCD">
            <w:pPr>
              <w:numPr>
                <w:ilvl w:val="0"/>
                <w:numId w:val="30"/>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756BC035" w14:textId="77777777" w:rsidR="00BA4C5C" w:rsidRPr="003A6407" w:rsidRDefault="00BA4C5C" w:rsidP="00F20BCD">
            <w:pPr>
              <w:numPr>
                <w:ilvl w:val="0"/>
                <w:numId w:val="30"/>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41B9B74D" w14:textId="77777777" w:rsidR="00BA4C5C" w:rsidRPr="003A6407" w:rsidRDefault="00BA4C5C" w:rsidP="00F20BCD">
            <w:pPr>
              <w:numPr>
                <w:ilvl w:val="0"/>
                <w:numId w:val="30"/>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0CB9DD2B" w14:textId="77777777" w:rsidR="00BA4C5C" w:rsidRPr="003A6407" w:rsidRDefault="00BA4C5C" w:rsidP="00F20BCD">
            <w:pPr>
              <w:numPr>
                <w:ilvl w:val="0"/>
                <w:numId w:val="30"/>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51666614" w14:textId="77777777" w:rsidR="00BA4C5C" w:rsidRPr="003A6407" w:rsidRDefault="00BA4C5C" w:rsidP="00F20BCD">
            <w:pPr>
              <w:numPr>
                <w:ilvl w:val="0"/>
                <w:numId w:val="30"/>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6066F497" w14:textId="77777777" w:rsidR="00BA4C5C" w:rsidRPr="003A6407" w:rsidRDefault="00BA4C5C" w:rsidP="00F20BCD">
            <w:pPr>
              <w:numPr>
                <w:ilvl w:val="0"/>
                <w:numId w:val="30"/>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8C23133"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7CE6646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2DA63BA0"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5D4A4729"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0598C82A"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5143A5AF"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EFS(istotność: poważna)</w:t>
            </w:r>
          </w:p>
          <w:p w14:paraId="2B380DC8"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20757804"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lastRenderedPageBreak/>
              <w:t xml:space="preserve">ryzyko związane z </w:t>
            </w:r>
            <w:r w:rsidRPr="003A6407">
              <w:rPr>
                <w:rFonts w:asciiTheme="minorHAnsi" w:eastAsia="Calibri" w:hAnsiTheme="minorHAnsi" w:cstheme="minorHAnsi"/>
                <w:b/>
                <w:color w:val="000000"/>
              </w:rPr>
              <w:t>nowelizacją ustawy o promocji zatrudnienia i instytucjach rynku pracy</w:t>
            </w:r>
            <w:r w:rsidRPr="003A6407">
              <w:rPr>
                <w:rFonts w:asciiTheme="minorHAnsi" w:eastAsia="Calibri" w:hAnsiTheme="minorHAnsi" w:cstheme="minorHAnsi"/>
                <w:color w:val="000000"/>
              </w:rPr>
              <w:t>, zgodnie z którą wsparcie dla osób bezrobotnych będzie realizowane; (istotność: poważna)</w:t>
            </w:r>
          </w:p>
          <w:p w14:paraId="5589FA6F"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specyfika grupy docelowej</w:t>
            </w:r>
            <w:r w:rsidRPr="003A6407">
              <w:rPr>
                <w:rFonts w:asciiTheme="minorHAnsi" w:eastAsia="Calibri" w:hAnsiTheme="minorHAnsi" w:cstheme="minorHAnsi"/>
                <w:color w:val="000000"/>
              </w:rPr>
              <w:t>: cechy osób pozostających poza rynkiem pracy wpływające na ich zatrudnialność (płeć, wiek, stan cywilny, liczba dzieci pozostających na utrzymaniu osoby bezrobotnej, wykształcenie, doświadczenie zawodowe, liczba osób w gospodarstwie domowym bezrobotnego, obowiązki opiekuńcze, stan zdrowia, skłonność bezrobotnego do podnoszenia, uzupełniania i uaktualniania kwalifikacji zawodowych, skłonność do zmiany zawodu, skłonność do zmiany miejsca zamieszkania, minimalne oczekiwania płacowe); (istotność: poważna)</w:t>
            </w:r>
          </w:p>
          <w:p w14:paraId="29594B05"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determinanty podejmowania pracy przez osoby pozostające poza rynkiem pracy</w:t>
            </w:r>
            <w:r w:rsidRPr="003A6407">
              <w:rPr>
                <w:rFonts w:asciiTheme="minorHAnsi" w:eastAsia="Calibri" w:hAnsiTheme="minorHAnsi" w:cstheme="minorHAnsi"/>
                <w:color w:val="000000"/>
              </w:rPr>
              <w:t>: cechy demograficzne i społeczno-zawodowe sprzyjające podejmowaniu pracy; (istotność: poważna)</w:t>
            </w:r>
          </w:p>
          <w:p w14:paraId="619FB85C"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niemierzalne czynniki utrudniające osobom pozostającym poza rynkiem pracy znalezienie pracy</w:t>
            </w:r>
            <w:r w:rsidRPr="003A6407">
              <w:rPr>
                <w:rFonts w:asciiTheme="minorHAnsi" w:eastAsia="Calibri" w:hAnsiTheme="minorHAnsi" w:cstheme="minorHAnsi"/>
                <w:color w:val="000000"/>
              </w:rPr>
              <w:t xml:space="preserve"> jak niska motywacja do poszukiwania pracy, słaba prezencja i niska samoocena. (Istotność: poważna)</w:t>
            </w:r>
          </w:p>
          <w:p w14:paraId="3B81CA54" w14:textId="77777777" w:rsidR="00BA4C5C" w:rsidRPr="003A6407" w:rsidRDefault="00BA4C5C" w:rsidP="00F20BCD">
            <w:pPr>
              <w:numPr>
                <w:ilvl w:val="0"/>
                <w:numId w:val="31"/>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ryzyko nie kwalifikowalności stawki jednostkowej ze względu na niespełnienie wymogu podjęcia zatrudnienia lub rozpoczęcia działalności gospodarczej do czterech tygodni od zakończenia przez uczestnika udziału w projekcie: wymogiem niezbędnym do refundacji kosztów jest zmiana statusu osoby na rynku pracy po opuszczeniu programu, w stosunku do sytuacji w momencie przystąpienia do interwencji EFS+. Może mieć to poważny wpływ na realizację wskaźników w projektach PUP (istotność: poważna).</w:t>
            </w:r>
          </w:p>
          <w:p w14:paraId="78EB16C8" w14:textId="77777777" w:rsidR="00347312" w:rsidRPr="003A6407" w:rsidRDefault="00347312" w:rsidP="00347312">
            <w:pPr>
              <w:spacing w:after="0" w:line="240" w:lineRule="auto"/>
              <w:contextualSpacing/>
              <w:jc w:val="both"/>
              <w:rPr>
                <w:rFonts w:asciiTheme="minorHAnsi" w:eastAsia="Calibri" w:hAnsiTheme="minorHAnsi" w:cstheme="minorHAnsi"/>
                <w:color w:val="000000"/>
              </w:rPr>
            </w:pPr>
          </w:p>
          <w:p w14:paraId="6DD5F5A8" w14:textId="77777777" w:rsidR="00347312" w:rsidRPr="003A6407" w:rsidRDefault="00347312" w:rsidP="00347312">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00AA96E7" w14:textId="6C182857" w:rsidR="00347312" w:rsidRPr="003A6407" w:rsidRDefault="00347312" w:rsidP="00347312">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8i), na podstawie Sprawozdania rocznego z 2021 r. dla projektów o podobnym zakresie wsparcia. </w:t>
            </w:r>
          </w:p>
          <w:p w14:paraId="2B6BBCAA" w14:textId="44C2BDF3" w:rsidR="00347312" w:rsidRPr="003A6407" w:rsidRDefault="00347312" w:rsidP="00347312">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osób o niskich kwalifikacjach objętych wsparciem w programie dopiero w 2017 r. osiągnął wartość 12 437, co wobec wartości z wykonania na </w:t>
            </w:r>
            <w:r w:rsidR="00865831" w:rsidRPr="003A6407">
              <w:rPr>
                <w:rFonts w:asciiTheme="minorHAnsi" w:eastAsia="Calibri" w:hAnsiTheme="minorHAnsi" w:cstheme="minorHAnsi"/>
                <w:b/>
                <w:bCs/>
                <w:color w:val="000000"/>
              </w:rPr>
              <w:t xml:space="preserve">koniec </w:t>
            </w:r>
            <w:r w:rsidRPr="003A6407">
              <w:rPr>
                <w:rFonts w:asciiTheme="minorHAnsi" w:eastAsia="Calibri" w:hAnsiTheme="minorHAnsi" w:cstheme="minorHAnsi"/>
                <w:b/>
                <w:bCs/>
                <w:color w:val="000000"/>
              </w:rPr>
              <w:t xml:space="preserve">2021 r. (62 423) stanowi zaledwie 19,92 %. </w:t>
            </w:r>
          </w:p>
          <w:p w14:paraId="34017F95" w14:textId="597189CB" w:rsidR="006300E3" w:rsidRPr="003A6407" w:rsidRDefault="006300E3" w:rsidP="00347312">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Wobec powyższego dla wartości pośredniej wskaźnika zastosowano tożsamy wskaźnik kompensacji w wysokości 45%. tj. wartość pośrednia będzie równa 8,96% wartości docelowej i wyniesie: 540.</w:t>
            </w:r>
          </w:p>
          <w:p w14:paraId="47708E71" w14:textId="3097B0D4" w:rsidR="00347312" w:rsidRPr="003A6407" w:rsidRDefault="00347312" w:rsidP="00347312">
            <w:pPr>
              <w:spacing w:after="0" w:line="240" w:lineRule="auto"/>
              <w:contextualSpacing/>
              <w:jc w:val="both"/>
              <w:rPr>
                <w:rFonts w:asciiTheme="minorHAnsi" w:eastAsia="Calibri" w:hAnsiTheme="minorHAnsi" w:cstheme="minorHAnsi"/>
                <w:color w:val="000000"/>
              </w:rPr>
            </w:pPr>
          </w:p>
        </w:tc>
      </w:tr>
    </w:tbl>
    <w:p w14:paraId="048CAF7E" w14:textId="77777777" w:rsidR="00BA4C5C" w:rsidRPr="003A6407" w:rsidRDefault="00BA4C5C" w:rsidP="000E2EE1">
      <w:pPr>
        <w:pStyle w:val="Nagwek2"/>
        <w:spacing w:after="200"/>
        <w:rPr>
          <w:rFonts w:asciiTheme="minorHAnsi" w:eastAsia="Times New Roman" w:hAnsiTheme="minorHAnsi" w:cstheme="minorHAnsi"/>
        </w:rPr>
      </w:pPr>
    </w:p>
    <w:p w14:paraId="24352FD2" w14:textId="77777777" w:rsidR="00BA4C5C" w:rsidRPr="003A6407" w:rsidRDefault="00BA4C5C" w:rsidP="000E2EE1">
      <w:pPr>
        <w:pStyle w:val="Nagwek2"/>
        <w:spacing w:after="200"/>
        <w:rPr>
          <w:rFonts w:asciiTheme="minorHAnsi" w:eastAsia="Times New Roman" w:hAnsiTheme="minorHAnsi" w:cstheme="minorHAnsi"/>
        </w:rPr>
      </w:pPr>
      <w:bookmarkStart w:id="240" w:name="_Toc98188973"/>
      <w:bookmarkStart w:id="241" w:name="_Toc120464456"/>
      <w:r w:rsidRPr="003A6407">
        <w:rPr>
          <w:rFonts w:asciiTheme="minorHAnsi" w:eastAsia="Times New Roman" w:hAnsiTheme="minorHAnsi" w:cstheme="minorHAnsi"/>
        </w:rPr>
        <w:t>Wskaźniki rezultatu</w:t>
      </w:r>
      <w:bookmarkEnd w:id="240"/>
      <w:bookmarkEnd w:id="241"/>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39"/>
        <w:gridCol w:w="973"/>
        <w:gridCol w:w="555"/>
        <w:gridCol w:w="1398"/>
        <w:gridCol w:w="737"/>
        <w:gridCol w:w="1104"/>
        <w:gridCol w:w="560"/>
        <w:gridCol w:w="699"/>
        <w:gridCol w:w="842"/>
        <w:gridCol w:w="683"/>
      </w:tblGrid>
      <w:tr w:rsidR="00191FE2" w:rsidRPr="003A6407" w14:paraId="1603804D" w14:textId="77777777" w:rsidTr="00270B09">
        <w:trPr>
          <w:cantSplit/>
          <w:trHeight w:val="1787"/>
        </w:trPr>
        <w:tc>
          <w:tcPr>
            <w:tcW w:w="679" w:type="dxa"/>
            <w:shd w:val="clear" w:color="auto" w:fill="auto"/>
            <w:vAlign w:val="center"/>
          </w:tcPr>
          <w:p w14:paraId="277843D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bookmarkStart w:id="242" w:name="_Hlk97537097"/>
            <w:r w:rsidRPr="003A6407">
              <w:rPr>
                <w:rFonts w:asciiTheme="minorHAnsi" w:eastAsia="Calibri" w:hAnsiTheme="minorHAnsi" w:cstheme="minorHAnsi"/>
                <w:b/>
                <w:noProof/>
                <w:sz w:val="16"/>
                <w:szCs w:val="16"/>
              </w:rPr>
              <w:t>CP 4</w:t>
            </w:r>
          </w:p>
          <w:p w14:paraId="4BD02E1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852" w:type="dxa"/>
            <w:shd w:val="clear" w:color="auto" w:fill="auto"/>
            <w:vAlign w:val="center"/>
          </w:tcPr>
          <w:p w14:paraId="0C84A95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988" w:type="dxa"/>
            <w:shd w:val="clear" w:color="auto" w:fill="auto"/>
            <w:vAlign w:val="center"/>
          </w:tcPr>
          <w:p w14:paraId="5860E33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562" w:type="dxa"/>
            <w:shd w:val="clear" w:color="auto" w:fill="auto"/>
            <w:textDirection w:val="btLr"/>
            <w:vAlign w:val="center"/>
          </w:tcPr>
          <w:p w14:paraId="17F99DCF"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83" w:type="dxa"/>
            <w:shd w:val="clear" w:color="auto" w:fill="auto"/>
            <w:vAlign w:val="center"/>
          </w:tcPr>
          <w:p w14:paraId="5E27C61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748" w:type="dxa"/>
            <w:shd w:val="clear" w:color="auto" w:fill="auto"/>
            <w:textDirection w:val="btLr"/>
            <w:vAlign w:val="center"/>
          </w:tcPr>
          <w:p w14:paraId="36E773E4"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1122" w:type="dxa"/>
            <w:shd w:val="clear" w:color="auto" w:fill="auto"/>
            <w:textDirection w:val="btLr"/>
            <w:vAlign w:val="center"/>
          </w:tcPr>
          <w:p w14:paraId="6855BE41"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567" w:type="dxa"/>
            <w:shd w:val="clear" w:color="auto" w:fill="auto"/>
            <w:textDirection w:val="btLr"/>
            <w:vAlign w:val="center"/>
          </w:tcPr>
          <w:p w14:paraId="3C70A7F1"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709" w:type="dxa"/>
            <w:vAlign w:val="center"/>
          </w:tcPr>
          <w:p w14:paraId="48E7AAB5" w14:textId="77777777" w:rsidR="00BA4C5C" w:rsidRPr="003A6407" w:rsidRDefault="00BA4C5C" w:rsidP="00270B09">
            <w:pPr>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A8CB9A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855" w:type="dxa"/>
            <w:vAlign w:val="center"/>
          </w:tcPr>
          <w:p w14:paraId="03BACB4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Źródło danych [200]</w:t>
            </w:r>
          </w:p>
        </w:tc>
        <w:tc>
          <w:tcPr>
            <w:tcW w:w="556" w:type="dxa"/>
            <w:vAlign w:val="center"/>
          </w:tcPr>
          <w:p w14:paraId="30144E1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3C2684E8" w14:textId="77777777" w:rsidTr="00270B09">
        <w:trPr>
          <w:trHeight w:val="340"/>
        </w:trPr>
        <w:tc>
          <w:tcPr>
            <w:tcW w:w="679" w:type="dxa"/>
            <w:shd w:val="clear" w:color="auto" w:fill="auto"/>
            <w:vAlign w:val="center"/>
          </w:tcPr>
          <w:p w14:paraId="336CE39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(a)</w:t>
            </w:r>
          </w:p>
          <w:p w14:paraId="1F5DBE33" w14:textId="19F478F7"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w:t>
            </w:r>
          </w:p>
        </w:tc>
        <w:tc>
          <w:tcPr>
            <w:tcW w:w="852" w:type="dxa"/>
            <w:shd w:val="clear" w:color="auto" w:fill="auto"/>
            <w:vAlign w:val="center"/>
          </w:tcPr>
          <w:p w14:paraId="6A56752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988" w:type="dxa"/>
            <w:shd w:val="clear" w:color="auto" w:fill="auto"/>
            <w:vAlign w:val="center"/>
          </w:tcPr>
          <w:p w14:paraId="11D9561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562" w:type="dxa"/>
            <w:shd w:val="clear" w:color="auto" w:fill="auto"/>
            <w:vAlign w:val="center"/>
          </w:tcPr>
          <w:p w14:paraId="59C7E8D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EECR 04</w:t>
            </w:r>
          </w:p>
        </w:tc>
        <w:tc>
          <w:tcPr>
            <w:tcW w:w="1422" w:type="dxa"/>
            <w:shd w:val="clear" w:color="auto" w:fill="auto"/>
            <w:vAlign w:val="center"/>
          </w:tcPr>
          <w:p w14:paraId="653DA846" w14:textId="28D5715A" w:rsidR="00BA4C5C" w:rsidRPr="003A6407" w:rsidRDefault="007227CB" w:rsidP="00270B09">
            <w:pPr>
              <w:keepNext/>
              <w:keepLines/>
              <w:spacing w:before="200" w:after="0"/>
              <w:jc w:val="center"/>
              <w:outlineLvl w:val="2"/>
              <w:rPr>
                <w:rFonts w:asciiTheme="minorHAnsi" w:eastAsia="Calibri" w:hAnsiTheme="minorHAnsi" w:cstheme="minorHAnsi"/>
                <w:noProof/>
                <w:sz w:val="16"/>
                <w:szCs w:val="16"/>
              </w:rPr>
            </w:pPr>
            <w:bookmarkStart w:id="243" w:name="_Toc98188974"/>
            <w:bookmarkStart w:id="244" w:name="_Toc120464457"/>
            <w:r w:rsidRPr="007227CB">
              <w:rPr>
                <w:rFonts w:asciiTheme="minorHAnsi" w:eastAsia="Times New Roman" w:hAnsiTheme="minorHAnsi" w:cstheme="minorHAnsi"/>
                <w:bCs/>
                <w:noProof/>
                <w:sz w:val="16"/>
                <w:szCs w:val="16"/>
              </w:rPr>
              <w:t>Uczestnicy pracujący po zakończeniu udziału w programie</w:t>
            </w:r>
            <w:bookmarkEnd w:id="243"/>
            <w:bookmarkEnd w:id="244"/>
          </w:p>
        </w:tc>
        <w:tc>
          <w:tcPr>
            <w:tcW w:w="748" w:type="dxa"/>
            <w:shd w:val="clear" w:color="auto" w:fill="auto"/>
            <w:vAlign w:val="center"/>
          </w:tcPr>
          <w:p w14:paraId="096D698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1122" w:type="dxa"/>
            <w:shd w:val="clear" w:color="auto" w:fill="auto"/>
            <w:vAlign w:val="center"/>
          </w:tcPr>
          <w:p w14:paraId="45767A0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544" w:type="dxa"/>
            <w:shd w:val="clear" w:color="auto" w:fill="auto"/>
            <w:vAlign w:val="center"/>
          </w:tcPr>
          <w:p w14:paraId="6D33F61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709" w:type="dxa"/>
            <w:vAlign w:val="center"/>
          </w:tcPr>
          <w:p w14:paraId="7D73EBB9" w14:textId="02E49EC1"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14</w:t>
            </w:r>
            <w:r w:rsidR="00205D19">
              <w:rPr>
                <w:rFonts w:asciiTheme="minorHAnsi" w:eastAsia="Calibri" w:hAnsiTheme="minorHAnsi" w:cstheme="minorHAnsi"/>
                <w:noProof/>
                <w:sz w:val="16"/>
                <w:szCs w:val="16"/>
              </w:rPr>
              <w:t> </w:t>
            </w:r>
            <w:r w:rsidRPr="003A6407">
              <w:rPr>
                <w:rFonts w:asciiTheme="minorHAnsi" w:eastAsia="Calibri" w:hAnsiTheme="minorHAnsi" w:cstheme="minorHAnsi"/>
                <w:noProof/>
                <w:sz w:val="16"/>
                <w:szCs w:val="16"/>
              </w:rPr>
              <w:t>560</w:t>
            </w:r>
            <w:r w:rsidR="00205D19">
              <w:rPr>
                <w:rFonts w:asciiTheme="minorHAnsi" w:eastAsia="Calibri" w:hAnsiTheme="minorHAnsi" w:cstheme="minorHAnsi"/>
                <w:noProof/>
                <w:sz w:val="16"/>
                <w:szCs w:val="16"/>
              </w:rPr>
              <w:t>,00</w:t>
            </w:r>
          </w:p>
        </w:tc>
        <w:tc>
          <w:tcPr>
            <w:tcW w:w="692" w:type="dxa"/>
            <w:vAlign w:val="center"/>
          </w:tcPr>
          <w:p w14:paraId="63271AA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692" w:type="dxa"/>
            <w:vAlign w:val="center"/>
          </w:tcPr>
          <w:p w14:paraId="6E36820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591898DE" w14:textId="77777777" w:rsidTr="002B58A1">
        <w:trPr>
          <w:trHeight w:val="340"/>
        </w:trPr>
        <w:tc>
          <w:tcPr>
            <w:tcW w:w="9060" w:type="dxa"/>
            <w:gridSpan w:val="11"/>
            <w:shd w:val="clear" w:color="auto" w:fill="auto"/>
          </w:tcPr>
          <w:p w14:paraId="2CC58DA0" w14:textId="77777777" w:rsidR="00BA4C5C" w:rsidRPr="003A6407" w:rsidRDefault="00BA4C5C" w:rsidP="00A01123">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31D708B2" w14:textId="77777777" w:rsidR="00BA4C5C" w:rsidRPr="003A6407" w:rsidRDefault="00BA4C5C" w:rsidP="00A01123">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Historyczną efektywność działań aktywizacji zawodowej w ramach Działania 8.1 i 8.2 RPO WD 2014-2020 wyliczono na poziomie 61,48%. Na podstawie tych danych wyliczono wartość docelową wskaźnika. Zakłada się, że wartość docelowa wskaźnika rezultatu to 61% wartości wskaźnika produktu: Liczba osób bezrobotnych, w tym długotrwale bezrobotnych, objętych wsparciem w programie.</w:t>
            </w:r>
          </w:p>
          <w:p w14:paraId="217558C7" w14:textId="77777777" w:rsidR="00BA4C5C" w:rsidRPr="003A6407" w:rsidRDefault="00BA4C5C" w:rsidP="00A01123">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Wyliczenia:</w:t>
            </w:r>
          </w:p>
          <w:p w14:paraId="2DDB820B" w14:textId="77777777" w:rsidR="00BA4C5C" w:rsidRPr="003A6407" w:rsidRDefault="00BA4C5C" w:rsidP="00A01123">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23 869 * 61% = 14 560 osób.</w:t>
            </w:r>
          </w:p>
        </w:tc>
      </w:tr>
    </w:tbl>
    <w:p w14:paraId="1FAD5152" w14:textId="77777777" w:rsidR="00BA4C5C" w:rsidRPr="003A6407" w:rsidRDefault="00BA4C5C" w:rsidP="008A2446">
      <w:pPr>
        <w:rPr>
          <w:rFonts w:asciiTheme="minorHAnsi" w:hAnsiTheme="minorHAnsi" w:cstheme="minorHAnsi"/>
        </w:rPr>
      </w:pPr>
      <w:bookmarkStart w:id="245" w:name="_Toc98188975"/>
      <w:bookmarkEnd w:id="242"/>
    </w:p>
    <w:p w14:paraId="57157401" w14:textId="3856DECE" w:rsidR="00BA4C5C" w:rsidRPr="003A6407" w:rsidRDefault="00BA4C5C" w:rsidP="0043355D">
      <w:pPr>
        <w:pStyle w:val="Nagwek2"/>
        <w:spacing w:after="200"/>
        <w:rPr>
          <w:rFonts w:asciiTheme="minorHAnsi" w:eastAsia="Times New Roman" w:hAnsiTheme="minorHAnsi" w:cstheme="minorHAnsi"/>
        </w:rPr>
      </w:pPr>
      <w:bookmarkStart w:id="246" w:name="_Toc120464458"/>
      <w:r w:rsidRPr="003A6407">
        <w:rPr>
          <w:rFonts w:asciiTheme="minorHAnsi" w:eastAsia="Times New Roman" w:hAnsiTheme="minorHAnsi" w:cstheme="minorHAnsi"/>
        </w:rPr>
        <w:t xml:space="preserve">CEL SZCZEGÓŁOWY: </w:t>
      </w:r>
      <w:bookmarkStart w:id="247" w:name="_Hlk94519123"/>
      <w:r w:rsidR="001C6669" w:rsidRPr="001C6669">
        <w:rPr>
          <w:rFonts w:asciiTheme="minorHAnsi" w:eastAsia="Times New Roman" w:hAnsiTheme="minorHAnsi" w:cstheme="minorHAnsi"/>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245"/>
      <w:bookmarkEnd w:id="246"/>
    </w:p>
    <w:p w14:paraId="6D10338F" w14:textId="77777777" w:rsidR="00BA4C5C" w:rsidRPr="003A6407" w:rsidRDefault="00BA4C5C" w:rsidP="0043355D">
      <w:pPr>
        <w:pStyle w:val="Nagwek2"/>
        <w:spacing w:after="200"/>
        <w:rPr>
          <w:rFonts w:asciiTheme="minorHAnsi" w:hAnsiTheme="minorHAnsi" w:cstheme="minorHAnsi"/>
        </w:rPr>
      </w:pPr>
      <w:bookmarkStart w:id="248" w:name="_Toc98188976"/>
      <w:bookmarkStart w:id="249" w:name="_Toc120464459"/>
      <w:r w:rsidRPr="003A6407">
        <w:rPr>
          <w:rFonts w:asciiTheme="minorHAnsi" w:hAnsiTheme="minorHAnsi" w:cstheme="minorHAnsi"/>
        </w:rPr>
        <w:t>Wskaźniki produktu</w:t>
      </w:r>
      <w:bookmarkEnd w:id="248"/>
      <w:bookmarkEnd w:id="249"/>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191FE2" w:rsidRPr="003A6407" w14:paraId="6AEF8CB9" w14:textId="77777777" w:rsidTr="00270B09">
        <w:trPr>
          <w:cantSplit/>
          <w:trHeight w:val="1647"/>
        </w:trPr>
        <w:tc>
          <w:tcPr>
            <w:tcW w:w="451" w:type="pct"/>
            <w:shd w:val="clear" w:color="auto" w:fill="auto"/>
            <w:vAlign w:val="center"/>
          </w:tcPr>
          <w:p w14:paraId="2196F60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76A295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7EC1AA0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66A5A9A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423" w:type="pct"/>
            <w:shd w:val="clear" w:color="auto" w:fill="auto"/>
            <w:textDirection w:val="btLr"/>
            <w:vAlign w:val="center"/>
          </w:tcPr>
          <w:p w14:paraId="7C6B8D3D"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48" w:type="pct"/>
            <w:shd w:val="clear" w:color="auto" w:fill="auto"/>
            <w:vAlign w:val="center"/>
          </w:tcPr>
          <w:p w14:paraId="4516683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07A957B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06967E0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566E23D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5A60EF2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53C2958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7238C86E" w14:textId="77777777" w:rsidTr="00270B09">
        <w:trPr>
          <w:trHeight w:val="340"/>
        </w:trPr>
        <w:tc>
          <w:tcPr>
            <w:tcW w:w="451" w:type="pct"/>
            <w:shd w:val="clear" w:color="auto" w:fill="auto"/>
            <w:vAlign w:val="center"/>
          </w:tcPr>
          <w:p w14:paraId="7522FD50"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(b)</w:t>
            </w:r>
          </w:p>
          <w:p w14:paraId="02F67AE4" w14:textId="0579D3FE"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4.2</w:t>
            </w:r>
          </w:p>
        </w:tc>
        <w:tc>
          <w:tcPr>
            <w:tcW w:w="494" w:type="pct"/>
            <w:shd w:val="clear" w:color="auto" w:fill="auto"/>
            <w:vAlign w:val="center"/>
          </w:tcPr>
          <w:p w14:paraId="44D51CA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3EB9D3E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423" w:type="pct"/>
            <w:shd w:val="clear" w:color="auto" w:fill="auto"/>
            <w:vAlign w:val="center"/>
          </w:tcPr>
          <w:p w14:paraId="7A02C7C3" w14:textId="33A13620"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PLBCO 01</w:t>
            </w:r>
          </w:p>
        </w:tc>
        <w:tc>
          <w:tcPr>
            <w:tcW w:w="1348" w:type="pct"/>
            <w:shd w:val="clear" w:color="auto" w:fill="auto"/>
            <w:vAlign w:val="center"/>
          </w:tcPr>
          <w:p w14:paraId="57B6804B" w14:textId="4D3D56C9" w:rsidR="00BA4C5C" w:rsidRPr="003A6407" w:rsidRDefault="00BA4C5C" w:rsidP="00270B09">
            <w:pPr>
              <w:keepNext/>
              <w:keepLines/>
              <w:spacing w:before="200" w:after="0"/>
              <w:jc w:val="center"/>
              <w:outlineLvl w:val="2"/>
              <w:rPr>
                <w:rFonts w:asciiTheme="minorHAnsi" w:eastAsia="Times New Roman" w:hAnsiTheme="minorHAnsi" w:cstheme="minorHAnsi"/>
                <w:bCs/>
                <w:noProof/>
                <w:sz w:val="16"/>
                <w:szCs w:val="16"/>
              </w:rPr>
            </w:pPr>
            <w:bookmarkStart w:id="250" w:name="_Toc98188977"/>
            <w:bookmarkStart w:id="251" w:name="_Toc120464460"/>
            <w:r w:rsidRPr="003A6407">
              <w:rPr>
                <w:rFonts w:asciiTheme="minorHAnsi" w:eastAsia="Times New Roman" w:hAnsiTheme="minorHAnsi" w:cstheme="minorHAnsi"/>
                <w:bCs/>
                <w:noProof/>
                <w:sz w:val="16"/>
                <w:szCs w:val="16"/>
              </w:rPr>
              <w:t>Liczba pracowników instytucji rynku pracy objętych wsparciem w programie</w:t>
            </w:r>
            <w:bookmarkEnd w:id="250"/>
            <w:bookmarkEnd w:id="251"/>
          </w:p>
        </w:tc>
        <w:tc>
          <w:tcPr>
            <w:tcW w:w="549" w:type="pct"/>
            <w:shd w:val="clear" w:color="auto" w:fill="auto"/>
            <w:vAlign w:val="center"/>
          </w:tcPr>
          <w:p w14:paraId="0F64B23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251589DA" w14:textId="77AE64E4" w:rsidR="00BA4C5C" w:rsidRPr="003A6407" w:rsidRDefault="001B0178"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17</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4656279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170,00</w:t>
            </w:r>
          </w:p>
        </w:tc>
      </w:tr>
      <w:tr w:rsidR="00BA4C5C" w:rsidRPr="003A6407" w14:paraId="68F833B3" w14:textId="77777777" w:rsidTr="00270B09">
        <w:trPr>
          <w:trHeight w:val="340"/>
        </w:trPr>
        <w:tc>
          <w:tcPr>
            <w:tcW w:w="5000" w:type="pct"/>
            <w:gridSpan w:val="8"/>
            <w:shd w:val="clear" w:color="auto" w:fill="auto"/>
          </w:tcPr>
          <w:p w14:paraId="076E0D3D"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23FE9895"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7930412D" w14:textId="77777777" w:rsidR="00BA4C5C" w:rsidRPr="003A6407" w:rsidRDefault="00BA4C5C" w:rsidP="00F20BCD">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139 Działania na rzecz modernizacji i wzmocnienia instytucji i służb rynku pracy celem oceny i przewidywania zapotrzebowania na umiejętności oraz zapewnienia terminowej i dopasowanej do potrzeb pomocy (1 330 000 EUR/5 918 500 PLN);</w:t>
            </w:r>
          </w:p>
          <w:p w14:paraId="4B414C4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5 918 500 PLN.</w:t>
            </w:r>
          </w:p>
          <w:p w14:paraId="23179C5B"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28 465,30 PLN. Koszt jednostkowy został skorygowany w oparciu o wartość inflacji na poziomie 15% i wynosi 32 735,10 PLN, a obniżony do wartości dofinansowania na poziomie 70% wynosi 22 914,57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5BD605C1" w14:textId="77777777" w:rsidR="00BA4C5C" w:rsidRPr="003A6407" w:rsidRDefault="00BA4C5C" w:rsidP="00136DAF">
            <w:pPr>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[(1*3)+(4*25)+(2*68)]/7 = 34,14%. Wartość zaokrąglono do pełnej wartości 34%. </w:t>
            </w:r>
          </w:p>
          <w:p w14:paraId="3CA7ADE2"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07C678BE"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5 918 500 / 22 914,57 * (1-0,34) = 170 osób.</w:t>
            </w:r>
          </w:p>
          <w:p w14:paraId="6412C8FE"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3FB5AC6A" w14:textId="77777777" w:rsidR="00BA4C5C" w:rsidRPr="003A6407" w:rsidRDefault="00BA4C5C">
            <w:pPr>
              <w:numPr>
                <w:ilvl w:val="0"/>
                <w:numId w:val="78"/>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37A426D0" w14:textId="77777777" w:rsidR="00BA4C5C" w:rsidRPr="003A6407" w:rsidRDefault="00BA4C5C">
            <w:pPr>
              <w:numPr>
                <w:ilvl w:val="0"/>
                <w:numId w:val="78"/>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2F71DE44" w14:textId="77777777" w:rsidR="00BA4C5C" w:rsidRPr="003A6407" w:rsidRDefault="00BA4C5C">
            <w:pPr>
              <w:numPr>
                <w:ilvl w:val="0"/>
                <w:numId w:val="78"/>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3E68B557" w14:textId="77777777" w:rsidR="00BA4C5C" w:rsidRPr="003A6407" w:rsidRDefault="00BA4C5C">
            <w:pPr>
              <w:numPr>
                <w:ilvl w:val="0"/>
                <w:numId w:val="78"/>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52018DE4" w14:textId="77777777" w:rsidR="00BA4C5C" w:rsidRPr="003A6407" w:rsidRDefault="00BA4C5C">
            <w:pPr>
              <w:numPr>
                <w:ilvl w:val="0"/>
                <w:numId w:val="78"/>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20AD420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31CA534B" w14:textId="77777777" w:rsidR="00BA4C5C" w:rsidRPr="003A6407" w:rsidRDefault="00BA4C5C">
            <w:pPr>
              <w:numPr>
                <w:ilvl w:val="0"/>
                <w:numId w:val="79"/>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lastRenderedPageBreak/>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11C6EF29" w14:textId="77777777" w:rsidR="00BA4C5C" w:rsidRPr="003A6407" w:rsidRDefault="00BA4C5C">
            <w:pPr>
              <w:numPr>
                <w:ilvl w:val="0"/>
                <w:numId w:val="79"/>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60075FEF" w14:textId="77777777" w:rsidR="00282D9A" w:rsidRPr="003A6407" w:rsidRDefault="00282D9A" w:rsidP="00282D9A">
            <w:pPr>
              <w:spacing w:after="0" w:line="240" w:lineRule="auto"/>
              <w:contextualSpacing/>
              <w:jc w:val="both"/>
              <w:rPr>
                <w:rFonts w:asciiTheme="minorHAnsi" w:eastAsia="Calibri" w:hAnsiTheme="minorHAnsi" w:cstheme="minorHAnsi"/>
                <w:color w:val="000000"/>
              </w:rPr>
            </w:pPr>
          </w:p>
          <w:p w14:paraId="76972B1A" w14:textId="77777777" w:rsidR="00282D9A" w:rsidRPr="003A6407" w:rsidRDefault="00282D9A" w:rsidP="00282D9A">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39EA34CB" w14:textId="60A0347B" w:rsidR="00282D9A" w:rsidRPr="003A6407" w:rsidRDefault="001B0178" w:rsidP="00282D9A">
            <w:pPr>
              <w:spacing w:after="0" w:line="240" w:lineRule="auto"/>
              <w:contextualSpacing/>
              <w:jc w:val="both"/>
              <w:rPr>
                <w:rFonts w:asciiTheme="minorHAnsi" w:eastAsia="Calibri" w:hAnsiTheme="minorHAnsi" w:cstheme="minorHAnsi"/>
                <w:color w:val="000000"/>
              </w:rPr>
            </w:pPr>
            <w:r w:rsidRPr="001B0178">
              <w:rPr>
                <w:rFonts w:asciiTheme="minorHAnsi" w:eastAsia="Calibri" w:hAnsiTheme="minorHAnsi" w:cstheme="minorHAnsi"/>
                <w:b/>
                <w:bCs/>
                <w:color w:val="000000"/>
              </w:rPr>
              <w:t>Po przeanalizowaniu danych PO KL 2007-2013 wskaźnik  Liczba kluczowych pracowników PSZ, którzy zakończyli udział w szkoleniach realizowanych w systemie pozaszkolnym, istotnych z punktu widzenia regionalnego rynku pracy miał znaczący przyrost  w 2009 r (28%), dlatego proponuj</w:t>
            </w:r>
            <w:r w:rsidR="00205D19">
              <w:rPr>
                <w:rFonts w:asciiTheme="minorHAnsi" w:eastAsia="Calibri" w:hAnsiTheme="minorHAnsi" w:cstheme="minorHAnsi"/>
                <w:b/>
                <w:bCs/>
                <w:color w:val="000000"/>
              </w:rPr>
              <w:t>e się</w:t>
            </w:r>
            <w:r w:rsidRPr="001B0178">
              <w:rPr>
                <w:rFonts w:asciiTheme="minorHAnsi" w:eastAsia="Calibri" w:hAnsiTheme="minorHAnsi" w:cstheme="minorHAnsi"/>
                <w:b/>
                <w:bCs/>
                <w:color w:val="000000"/>
              </w:rPr>
              <w:t xml:space="preserve"> przyjąć wartość pośrednią 10% z celu.</w:t>
            </w:r>
          </w:p>
        </w:tc>
      </w:tr>
    </w:tbl>
    <w:p w14:paraId="14E43FB5" w14:textId="77777777" w:rsidR="00BA4C5C" w:rsidRPr="003A6407" w:rsidRDefault="00BA4C5C" w:rsidP="00997F57">
      <w:pPr>
        <w:pStyle w:val="Nagwek2"/>
        <w:spacing w:after="200"/>
        <w:rPr>
          <w:rFonts w:asciiTheme="minorHAnsi" w:eastAsia="Times New Roman" w:hAnsiTheme="minorHAnsi" w:cstheme="minorHAnsi"/>
        </w:rPr>
      </w:pPr>
      <w:bookmarkStart w:id="252" w:name="_Toc98188978"/>
      <w:bookmarkStart w:id="253" w:name="_Toc120464461"/>
      <w:bookmarkEnd w:id="247"/>
      <w:r w:rsidRPr="003A6407">
        <w:rPr>
          <w:rFonts w:asciiTheme="minorHAnsi" w:eastAsia="Times New Roman" w:hAnsiTheme="minorHAnsi" w:cstheme="minorHAnsi"/>
        </w:rPr>
        <w:t>Wskaźniki rezultatu</w:t>
      </w:r>
      <w:bookmarkEnd w:id="252"/>
      <w:bookmarkEnd w:id="253"/>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39"/>
        <w:gridCol w:w="973"/>
        <w:gridCol w:w="555"/>
        <w:gridCol w:w="1398"/>
        <w:gridCol w:w="737"/>
        <w:gridCol w:w="1104"/>
        <w:gridCol w:w="560"/>
        <w:gridCol w:w="699"/>
        <w:gridCol w:w="842"/>
        <w:gridCol w:w="683"/>
      </w:tblGrid>
      <w:tr w:rsidR="00191FE2" w:rsidRPr="003A6407" w14:paraId="72FAE0B8" w14:textId="77777777" w:rsidTr="00270B09">
        <w:trPr>
          <w:cantSplit/>
          <w:trHeight w:val="1787"/>
        </w:trPr>
        <w:tc>
          <w:tcPr>
            <w:tcW w:w="670" w:type="dxa"/>
            <w:shd w:val="clear" w:color="auto" w:fill="auto"/>
            <w:vAlign w:val="center"/>
          </w:tcPr>
          <w:p w14:paraId="136CC8E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bookmarkStart w:id="254" w:name="_Hlk97537261"/>
            <w:r w:rsidRPr="003A6407">
              <w:rPr>
                <w:rFonts w:asciiTheme="minorHAnsi" w:eastAsia="Calibri" w:hAnsiTheme="minorHAnsi" w:cstheme="minorHAnsi"/>
                <w:b/>
                <w:noProof/>
                <w:sz w:val="16"/>
                <w:szCs w:val="16"/>
              </w:rPr>
              <w:t>CP 4</w:t>
            </w:r>
          </w:p>
          <w:p w14:paraId="4F6386E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839" w:type="dxa"/>
            <w:shd w:val="clear" w:color="auto" w:fill="auto"/>
            <w:vAlign w:val="center"/>
          </w:tcPr>
          <w:p w14:paraId="383B2EF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973" w:type="dxa"/>
            <w:shd w:val="clear" w:color="auto" w:fill="auto"/>
            <w:vAlign w:val="center"/>
          </w:tcPr>
          <w:p w14:paraId="5185E53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555" w:type="dxa"/>
            <w:shd w:val="clear" w:color="auto" w:fill="auto"/>
            <w:textDirection w:val="btLr"/>
            <w:vAlign w:val="center"/>
          </w:tcPr>
          <w:p w14:paraId="18B84CC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98" w:type="dxa"/>
            <w:shd w:val="clear" w:color="auto" w:fill="auto"/>
            <w:vAlign w:val="center"/>
          </w:tcPr>
          <w:p w14:paraId="7165115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737" w:type="dxa"/>
            <w:shd w:val="clear" w:color="auto" w:fill="auto"/>
            <w:textDirection w:val="btLr"/>
            <w:vAlign w:val="center"/>
          </w:tcPr>
          <w:p w14:paraId="4D56AA77"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1104" w:type="dxa"/>
            <w:shd w:val="clear" w:color="auto" w:fill="auto"/>
            <w:textDirection w:val="btLr"/>
            <w:vAlign w:val="center"/>
          </w:tcPr>
          <w:p w14:paraId="10D6874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560" w:type="dxa"/>
            <w:shd w:val="clear" w:color="auto" w:fill="auto"/>
            <w:textDirection w:val="btLr"/>
            <w:vAlign w:val="center"/>
          </w:tcPr>
          <w:p w14:paraId="110F6AEF"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699" w:type="dxa"/>
            <w:vAlign w:val="center"/>
          </w:tcPr>
          <w:p w14:paraId="17860DA5" w14:textId="77777777" w:rsidR="00BA4C5C" w:rsidRPr="003A6407" w:rsidRDefault="00BA4C5C" w:rsidP="00270B09">
            <w:pPr>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0CC63CF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842" w:type="dxa"/>
            <w:vAlign w:val="center"/>
          </w:tcPr>
          <w:p w14:paraId="2C1DE19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Źródło danych [200]</w:t>
            </w:r>
          </w:p>
        </w:tc>
        <w:tc>
          <w:tcPr>
            <w:tcW w:w="683" w:type="dxa"/>
            <w:vAlign w:val="center"/>
          </w:tcPr>
          <w:p w14:paraId="116536F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0BC3A968" w14:textId="77777777" w:rsidTr="00270B09">
        <w:trPr>
          <w:trHeight w:val="340"/>
        </w:trPr>
        <w:tc>
          <w:tcPr>
            <w:tcW w:w="670" w:type="dxa"/>
            <w:shd w:val="clear" w:color="auto" w:fill="auto"/>
            <w:vAlign w:val="center"/>
          </w:tcPr>
          <w:p w14:paraId="402E5ABA"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(b)</w:t>
            </w:r>
          </w:p>
          <w:p w14:paraId="1D8BF320" w14:textId="7F14C887"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4.2</w:t>
            </w:r>
          </w:p>
        </w:tc>
        <w:tc>
          <w:tcPr>
            <w:tcW w:w="839" w:type="dxa"/>
            <w:shd w:val="clear" w:color="auto" w:fill="auto"/>
            <w:vAlign w:val="center"/>
          </w:tcPr>
          <w:p w14:paraId="1CFAC4E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973" w:type="dxa"/>
            <w:shd w:val="clear" w:color="auto" w:fill="auto"/>
            <w:vAlign w:val="center"/>
          </w:tcPr>
          <w:p w14:paraId="5B60A72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555" w:type="dxa"/>
            <w:shd w:val="clear" w:color="auto" w:fill="auto"/>
            <w:vAlign w:val="center"/>
          </w:tcPr>
          <w:p w14:paraId="25FAAB0A" w14:textId="0E3347C5" w:rsidR="00BA4C5C" w:rsidRPr="003A6407" w:rsidRDefault="009821B7"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EECR03</w:t>
            </w:r>
          </w:p>
        </w:tc>
        <w:tc>
          <w:tcPr>
            <w:tcW w:w="1398" w:type="dxa"/>
            <w:shd w:val="clear" w:color="auto" w:fill="auto"/>
            <w:vAlign w:val="center"/>
          </w:tcPr>
          <w:p w14:paraId="1C8066DE" w14:textId="3B37ECC2" w:rsidR="00BA4C5C" w:rsidRPr="003A6407" w:rsidRDefault="009821B7" w:rsidP="00270B09">
            <w:pPr>
              <w:keepNext/>
              <w:keepLines/>
              <w:spacing w:before="200" w:after="0"/>
              <w:jc w:val="center"/>
              <w:outlineLvl w:val="2"/>
              <w:rPr>
                <w:rFonts w:asciiTheme="minorHAnsi" w:eastAsia="Calibri" w:hAnsiTheme="minorHAnsi" w:cstheme="minorHAnsi"/>
                <w:noProof/>
                <w:sz w:val="16"/>
                <w:szCs w:val="16"/>
              </w:rPr>
            </w:pPr>
            <w:bookmarkStart w:id="255" w:name="_Toc120464462"/>
            <w:r>
              <w:rPr>
                <w:rFonts w:asciiTheme="minorHAnsi" w:eastAsia="Times New Roman" w:hAnsiTheme="minorHAnsi" w:cstheme="minorHAnsi"/>
                <w:bCs/>
                <w:noProof/>
                <w:sz w:val="16"/>
                <w:szCs w:val="16"/>
              </w:rPr>
              <w:t>Uczestnicy uzyskujący kwalifikacje po zakończeniu udziału w programie</w:t>
            </w:r>
            <w:bookmarkEnd w:id="255"/>
          </w:p>
        </w:tc>
        <w:tc>
          <w:tcPr>
            <w:tcW w:w="737" w:type="dxa"/>
            <w:shd w:val="clear" w:color="auto" w:fill="auto"/>
            <w:vAlign w:val="center"/>
          </w:tcPr>
          <w:p w14:paraId="04F70A0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1104" w:type="dxa"/>
            <w:shd w:val="clear" w:color="auto" w:fill="auto"/>
            <w:vAlign w:val="center"/>
          </w:tcPr>
          <w:p w14:paraId="1448449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560" w:type="dxa"/>
            <w:shd w:val="clear" w:color="auto" w:fill="auto"/>
            <w:vAlign w:val="center"/>
          </w:tcPr>
          <w:p w14:paraId="337B7E5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699" w:type="dxa"/>
            <w:vAlign w:val="center"/>
          </w:tcPr>
          <w:p w14:paraId="23A9A4C5" w14:textId="0C2F9EB1"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119</w:t>
            </w:r>
            <w:r w:rsidR="00205D19">
              <w:rPr>
                <w:rFonts w:asciiTheme="minorHAnsi" w:eastAsia="Calibri" w:hAnsiTheme="minorHAnsi" w:cstheme="minorHAnsi"/>
                <w:noProof/>
                <w:sz w:val="16"/>
                <w:szCs w:val="16"/>
              </w:rPr>
              <w:t>,00</w:t>
            </w:r>
          </w:p>
        </w:tc>
        <w:tc>
          <w:tcPr>
            <w:tcW w:w="842" w:type="dxa"/>
            <w:vAlign w:val="center"/>
          </w:tcPr>
          <w:p w14:paraId="3E22EE0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683" w:type="dxa"/>
            <w:vAlign w:val="center"/>
          </w:tcPr>
          <w:p w14:paraId="5D11B7C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5A36223A" w14:textId="77777777" w:rsidTr="002B58A1">
        <w:trPr>
          <w:trHeight w:val="340"/>
        </w:trPr>
        <w:tc>
          <w:tcPr>
            <w:tcW w:w="9060" w:type="dxa"/>
            <w:gridSpan w:val="11"/>
            <w:shd w:val="clear" w:color="auto" w:fill="auto"/>
          </w:tcPr>
          <w:p w14:paraId="6C46AE08" w14:textId="77777777" w:rsidR="00BA4C5C" w:rsidRPr="003A6407" w:rsidRDefault="00BA4C5C" w:rsidP="00DC79AE">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6E8F4C09" w14:textId="77777777" w:rsidR="00BA4C5C" w:rsidRPr="003A6407" w:rsidRDefault="00BA4C5C" w:rsidP="00DC79AE">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Wartość docelową wskaźnika obliczono na podstawie odsetka osób, które uzyskały kwalifikacje w projektach szkoleniowych RPO WD 2014-2020 tj. 70%. Zakłada się, że wartość docelowa wskaźnika rezultatu to 70% wartości wskaźnika produktu: Liczba pracowników instytucji rynku pracy objętych wsparciem w programie. Wyliczenie:</w:t>
            </w:r>
          </w:p>
          <w:p w14:paraId="0A64DB1A" w14:textId="77777777" w:rsidR="00BA4C5C" w:rsidRPr="003A6407" w:rsidRDefault="00BA4C5C" w:rsidP="00DC79AE">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170*70% = 119 osób.</w:t>
            </w:r>
          </w:p>
        </w:tc>
      </w:tr>
      <w:bookmarkEnd w:id="254"/>
    </w:tbl>
    <w:p w14:paraId="69CBE43C" w14:textId="77777777" w:rsidR="00BA4C5C" w:rsidRPr="003A6407" w:rsidRDefault="00BA4C5C" w:rsidP="00DC79AE">
      <w:pPr>
        <w:rPr>
          <w:rFonts w:asciiTheme="minorHAnsi" w:hAnsiTheme="minorHAnsi" w:cstheme="minorHAnsi"/>
        </w:rPr>
      </w:pPr>
    </w:p>
    <w:p w14:paraId="4DFFB17B" w14:textId="78719C64" w:rsidR="00BA4C5C" w:rsidRPr="003A6407" w:rsidRDefault="00BA4C5C" w:rsidP="00C80351">
      <w:pPr>
        <w:pStyle w:val="Nagwek2"/>
        <w:rPr>
          <w:rFonts w:asciiTheme="minorHAnsi" w:eastAsia="Times New Roman" w:hAnsiTheme="minorHAnsi" w:cstheme="minorHAnsi"/>
        </w:rPr>
      </w:pPr>
      <w:bookmarkStart w:id="256" w:name="_Toc120464463"/>
      <w:r w:rsidRPr="003A6407">
        <w:rPr>
          <w:rFonts w:asciiTheme="minorHAnsi" w:eastAsia="Times New Roman" w:hAnsiTheme="minorHAnsi" w:cstheme="minorHAnsi"/>
        </w:rPr>
        <w:lastRenderedPageBreak/>
        <w:t xml:space="preserve">CEL SZCZEGÓŁOWY: </w:t>
      </w:r>
      <w:r w:rsidR="001C6669" w:rsidRPr="001C6669">
        <w:rPr>
          <w:rFonts w:asciiTheme="minorHAnsi" w:eastAsia="Times New Roman" w:hAnsiTheme="minorHAnsi" w:cstheme="minorHAnsi"/>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1C6669">
        <w:rPr>
          <w:rFonts w:asciiTheme="minorHAnsi" w:eastAsia="Times New Roman" w:hAnsiTheme="minorHAnsi" w:cstheme="minorHAnsi"/>
        </w:rPr>
        <w:t xml:space="preserve"> (</w:t>
      </w:r>
      <w:r w:rsidR="00637C8C">
        <w:rPr>
          <w:rFonts w:asciiTheme="minorHAnsi" w:eastAsia="Times New Roman" w:hAnsiTheme="minorHAnsi" w:cstheme="minorHAnsi"/>
        </w:rPr>
        <w:t>EFS+)</w:t>
      </w:r>
      <w:bookmarkEnd w:id="256"/>
    </w:p>
    <w:p w14:paraId="654893CC" w14:textId="77777777" w:rsidR="00BA4C5C" w:rsidRPr="003A6407" w:rsidRDefault="00BA4C5C" w:rsidP="00C80351">
      <w:pPr>
        <w:pStyle w:val="Nagwek2"/>
        <w:spacing w:after="200"/>
        <w:rPr>
          <w:rFonts w:asciiTheme="minorHAnsi" w:eastAsia="Times New Roman" w:hAnsiTheme="minorHAnsi" w:cstheme="minorHAnsi"/>
        </w:rPr>
      </w:pPr>
      <w:bookmarkStart w:id="257" w:name="_Toc120464464"/>
      <w:r w:rsidRPr="003A6407">
        <w:rPr>
          <w:rFonts w:asciiTheme="minorHAnsi" w:eastAsia="Times New Roman" w:hAnsiTheme="minorHAnsi" w:cstheme="minorHAnsi"/>
        </w:rPr>
        <w:t>Wskaźniki produktu</w:t>
      </w:r>
      <w:bookmarkEnd w:id="257"/>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191FE2" w:rsidRPr="003A6407" w14:paraId="2E6C9339" w14:textId="77777777" w:rsidTr="00270B09">
        <w:trPr>
          <w:cantSplit/>
          <w:trHeight w:val="1647"/>
        </w:trPr>
        <w:tc>
          <w:tcPr>
            <w:tcW w:w="451" w:type="pct"/>
            <w:shd w:val="clear" w:color="auto" w:fill="auto"/>
            <w:vAlign w:val="center"/>
          </w:tcPr>
          <w:p w14:paraId="2C5AEA5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6DC5D9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3EFFA28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700BF19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423" w:type="pct"/>
            <w:shd w:val="clear" w:color="auto" w:fill="auto"/>
            <w:textDirection w:val="btLr"/>
            <w:vAlign w:val="center"/>
          </w:tcPr>
          <w:p w14:paraId="1540C737"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48" w:type="pct"/>
            <w:shd w:val="clear" w:color="auto" w:fill="auto"/>
            <w:vAlign w:val="center"/>
          </w:tcPr>
          <w:p w14:paraId="71273ED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tcPr>
          <w:p w14:paraId="09A3220A" w14:textId="77777777" w:rsidR="00BA4C5C" w:rsidRPr="003A6407" w:rsidRDefault="00BA4C5C" w:rsidP="00270B09">
            <w:pPr>
              <w:shd w:val="clear" w:color="auto" w:fill="FFFFFF"/>
              <w:spacing w:before="120" w:after="120" w:line="240" w:lineRule="auto"/>
              <w:jc w:val="both"/>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tcPr>
          <w:p w14:paraId="525DA263" w14:textId="77777777" w:rsidR="00BA4C5C" w:rsidRPr="003A6407" w:rsidRDefault="00BA4C5C" w:rsidP="00270B09">
            <w:pPr>
              <w:shd w:val="clear" w:color="auto" w:fill="FFFFFF"/>
              <w:spacing w:before="120" w:after="120" w:line="240" w:lineRule="auto"/>
              <w:jc w:val="both"/>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6D2B981D" w14:textId="77777777" w:rsidR="00BA4C5C" w:rsidRPr="003A6407" w:rsidRDefault="00BA4C5C" w:rsidP="00270B09">
            <w:pPr>
              <w:shd w:val="clear" w:color="auto" w:fill="FFFFFF"/>
              <w:spacing w:before="120" w:after="120" w:line="240" w:lineRule="auto"/>
              <w:jc w:val="both"/>
              <w:rPr>
                <w:rFonts w:asciiTheme="minorHAnsi" w:eastAsia="Calibri" w:hAnsiTheme="minorHAnsi" w:cstheme="minorHAnsi"/>
                <w:b/>
                <w:noProof/>
                <w:sz w:val="16"/>
                <w:szCs w:val="16"/>
              </w:rPr>
            </w:pPr>
          </w:p>
        </w:tc>
        <w:tc>
          <w:tcPr>
            <w:tcW w:w="550" w:type="pct"/>
            <w:shd w:val="clear" w:color="auto" w:fill="auto"/>
          </w:tcPr>
          <w:p w14:paraId="3C777CCF" w14:textId="77777777" w:rsidR="00BA4C5C" w:rsidRPr="003A6407" w:rsidRDefault="00BA4C5C" w:rsidP="00270B09">
            <w:pPr>
              <w:shd w:val="clear" w:color="auto" w:fill="FFFFFF"/>
              <w:spacing w:before="120" w:after="120" w:line="240" w:lineRule="auto"/>
              <w:jc w:val="both"/>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4EFBD6CF" w14:textId="77777777" w:rsidR="00BA4C5C" w:rsidRPr="003A6407" w:rsidRDefault="00BA4C5C" w:rsidP="00270B09">
            <w:pPr>
              <w:shd w:val="clear" w:color="auto" w:fill="FFFFFF"/>
              <w:spacing w:before="120" w:after="120" w:line="240" w:lineRule="auto"/>
              <w:jc w:val="both"/>
              <w:rPr>
                <w:rFonts w:asciiTheme="minorHAnsi" w:eastAsia="Calibri" w:hAnsiTheme="minorHAnsi" w:cstheme="minorHAnsi"/>
                <w:b/>
                <w:noProof/>
                <w:sz w:val="16"/>
                <w:szCs w:val="16"/>
              </w:rPr>
            </w:pPr>
          </w:p>
        </w:tc>
      </w:tr>
      <w:tr w:rsidR="00BA4C5C" w:rsidRPr="003A6407" w14:paraId="4125A07C" w14:textId="77777777" w:rsidTr="00270B09">
        <w:trPr>
          <w:trHeight w:val="340"/>
        </w:trPr>
        <w:tc>
          <w:tcPr>
            <w:tcW w:w="451" w:type="pct"/>
            <w:shd w:val="clear" w:color="auto" w:fill="auto"/>
            <w:vAlign w:val="center"/>
          </w:tcPr>
          <w:p w14:paraId="2F4329F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(c)</w:t>
            </w:r>
          </w:p>
          <w:p w14:paraId="1658CB40" w14:textId="57CF1C3E"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4.3</w:t>
            </w:r>
          </w:p>
        </w:tc>
        <w:tc>
          <w:tcPr>
            <w:tcW w:w="494" w:type="pct"/>
            <w:shd w:val="clear" w:color="auto" w:fill="auto"/>
            <w:vAlign w:val="center"/>
          </w:tcPr>
          <w:p w14:paraId="677A0C0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502D123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423" w:type="pct"/>
            <w:shd w:val="clear" w:color="auto" w:fill="auto"/>
            <w:vAlign w:val="center"/>
          </w:tcPr>
          <w:p w14:paraId="6C215485" w14:textId="6B82B460" w:rsidR="00BA4C5C" w:rsidRPr="003A6407" w:rsidRDefault="00882F3A" w:rsidP="00270B09">
            <w:pPr>
              <w:shd w:val="clear" w:color="auto" w:fill="FFFFFF"/>
              <w:spacing w:before="120" w:after="120" w:line="240" w:lineRule="auto"/>
              <w:jc w:val="center"/>
              <w:rPr>
                <w:rFonts w:asciiTheme="minorHAnsi" w:eastAsia="Calibri" w:hAnsiTheme="minorHAnsi" w:cstheme="minorHAnsi"/>
                <w:noProof/>
                <w:sz w:val="16"/>
                <w:szCs w:val="16"/>
              </w:rPr>
            </w:pPr>
            <w:r w:rsidRPr="00882F3A">
              <w:rPr>
                <w:rFonts w:asciiTheme="minorHAnsi" w:eastAsia="Calibri" w:hAnsiTheme="minorHAnsi" w:cstheme="minorHAnsi"/>
                <w:noProof/>
                <w:sz w:val="16"/>
                <w:szCs w:val="16"/>
              </w:rPr>
              <w:t>PLCCO01</w:t>
            </w:r>
          </w:p>
        </w:tc>
        <w:tc>
          <w:tcPr>
            <w:tcW w:w="1348" w:type="pct"/>
            <w:shd w:val="clear" w:color="auto" w:fill="auto"/>
            <w:vAlign w:val="center"/>
          </w:tcPr>
          <w:p w14:paraId="55B47285" w14:textId="1F6A55AD" w:rsidR="00BA4C5C" w:rsidRPr="003A6407" w:rsidRDefault="000F7229" w:rsidP="00270B09">
            <w:pPr>
              <w:keepNext/>
              <w:keepLines/>
              <w:spacing w:before="200" w:after="0"/>
              <w:jc w:val="center"/>
              <w:outlineLvl w:val="2"/>
              <w:rPr>
                <w:rFonts w:asciiTheme="minorHAnsi" w:eastAsia="Times New Roman" w:hAnsiTheme="minorHAnsi" w:cstheme="minorHAnsi"/>
                <w:bCs/>
                <w:noProof/>
                <w:sz w:val="16"/>
                <w:szCs w:val="16"/>
              </w:rPr>
            </w:pPr>
            <w:bookmarkStart w:id="258" w:name="_Toc120464465"/>
            <w:r>
              <w:rPr>
                <w:rFonts w:asciiTheme="minorHAnsi" w:eastAsia="Times New Roman" w:hAnsiTheme="minorHAnsi" w:cstheme="minorHAnsi"/>
                <w:bCs/>
                <w:noProof/>
                <w:sz w:val="16"/>
                <w:szCs w:val="16"/>
              </w:rPr>
              <w:t>L</w:t>
            </w:r>
            <w:r w:rsidR="00B338F3" w:rsidRPr="00B338F3">
              <w:rPr>
                <w:rFonts w:asciiTheme="minorHAnsi" w:eastAsia="Times New Roman" w:hAnsiTheme="minorHAnsi" w:cstheme="minorHAnsi"/>
                <w:bCs/>
                <w:noProof/>
                <w:sz w:val="16"/>
                <w:szCs w:val="16"/>
              </w:rPr>
              <w:t>iczba osób objętych wsparciem w zakresie równości kobiet i mężczyzn</w:t>
            </w:r>
            <w:bookmarkEnd w:id="258"/>
          </w:p>
        </w:tc>
        <w:tc>
          <w:tcPr>
            <w:tcW w:w="549" w:type="pct"/>
            <w:shd w:val="clear" w:color="auto" w:fill="auto"/>
            <w:vAlign w:val="center"/>
          </w:tcPr>
          <w:p w14:paraId="069A2A1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Szt.</w:t>
            </w:r>
          </w:p>
        </w:tc>
        <w:tc>
          <w:tcPr>
            <w:tcW w:w="627" w:type="pct"/>
            <w:shd w:val="clear" w:color="auto" w:fill="auto"/>
            <w:vAlign w:val="center"/>
          </w:tcPr>
          <w:p w14:paraId="634C882B" w14:textId="4D65885E" w:rsidR="00BA4C5C" w:rsidRPr="003A6407" w:rsidRDefault="00676111"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42</w:t>
            </w:r>
            <w:r w:rsidR="00205D19">
              <w:rPr>
                <w:rFonts w:asciiTheme="minorHAnsi" w:eastAsia="Calibri" w:hAnsiTheme="minorHAnsi" w:cstheme="minorHAnsi"/>
                <w:noProof/>
                <w:sz w:val="16"/>
                <w:szCs w:val="16"/>
              </w:rPr>
              <w:t>,00</w:t>
            </w:r>
          </w:p>
        </w:tc>
        <w:tc>
          <w:tcPr>
            <w:tcW w:w="550" w:type="pct"/>
            <w:shd w:val="clear" w:color="auto" w:fill="auto"/>
            <w:vAlign w:val="center"/>
          </w:tcPr>
          <w:p w14:paraId="0A10CA18" w14:textId="607DB6A7" w:rsidR="00BA4C5C" w:rsidRPr="003A6407" w:rsidRDefault="00B338F3"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1 386,00</w:t>
            </w:r>
          </w:p>
        </w:tc>
      </w:tr>
      <w:tr w:rsidR="00BA4C5C" w:rsidRPr="003A6407" w14:paraId="46E4EABD" w14:textId="77777777" w:rsidTr="002B58A1">
        <w:trPr>
          <w:trHeight w:val="340"/>
        </w:trPr>
        <w:tc>
          <w:tcPr>
            <w:tcW w:w="5000" w:type="pct"/>
            <w:gridSpan w:val="8"/>
            <w:shd w:val="clear" w:color="auto" w:fill="auto"/>
            <w:vAlign w:val="center"/>
          </w:tcPr>
          <w:p w14:paraId="4B27DD57"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Metodologia:</w:t>
            </w:r>
          </w:p>
          <w:p w14:paraId="53632241"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Wskaźnik realizuje kod interwencji:</w:t>
            </w:r>
          </w:p>
          <w:p w14:paraId="1D25F4AD"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152. Działania na rzecz promowania równości szans i aktywnego udziału w życiu społecznym (5 000 000 EUR)</w:t>
            </w:r>
          </w:p>
          <w:p w14:paraId="54285B40"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Biorąc pod uwagę kurs EUR na poziomie 4,45 suma alokacji na realizację wskaźnika wynosi 22 250 000   PLN.</w:t>
            </w:r>
          </w:p>
          <w:p w14:paraId="2B418E41"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p>
          <w:p w14:paraId="0CFB0B97"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 xml:space="preserve">Historyczny koszt jednostkowy na bazie doświadczeń z perspektywy 2014-2020 wynosi 13 162,06 PLN. Koszt jednostkowy został skorygowany w oparciu o wartość inflacji na poziomie 15% i wynosi 15 136,37 PLN, a obniżony do wartości dofinansowania na poziomie 70% wynosi 10 595,46 PLN; na podstawie tych danych wyliczono wartość wskaźnika. Jednocześnie na podstawie </w:t>
            </w:r>
            <w:proofErr w:type="spellStart"/>
            <w:r w:rsidRPr="00B338F3">
              <w:rPr>
                <w:rFonts w:asciiTheme="minorHAnsi" w:eastAsia="Calibri" w:hAnsiTheme="minorHAnsi" w:cstheme="minorHAnsi"/>
                <w:sz w:val="16"/>
                <w:szCs w:val="16"/>
              </w:rPr>
              <w:t>ryzyk</w:t>
            </w:r>
            <w:proofErr w:type="spellEnd"/>
            <w:r w:rsidRPr="00B338F3">
              <w:rPr>
                <w:rFonts w:asciiTheme="minorHAnsi" w:eastAsia="Calibri" w:hAnsiTheme="minorHAnsi" w:cstheme="minorHAnsi"/>
                <w:sz w:val="16"/>
                <w:szCs w:val="16"/>
              </w:rPr>
              <w:t xml:space="preserve"> związanych z realizacją tego typu projektów określono wskaźnik kompensacji: </w:t>
            </w:r>
          </w:p>
          <w:p w14:paraId="15F84745"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p>
          <w:p w14:paraId="70D2EA5F"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 xml:space="preserve">R: [(1*3)+(4*25)+(2*68)]/7 = 34,14%. Wartość zaokrąglono do pełnej wartości 34%. </w:t>
            </w:r>
          </w:p>
          <w:p w14:paraId="66762337"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p>
          <w:p w14:paraId="5D31D39D"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Wyliczenie:</w:t>
            </w:r>
          </w:p>
          <w:p w14:paraId="5B9017AF"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22 250 000,00  / 10 595,46 * (1 – 0,34) =  1 386    osób.</w:t>
            </w:r>
          </w:p>
          <w:p w14:paraId="41E972C2"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p>
          <w:p w14:paraId="33E462AE"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Należy zwrócić szczególną uwagę na następujące (ogólne) czynniki ryzyka, które mogą mieć wpływ na poziom osiągnięcia założonej wartości docelowej:</w:t>
            </w:r>
          </w:p>
          <w:p w14:paraId="5BAA7DC2"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36A75F6F"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zawieszenie płatności przez KE dla danej osi priorytetowej; (istotność: umiarkowana)</w:t>
            </w:r>
          </w:p>
          <w:p w14:paraId="4E04E4A3"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 xml:space="preserve">czynniki które mogą wpłynąć na harmonogram realizacji planów działania dot. spełnienia warunków wstępnych (ex </w:t>
            </w:r>
            <w:proofErr w:type="spellStart"/>
            <w:r w:rsidRPr="00B338F3">
              <w:rPr>
                <w:rFonts w:asciiTheme="minorHAnsi" w:eastAsia="Calibri" w:hAnsiTheme="minorHAnsi" w:cstheme="minorHAnsi"/>
                <w:sz w:val="16"/>
                <w:szCs w:val="16"/>
              </w:rPr>
              <w:t>ante</w:t>
            </w:r>
            <w:proofErr w:type="spellEnd"/>
            <w:r w:rsidRPr="00B338F3">
              <w:rPr>
                <w:rFonts w:asciiTheme="minorHAnsi" w:eastAsia="Calibri" w:hAnsiTheme="minorHAnsi" w:cstheme="minorHAnsi"/>
                <w:sz w:val="16"/>
                <w:szCs w:val="16"/>
              </w:rPr>
              <w:t>), a które są poza kompetencjami IZ oraz instytucji odpowiedzialnych za spełnienie tych warunków; (istotność: umiarkowana)</w:t>
            </w:r>
          </w:p>
          <w:p w14:paraId="2CC42DB6"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ostateczne ustalenia dot. Występowania i poziomu pomocy publicznej; (istotność: umiarkowana)</w:t>
            </w:r>
          </w:p>
          <w:p w14:paraId="7D1A798D"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opóźnienia, bądź niewykonanie projektu związane z procedurami wynikającymi z zamówień publicznych; (istotność: poważna)</w:t>
            </w:r>
          </w:p>
          <w:p w14:paraId="7BB61FA3"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Z uwagi na specyfikę projektów społecznych należy wziąć pod uwagę kolejne ryzyka szczegółowe:</w:t>
            </w:r>
            <w:r w:rsidRPr="00B338F3">
              <w:rPr>
                <w:rFonts w:asciiTheme="minorHAnsi" w:eastAsia="Calibri" w:hAnsiTheme="minorHAnsi" w:cstheme="minorHAnsi"/>
                <w:sz w:val="16"/>
                <w:szCs w:val="16"/>
              </w:rPr>
              <w:tab/>
            </w:r>
          </w:p>
          <w:p w14:paraId="14E8B584"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ryzyko zmieniającej się ceny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3E8841D3"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ryzyko niezdefiniowane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0C521053"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p>
          <w:p w14:paraId="4348FD5E" w14:textId="77777777" w:rsidR="00B338F3" w:rsidRPr="00B338F3" w:rsidRDefault="00B338F3" w:rsidP="00B338F3">
            <w:pPr>
              <w:shd w:val="clear" w:color="auto" w:fill="FFFFFF"/>
              <w:spacing w:before="60" w:after="60" w:line="240" w:lineRule="auto"/>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t>Uzasadnienie dla celu pośredniego:</w:t>
            </w:r>
          </w:p>
          <w:p w14:paraId="300FFD49" w14:textId="322A5D25" w:rsidR="00BA4C5C" w:rsidRPr="003A6407" w:rsidRDefault="00B338F3" w:rsidP="00B338F3">
            <w:pPr>
              <w:spacing w:after="0" w:line="240" w:lineRule="auto"/>
              <w:contextualSpacing/>
              <w:jc w:val="both"/>
              <w:rPr>
                <w:rFonts w:asciiTheme="minorHAnsi" w:eastAsia="Calibri" w:hAnsiTheme="minorHAnsi" w:cstheme="minorHAnsi"/>
                <w:sz w:val="16"/>
                <w:szCs w:val="16"/>
              </w:rPr>
            </w:pPr>
            <w:r w:rsidRPr="00B338F3">
              <w:rPr>
                <w:rFonts w:asciiTheme="minorHAnsi" w:eastAsia="Calibri" w:hAnsiTheme="minorHAnsi" w:cstheme="minorHAnsi"/>
                <w:sz w:val="16"/>
                <w:szCs w:val="16"/>
              </w:rPr>
              <w:lastRenderedPageBreak/>
              <w:t>Zaplanowany w ramach FEDS 2021-2027 zakres wsparcia w tym celu szczegółowym jest nowym zakresem, który wcześniej, w poprzednich perspektywach nie był realizowany. Wobec powyższego wartość pośrednią ustanawia się</w:t>
            </w:r>
            <w:r w:rsidR="00676111">
              <w:rPr>
                <w:rFonts w:asciiTheme="minorHAnsi" w:eastAsia="Calibri" w:hAnsiTheme="minorHAnsi" w:cstheme="minorHAnsi"/>
                <w:sz w:val="16"/>
                <w:szCs w:val="16"/>
              </w:rPr>
              <w:t xml:space="preserve"> na poziomie 3% wartości docelowej.</w:t>
            </w:r>
            <w:r w:rsidRPr="00B338F3">
              <w:rPr>
                <w:rFonts w:asciiTheme="minorHAnsi" w:eastAsia="Calibri" w:hAnsiTheme="minorHAnsi" w:cstheme="minorHAnsi"/>
                <w:sz w:val="16"/>
                <w:szCs w:val="16"/>
              </w:rPr>
              <w:t>.</w:t>
            </w:r>
          </w:p>
          <w:p w14:paraId="6B521462" w14:textId="77777777" w:rsidR="00BA4C5C" w:rsidRPr="003A6407" w:rsidRDefault="00BA4C5C" w:rsidP="00714E6F">
            <w:pPr>
              <w:spacing w:after="0" w:line="240" w:lineRule="auto"/>
              <w:contextualSpacing/>
              <w:jc w:val="both"/>
              <w:rPr>
                <w:rFonts w:asciiTheme="minorHAnsi" w:eastAsia="Calibri" w:hAnsiTheme="minorHAnsi" w:cstheme="minorHAnsi"/>
                <w:sz w:val="16"/>
                <w:szCs w:val="16"/>
              </w:rPr>
            </w:pPr>
          </w:p>
        </w:tc>
      </w:tr>
    </w:tbl>
    <w:p w14:paraId="570E274E" w14:textId="77777777" w:rsidR="00BA4C5C" w:rsidRPr="003A6407" w:rsidRDefault="00BA4C5C" w:rsidP="00C80351">
      <w:pPr>
        <w:pStyle w:val="Nagwek2"/>
        <w:spacing w:after="200"/>
        <w:rPr>
          <w:rFonts w:asciiTheme="minorHAnsi" w:eastAsia="Times New Roman" w:hAnsiTheme="minorHAnsi" w:cstheme="minorHAnsi"/>
        </w:rPr>
      </w:pPr>
      <w:bookmarkStart w:id="259" w:name="_Toc120464466"/>
      <w:r w:rsidRPr="003A6407">
        <w:rPr>
          <w:rFonts w:asciiTheme="minorHAnsi" w:eastAsia="Times New Roman" w:hAnsiTheme="minorHAnsi" w:cstheme="minorHAnsi"/>
        </w:rPr>
        <w:t>Wskaźniki rezultatu</w:t>
      </w:r>
      <w:bookmarkEnd w:id="259"/>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39"/>
        <w:gridCol w:w="973"/>
        <w:gridCol w:w="555"/>
        <w:gridCol w:w="1398"/>
        <w:gridCol w:w="737"/>
        <w:gridCol w:w="1104"/>
        <w:gridCol w:w="560"/>
        <w:gridCol w:w="699"/>
        <w:gridCol w:w="842"/>
        <w:gridCol w:w="683"/>
      </w:tblGrid>
      <w:tr w:rsidR="00191FE2" w:rsidRPr="003A6407" w14:paraId="38E3C43A" w14:textId="77777777" w:rsidTr="00270B09">
        <w:trPr>
          <w:cantSplit/>
          <w:trHeight w:val="1787"/>
        </w:trPr>
        <w:tc>
          <w:tcPr>
            <w:tcW w:w="670" w:type="dxa"/>
            <w:shd w:val="clear" w:color="auto" w:fill="auto"/>
            <w:vAlign w:val="center"/>
          </w:tcPr>
          <w:p w14:paraId="5506C29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7F63D9D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839" w:type="dxa"/>
            <w:shd w:val="clear" w:color="auto" w:fill="auto"/>
            <w:vAlign w:val="center"/>
          </w:tcPr>
          <w:p w14:paraId="34AA10A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973" w:type="dxa"/>
            <w:shd w:val="clear" w:color="auto" w:fill="auto"/>
            <w:vAlign w:val="center"/>
          </w:tcPr>
          <w:p w14:paraId="7B4D01C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555" w:type="dxa"/>
            <w:shd w:val="clear" w:color="auto" w:fill="auto"/>
            <w:textDirection w:val="btLr"/>
            <w:vAlign w:val="center"/>
          </w:tcPr>
          <w:p w14:paraId="5449EA7C"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98" w:type="dxa"/>
            <w:shd w:val="clear" w:color="auto" w:fill="auto"/>
            <w:vAlign w:val="center"/>
          </w:tcPr>
          <w:p w14:paraId="32B5841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737" w:type="dxa"/>
            <w:shd w:val="clear" w:color="auto" w:fill="auto"/>
            <w:textDirection w:val="btLr"/>
            <w:vAlign w:val="center"/>
          </w:tcPr>
          <w:p w14:paraId="78986507"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1104" w:type="dxa"/>
            <w:shd w:val="clear" w:color="auto" w:fill="auto"/>
            <w:textDirection w:val="btLr"/>
            <w:vAlign w:val="center"/>
          </w:tcPr>
          <w:p w14:paraId="0968AA1E"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560" w:type="dxa"/>
            <w:shd w:val="clear" w:color="auto" w:fill="auto"/>
            <w:textDirection w:val="btLr"/>
            <w:vAlign w:val="center"/>
          </w:tcPr>
          <w:p w14:paraId="0F52FC05"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699" w:type="dxa"/>
            <w:vAlign w:val="center"/>
          </w:tcPr>
          <w:p w14:paraId="7D9B0B5A" w14:textId="77777777" w:rsidR="00BA4C5C" w:rsidRPr="003A6407" w:rsidRDefault="00BA4C5C" w:rsidP="00270B09">
            <w:pPr>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400F7D1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842" w:type="dxa"/>
            <w:vAlign w:val="center"/>
          </w:tcPr>
          <w:p w14:paraId="2D3EF63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Źródło danych [200]</w:t>
            </w:r>
          </w:p>
        </w:tc>
        <w:tc>
          <w:tcPr>
            <w:tcW w:w="683" w:type="dxa"/>
            <w:vAlign w:val="center"/>
          </w:tcPr>
          <w:p w14:paraId="6379209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BA4C5C" w:rsidRPr="003A6407" w14:paraId="33155A01" w14:textId="77777777" w:rsidTr="00270B09">
        <w:trPr>
          <w:trHeight w:val="340"/>
        </w:trPr>
        <w:tc>
          <w:tcPr>
            <w:tcW w:w="670" w:type="dxa"/>
            <w:shd w:val="clear" w:color="auto" w:fill="auto"/>
            <w:vAlign w:val="center"/>
          </w:tcPr>
          <w:p w14:paraId="5BBC809C"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(c)</w:t>
            </w:r>
          </w:p>
          <w:p w14:paraId="14EBC595" w14:textId="7E05F99B" w:rsidR="001C6669" w:rsidRPr="003A6407" w:rsidRDefault="001C6669"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4.3</w:t>
            </w:r>
          </w:p>
        </w:tc>
        <w:tc>
          <w:tcPr>
            <w:tcW w:w="839" w:type="dxa"/>
            <w:shd w:val="clear" w:color="auto" w:fill="auto"/>
            <w:vAlign w:val="center"/>
          </w:tcPr>
          <w:p w14:paraId="340796C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973" w:type="dxa"/>
            <w:shd w:val="clear" w:color="auto" w:fill="auto"/>
            <w:vAlign w:val="center"/>
          </w:tcPr>
          <w:p w14:paraId="2231471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555" w:type="dxa"/>
            <w:shd w:val="clear" w:color="auto" w:fill="auto"/>
            <w:vAlign w:val="center"/>
          </w:tcPr>
          <w:p w14:paraId="5780E032" w14:textId="104EC848" w:rsidR="00BA4C5C" w:rsidRPr="003A6407" w:rsidRDefault="00882F3A" w:rsidP="00270B09">
            <w:pPr>
              <w:shd w:val="clear" w:color="auto" w:fill="FFFFFF"/>
              <w:spacing w:before="120" w:after="120" w:line="240" w:lineRule="auto"/>
              <w:jc w:val="center"/>
              <w:rPr>
                <w:rFonts w:asciiTheme="minorHAnsi" w:eastAsia="Calibri" w:hAnsiTheme="minorHAnsi" w:cstheme="minorHAnsi"/>
                <w:noProof/>
                <w:sz w:val="16"/>
                <w:szCs w:val="16"/>
              </w:rPr>
            </w:pPr>
            <w:r w:rsidRPr="00882F3A">
              <w:rPr>
                <w:rFonts w:asciiTheme="minorHAnsi" w:eastAsia="Calibri" w:hAnsiTheme="minorHAnsi" w:cstheme="minorHAnsi"/>
                <w:noProof/>
                <w:sz w:val="16"/>
                <w:szCs w:val="16"/>
              </w:rPr>
              <w:t>PLCCR01</w:t>
            </w:r>
          </w:p>
        </w:tc>
        <w:tc>
          <w:tcPr>
            <w:tcW w:w="1398" w:type="dxa"/>
            <w:shd w:val="clear" w:color="auto" w:fill="auto"/>
            <w:vAlign w:val="center"/>
          </w:tcPr>
          <w:p w14:paraId="0625C9C4" w14:textId="1E44340D" w:rsidR="00BA4C5C" w:rsidRPr="003A6407" w:rsidRDefault="000F7229" w:rsidP="00270B09">
            <w:pPr>
              <w:keepNext/>
              <w:keepLines/>
              <w:spacing w:before="200" w:after="0"/>
              <w:jc w:val="center"/>
              <w:outlineLvl w:val="2"/>
              <w:rPr>
                <w:rFonts w:asciiTheme="minorHAnsi" w:eastAsia="Calibri" w:hAnsiTheme="minorHAnsi" w:cstheme="minorHAnsi"/>
                <w:noProof/>
                <w:sz w:val="16"/>
                <w:szCs w:val="16"/>
              </w:rPr>
            </w:pPr>
            <w:bookmarkStart w:id="260" w:name="_Toc120464467"/>
            <w:r>
              <w:rPr>
                <w:rFonts w:asciiTheme="minorHAnsi" w:eastAsia="Calibri" w:hAnsiTheme="minorHAnsi" w:cstheme="minorHAnsi"/>
                <w:noProof/>
                <w:sz w:val="16"/>
                <w:szCs w:val="16"/>
              </w:rPr>
              <w:t>L</w:t>
            </w:r>
            <w:r w:rsidRPr="00B338F3">
              <w:rPr>
                <w:rFonts w:asciiTheme="minorHAnsi" w:eastAsia="Calibri" w:hAnsiTheme="minorHAnsi" w:cstheme="minorHAnsi"/>
                <w:noProof/>
                <w:sz w:val="16"/>
                <w:szCs w:val="16"/>
              </w:rPr>
              <w:t xml:space="preserve">iczba </w:t>
            </w:r>
            <w:r w:rsidR="00B338F3" w:rsidRPr="00B338F3">
              <w:rPr>
                <w:rFonts w:asciiTheme="minorHAnsi" w:eastAsia="Calibri" w:hAnsiTheme="minorHAnsi" w:cstheme="minorHAnsi"/>
                <w:noProof/>
                <w:sz w:val="16"/>
                <w:szCs w:val="16"/>
              </w:rPr>
              <w:t>osób, które podniosły poziom wiedzy w zakresie równości kobiet i mężczyzn dzięki wsparciu w programie</w:t>
            </w:r>
            <w:bookmarkEnd w:id="260"/>
          </w:p>
        </w:tc>
        <w:tc>
          <w:tcPr>
            <w:tcW w:w="737" w:type="dxa"/>
            <w:shd w:val="clear" w:color="auto" w:fill="auto"/>
            <w:vAlign w:val="center"/>
          </w:tcPr>
          <w:p w14:paraId="72BA1162" w14:textId="328F8E76" w:rsidR="00BA4C5C" w:rsidRPr="003A6407" w:rsidRDefault="00B338F3"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osoby</w:t>
            </w:r>
          </w:p>
        </w:tc>
        <w:tc>
          <w:tcPr>
            <w:tcW w:w="1104" w:type="dxa"/>
            <w:shd w:val="clear" w:color="auto" w:fill="auto"/>
            <w:vAlign w:val="center"/>
          </w:tcPr>
          <w:p w14:paraId="6739CABE" w14:textId="34F5F06B"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w:t>
            </w:r>
            <w:r w:rsidR="00205D19">
              <w:rPr>
                <w:rFonts w:asciiTheme="minorHAnsi" w:eastAsia="Calibri" w:hAnsiTheme="minorHAnsi" w:cstheme="minorHAnsi"/>
                <w:noProof/>
                <w:sz w:val="16"/>
                <w:szCs w:val="16"/>
              </w:rPr>
              <w:t>,00</w:t>
            </w:r>
          </w:p>
        </w:tc>
        <w:tc>
          <w:tcPr>
            <w:tcW w:w="560" w:type="dxa"/>
            <w:shd w:val="clear" w:color="auto" w:fill="auto"/>
            <w:vAlign w:val="center"/>
          </w:tcPr>
          <w:p w14:paraId="2F23DBD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699" w:type="dxa"/>
            <w:vAlign w:val="center"/>
          </w:tcPr>
          <w:p w14:paraId="0DB510B6" w14:textId="3BC006D0" w:rsidR="00BA4C5C" w:rsidRPr="003A6407" w:rsidRDefault="00B338F3"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970</w:t>
            </w:r>
            <w:r w:rsidR="00205D19">
              <w:rPr>
                <w:rFonts w:asciiTheme="minorHAnsi" w:eastAsia="Calibri" w:hAnsiTheme="minorHAnsi" w:cstheme="minorHAnsi"/>
                <w:noProof/>
                <w:sz w:val="16"/>
                <w:szCs w:val="16"/>
              </w:rPr>
              <w:t>,00</w:t>
            </w:r>
          </w:p>
        </w:tc>
        <w:tc>
          <w:tcPr>
            <w:tcW w:w="842" w:type="dxa"/>
            <w:vAlign w:val="center"/>
          </w:tcPr>
          <w:p w14:paraId="764ECE8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683" w:type="dxa"/>
            <w:vAlign w:val="center"/>
          </w:tcPr>
          <w:p w14:paraId="4856555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54A1C248" w14:textId="77777777" w:rsidTr="002B58A1">
        <w:trPr>
          <w:trHeight w:val="340"/>
        </w:trPr>
        <w:tc>
          <w:tcPr>
            <w:tcW w:w="9060" w:type="dxa"/>
            <w:gridSpan w:val="11"/>
            <w:shd w:val="clear" w:color="auto" w:fill="auto"/>
          </w:tcPr>
          <w:p w14:paraId="0805768D" w14:textId="360194CE" w:rsidR="00BA4C5C" w:rsidRPr="003A6407" w:rsidRDefault="00B338F3" w:rsidP="00B338F3">
            <w:pPr>
              <w:shd w:val="clear" w:color="auto" w:fill="FFFFFF"/>
              <w:spacing w:before="60" w:after="60" w:line="240" w:lineRule="auto"/>
              <w:jc w:val="both"/>
              <w:rPr>
                <w:rFonts w:asciiTheme="minorHAnsi" w:eastAsia="Calibri" w:hAnsiTheme="minorHAnsi" w:cstheme="minorHAnsi"/>
              </w:rPr>
            </w:pPr>
            <w:r w:rsidRPr="00B338F3">
              <w:rPr>
                <w:rFonts w:asciiTheme="minorHAnsi" w:eastAsia="Calibri" w:hAnsiTheme="minorHAnsi" w:cstheme="minorHAnsi"/>
              </w:rPr>
              <w:t>Zakłada się, że wartość docelowa wskaźnika rezultatu to 70% z powyższej wartości wskaźnika produktu: liczba osób objętych wsparciem w zakresie równości kobiet i mężczyzn . Na podstawie danych historycznych RPO WD 2014-2020, gdzie efektywność działań z zakresu nabywania kwalifikacji wynosiła 70%.</w:t>
            </w:r>
          </w:p>
        </w:tc>
      </w:tr>
    </w:tbl>
    <w:p w14:paraId="5CA733CC" w14:textId="77777777" w:rsidR="00BA4C5C" w:rsidRPr="003A6407" w:rsidRDefault="00BA4C5C" w:rsidP="00C80351">
      <w:pPr>
        <w:rPr>
          <w:rFonts w:asciiTheme="minorHAnsi" w:hAnsiTheme="minorHAnsi" w:cstheme="minorHAnsi"/>
        </w:rPr>
      </w:pPr>
    </w:p>
    <w:p w14:paraId="157B0BAD" w14:textId="39899BDE" w:rsidR="00BA4C5C" w:rsidRPr="003A6407" w:rsidRDefault="00BA4C5C" w:rsidP="00421C6D">
      <w:pPr>
        <w:pStyle w:val="Nagwek2"/>
        <w:rPr>
          <w:rFonts w:asciiTheme="minorHAnsi" w:eastAsia="Times New Roman" w:hAnsiTheme="minorHAnsi" w:cstheme="minorHAnsi"/>
        </w:rPr>
      </w:pPr>
      <w:bookmarkStart w:id="261" w:name="_Toc98188980"/>
      <w:bookmarkStart w:id="262" w:name="_Toc120464468"/>
      <w:r w:rsidRPr="003A6407">
        <w:rPr>
          <w:rFonts w:asciiTheme="minorHAnsi" w:eastAsia="Times New Roman" w:hAnsiTheme="minorHAnsi" w:cstheme="minorHAnsi"/>
        </w:rPr>
        <w:t xml:space="preserve">CEL SZCZEGÓŁOWY: </w:t>
      </w:r>
      <w:r w:rsidR="00637C8C" w:rsidRPr="00481640">
        <w:rPr>
          <w:color w:val="000000"/>
          <w:szCs w:val="28"/>
        </w:rPr>
        <w:t>ESO4.4. Wspieranie dostosowania pracowników, przedsiębiorstw i przedsiębiorców do zmian, wspieranie aktywnego i zdrowego starzenia się oraz zdrowego i dobrze dostosowanego środowiska pracy, które uwzględnia zagrożenia dla zdrowia (EFS+)</w:t>
      </w:r>
      <w:bookmarkEnd w:id="261"/>
      <w:bookmarkEnd w:id="262"/>
    </w:p>
    <w:p w14:paraId="2C7BBB46" w14:textId="77777777" w:rsidR="00BA4C5C" w:rsidRPr="003A6407" w:rsidRDefault="00BA4C5C" w:rsidP="00A64FDC">
      <w:pPr>
        <w:pStyle w:val="Nagwek2"/>
        <w:spacing w:after="200"/>
        <w:rPr>
          <w:rFonts w:asciiTheme="minorHAnsi" w:eastAsia="Times New Roman" w:hAnsiTheme="minorHAnsi" w:cstheme="minorHAnsi"/>
        </w:rPr>
      </w:pPr>
      <w:bookmarkStart w:id="263" w:name="_Toc98188981"/>
      <w:bookmarkStart w:id="264" w:name="_Toc120464469"/>
      <w:r w:rsidRPr="003A6407">
        <w:rPr>
          <w:rFonts w:asciiTheme="minorHAnsi" w:eastAsia="Times New Roman" w:hAnsiTheme="minorHAnsi" w:cstheme="minorHAnsi"/>
        </w:rPr>
        <w:t>Wskaźniki produktu</w:t>
      </w:r>
      <w:bookmarkEnd w:id="263"/>
      <w:bookmarkEnd w:id="264"/>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191FE2" w:rsidRPr="003A6407" w14:paraId="048BD387" w14:textId="77777777" w:rsidTr="00270B09">
        <w:trPr>
          <w:cantSplit/>
          <w:trHeight w:val="1647"/>
        </w:trPr>
        <w:tc>
          <w:tcPr>
            <w:tcW w:w="451" w:type="pct"/>
            <w:shd w:val="clear" w:color="auto" w:fill="auto"/>
            <w:vAlign w:val="center"/>
          </w:tcPr>
          <w:p w14:paraId="21CC349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20A354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4CAA0BD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3295931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423" w:type="pct"/>
            <w:shd w:val="clear" w:color="auto" w:fill="auto"/>
            <w:textDirection w:val="btLr"/>
            <w:vAlign w:val="center"/>
          </w:tcPr>
          <w:p w14:paraId="2F38E4F3"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48" w:type="pct"/>
            <w:shd w:val="clear" w:color="auto" w:fill="auto"/>
            <w:vAlign w:val="center"/>
          </w:tcPr>
          <w:p w14:paraId="34B400F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7895D08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266DD23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5E26558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7FAC1C2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08C18EB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4F1E1CE4" w14:textId="77777777" w:rsidTr="00270B09">
        <w:trPr>
          <w:trHeight w:val="340"/>
        </w:trPr>
        <w:tc>
          <w:tcPr>
            <w:tcW w:w="451" w:type="pct"/>
            <w:shd w:val="clear" w:color="auto" w:fill="auto"/>
            <w:vAlign w:val="center"/>
          </w:tcPr>
          <w:p w14:paraId="4196B7F0"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(d)</w:t>
            </w:r>
          </w:p>
          <w:p w14:paraId="033E9081" w14:textId="5CFF4E73"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4.4</w:t>
            </w:r>
          </w:p>
        </w:tc>
        <w:tc>
          <w:tcPr>
            <w:tcW w:w="494" w:type="pct"/>
            <w:shd w:val="clear" w:color="auto" w:fill="auto"/>
            <w:vAlign w:val="center"/>
          </w:tcPr>
          <w:p w14:paraId="123A49A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61286CA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423" w:type="pct"/>
            <w:shd w:val="clear" w:color="auto" w:fill="auto"/>
            <w:vAlign w:val="center"/>
          </w:tcPr>
          <w:p w14:paraId="66DC289D" w14:textId="6F2D7115"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PLD</w:t>
            </w:r>
            <w:r w:rsidR="001B0178">
              <w:rPr>
                <w:rFonts w:asciiTheme="minorHAnsi" w:eastAsia="Calibri" w:hAnsiTheme="minorHAnsi" w:cstheme="minorHAnsi"/>
                <w:noProof/>
                <w:sz w:val="16"/>
                <w:szCs w:val="16"/>
              </w:rPr>
              <w:t>CO08</w:t>
            </w:r>
          </w:p>
        </w:tc>
        <w:tc>
          <w:tcPr>
            <w:tcW w:w="1348" w:type="pct"/>
            <w:shd w:val="clear" w:color="auto" w:fill="auto"/>
            <w:vAlign w:val="center"/>
          </w:tcPr>
          <w:p w14:paraId="270EFDDB" w14:textId="398DA7DF"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265" w:name="_Toc120464470"/>
            <w:r w:rsidRPr="003A6407">
              <w:rPr>
                <w:rFonts w:asciiTheme="minorHAnsi" w:eastAsia="Times New Roman" w:hAnsiTheme="minorHAnsi" w:cstheme="minorHAnsi"/>
                <w:bCs/>
                <w:noProof/>
              </w:rPr>
              <w:t>Liczba osób objętych wsparciem w obszarze zdrowia</w:t>
            </w:r>
            <w:bookmarkEnd w:id="265"/>
          </w:p>
        </w:tc>
        <w:tc>
          <w:tcPr>
            <w:tcW w:w="549" w:type="pct"/>
            <w:shd w:val="clear" w:color="auto" w:fill="auto"/>
            <w:vAlign w:val="center"/>
          </w:tcPr>
          <w:p w14:paraId="052D86D7" w14:textId="3D581FE0" w:rsidR="00BA4C5C" w:rsidRPr="003A6407" w:rsidRDefault="001B0178"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osoby</w:t>
            </w:r>
          </w:p>
        </w:tc>
        <w:tc>
          <w:tcPr>
            <w:tcW w:w="627" w:type="pct"/>
            <w:shd w:val="clear" w:color="auto" w:fill="auto"/>
            <w:vAlign w:val="center"/>
          </w:tcPr>
          <w:p w14:paraId="3E9A9623" w14:textId="6BC256A6" w:rsidR="00BA4C5C" w:rsidRPr="003A6407" w:rsidRDefault="003501B2"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544</w:t>
            </w:r>
            <w:r w:rsidR="003B55F7" w:rsidRPr="003A6407">
              <w:rPr>
                <w:rFonts w:asciiTheme="minorHAnsi" w:eastAsia="Calibri" w:hAnsiTheme="minorHAnsi" w:cstheme="minorHAnsi"/>
                <w:noProof/>
                <w:sz w:val="16"/>
                <w:szCs w:val="16"/>
              </w:rPr>
              <w:t>,00</w:t>
            </w:r>
          </w:p>
        </w:tc>
        <w:tc>
          <w:tcPr>
            <w:tcW w:w="550" w:type="pct"/>
            <w:shd w:val="clear" w:color="auto" w:fill="auto"/>
            <w:vAlign w:val="center"/>
          </w:tcPr>
          <w:p w14:paraId="4B7E80C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16 322,00</w:t>
            </w:r>
          </w:p>
        </w:tc>
      </w:tr>
      <w:tr w:rsidR="00BA4C5C" w:rsidRPr="003A6407" w14:paraId="40C16E78" w14:textId="77777777" w:rsidTr="00270B09">
        <w:trPr>
          <w:trHeight w:val="340"/>
        </w:trPr>
        <w:tc>
          <w:tcPr>
            <w:tcW w:w="5000" w:type="pct"/>
            <w:gridSpan w:val="8"/>
            <w:shd w:val="clear" w:color="auto" w:fill="auto"/>
          </w:tcPr>
          <w:p w14:paraId="51473A2F"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348FF15F"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112B8A41" w14:textId="77777777" w:rsidR="00BA4C5C" w:rsidRPr="003A6407" w:rsidRDefault="00BA4C5C" w:rsidP="00F20BCD">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147 Działania zachęcające do aktywnego starzenia się w dobrym zdrowiu (3 250 000 EUR).</w:t>
            </w:r>
          </w:p>
          <w:p w14:paraId="4E6390B1"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14 462 500 PLN.</w:t>
            </w:r>
          </w:p>
          <w:p w14:paraId="5CB2AF2A"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Historyczny koszt jednostkowy na bazie doświadczeń z perspektywy 2014-2020 wynosi 638,42 PLN. Koszt jednostkowy został skorygowany w oparciu o wartość inflacji na poziomie 15% i wynosi 734,19 PLN, a obniżony do wartości dofinansowania na poziomie 70% wynosi 513,93 PLN; na podstawie tych danych wyliczono wartość wskaźnika.</w:t>
            </w:r>
            <w:r w:rsidRPr="003A6407">
              <w:rPr>
                <w:rFonts w:asciiTheme="minorHAnsi" w:hAnsiTheme="minorHAnsi" w:cstheme="minorHAnsi"/>
              </w:rPr>
              <w:t xml:space="preserve"> </w:t>
            </w: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4DF6C86E"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R: (6*25)+(4*68)/10 = 42,2%. Wartość zaokrąglono do pełnej wartości 42%.</w:t>
            </w:r>
          </w:p>
          <w:p w14:paraId="0F740C90"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Wyliczenie:</w:t>
            </w:r>
          </w:p>
          <w:p w14:paraId="7212B9AA"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14 462 500 / 513,93 * (1 – 0,42) = 16 322 sztuk.</w:t>
            </w:r>
          </w:p>
          <w:p w14:paraId="5369A84A"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p>
          <w:p w14:paraId="176A10B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Należy zwrócić szczególną uwagę na następujące (ogólne) czynniki ryzyka, które mogą mieć wpływ na poziom osiągnięcia założonej wartości docelowej:</w:t>
            </w:r>
          </w:p>
          <w:p w14:paraId="5B0F797E" w14:textId="37F5D084"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w:t>
            </w:r>
            <w:r w:rsidRPr="003A6407">
              <w:rPr>
                <w:rFonts w:asciiTheme="minorHAnsi" w:eastAsia="Calibri" w:hAnsiTheme="minorHAnsi" w:cstheme="minorHAnsi"/>
              </w:rPr>
              <w:tab/>
            </w:r>
            <w:r w:rsidRPr="003A6407">
              <w:rPr>
                <w:rFonts w:asciiTheme="minorHAnsi" w:eastAsia="Calibri" w:hAnsiTheme="minorHAnsi" w:cstheme="minorHAnsi"/>
                <w:b/>
                <w:bCs/>
              </w:rPr>
              <w:t>ryzyko walutowe</w:t>
            </w:r>
            <w:r w:rsidRPr="003A6407">
              <w:rPr>
                <w:rFonts w:asciiTheme="minorHAnsi" w:eastAsia="Calibri" w:hAnsiTheme="minorHAnsi" w:cstheme="minorHAns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w skutek, którego wartość euro w stosunku do złotego znacznie wzrosła; (</w:t>
            </w:r>
            <w:r w:rsidRPr="003A6407">
              <w:rPr>
                <w:rFonts w:asciiTheme="minorHAnsi" w:hAnsiTheme="minorHAnsi"/>
              </w:rPr>
              <w:t>istotność: poważna</w:t>
            </w:r>
            <w:r w:rsidRPr="003A6407">
              <w:rPr>
                <w:rFonts w:asciiTheme="minorHAnsi" w:eastAsia="Calibri" w:hAnsiTheme="minorHAnsi" w:cstheme="minorHAnsi"/>
              </w:rPr>
              <w:t>)</w:t>
            </w:r>
          </w:p>
          <w:p w14:paraId="7BB4C823"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2.</w:t>
            </w:r>
            <w:r w:rsidRPr="003A6407">
              <w:rPr>
                <w:rFonts w:asciiTheme="minorHAnsi" w:eastAsia="Calibri" w:hAnsiTheme="minorHAnsi" w:cstheme="minorHAnsi"/>
              </w:rPr>
              <w:tab/>
              <w:t xml:space="preserve">zawieszenie </w:t>
            </w:r>
            <w:r w:rsidRPr="003A6407">
              <w:rPr>
                <w:rFonts w:asciiTheme="minorHAnsi" w:eastAsia="Calibri" w:hAnsiTheme="minorHAnsi" w:cstheme="minorHAnsi"/>
                <w:b/>
                <w:bCs/>
              </w:rPr>
              <w:t>płatności przez KE</w:t>
            </w:r>
            <w:r w:rsidRPr="003A6407">
              <w:rPr>
                <w:rFonts w:asciiTheme="minorHAnsi" w:eastAsia="Calibri" w:hAnsiTheme="minorHAnsi" w:cstheme="minorHAnsi"/>
              </w:rPr>
              <w:t xml:space="preserve"> dla danej osi priorytetowej (istotność: umiarkowana)</w:t>
            </w:r>
          </w:p>
          <w:p w14:paraId="616EE019"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3.</w:t>
            </w:r>
            <w:r w:rsidRPr="003A6407">
              <w:rPr>
                <w:rFonts w:asciiTheme="minorHAnsi" w:eastAsia="Calibri" w:hAnsiTheme="minorHAnsi" w:cstheme="minorHAnsi"/>
              </w:rPr>
              <w:tab/>
              <w:t xml:space="preserve">czynniki które mogą wpłynąć na harmonogram realizacji planów działania dot. spełnienia </w:t>
            </w:r>
            <w:r w:rsidRPr="003A6407">
              <w:rPr>
                <w:rFonts w:asciiTheme="minorHAnsi" w:eastAsia="Calibri" w:hAnsiTheme="minorHAnsi" w:cstheme="minorHAnsi"/>
                <w:b/>
                <w:bCs/>
              </w:rPr>
              <w:t xml:space="preserve">warunków wstępnych (ex </w:t>
            </w:r>
            <w:proofErr w:type="spellStart"/>
            <w:r w:rsidRPr="003A6407">
              <w:rPr>
                <w:rFonts w:asciiTheme="minorHAnsi" w:eastAsia="Calibri" w:hAnsiTheme="minorHAnsi" w:cstheme="minorHAnsi"/>
                <w:b/>
                <w:bCs/>
              </w:rPr>
              <w:t>ante</w:t>
            </w:r>
            <w:proofErr w:type="spellEnd"/>
            <w:r w:rsidRPr="003A6407">
              <w:rPr>
                <w:rFonts w:asciiTheme="minorHAnsi" w:eastAsia="Calibri" w:hAnsiTheme="minorHAnsi" w:cstheme="minorHAnsi"/>
                <w:b/>
                <w:bCs/>
              </w:rPr>
              <w:t>)</w:t>
            </w:r>
            <w:r w:rsidRPr="003A6407">
              <w:rPr>
                <w:rFonts w:asciiTheme="minorHAnsi" w:eastAsia="Calibri" w:hAnsiTheme="minorHAnsi" w:cstheme="minorHAnsi"/>
              </w:rPr>
              <w:t>, a które są poza kompetencjami IZ oraz instytucji odpowiedzialnych za spełnienie tych warunków (istotność: umiarkowana)</w:t>
            </w:r>
          </w:p>
          <w:p w14:paraId="759802CF"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4.</w:t>
            </w:r>
            <w:r w:rsidRPr="003A6407">
              <w:rPr>
                <w:rFonts w:asciiTheme="minorHAnsi" w:eastAsia="Calibri" w:hAnsiTheme="minorHAnsi" w:cstheme="minorHAnsi"/>
              </w:rPr>
              <w:tab/>
              <w:t xml:space="preserve">opóźnienia, bądź niewykonanie projektu związane z procedurami wynikającymi z </w:t>
            </w:r>
            <w:r w:rsidRPr="003A6407">
              <w:rPr>
                <w:rFonts w:asciiTheme="minorHAnsi" w:eastAsia="Calibri" w:hAnsiTheme="minorHAnsi" w:cstheme="minorHAnsi"/>
                <w:b/>
                <w:bCs/>
              </w:rPr>
              <w:t>zamówień publicznych</w:t>
            </w:r>
            <w:r w:rsidRPr="003A6407">
              <w:rPr>
                <w:rFonts w:asciiTheme="minorHAnsi" w:eastAsia="Calibri" w:hAnsiTheme="minorHAnsi" w:cstheme="minorHAnsi"/>
              </w:rPr>
              <w:t xml:space="preserve"> (istotność: </w:t>
            </w:r>
            <w:r w:rsidRPr="003A6407">
              <w:rPr>
                <w:rFonts w:asciiTheme="minorHAnsi" w:hAnsiTheme="minorHAnsi"/>
              </w:rPr>
              <w:t>poważna)</w:t>
            </w:r>
          </w:p>
          <w:p w14:paraId="63B0B655"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5.</w:t>
            </w:r>
            <w:r w:rsidRPr="003A6407">
              <w:rPr>
                <w:rFonts w:asciiTheme="minorHAnsi" w:eastAsia="Calibri" w:hAnsiTheme="minorHAnsi" w:cstheme="minorHAnsi"/>
              </w:rPr>
              <w:tab/>
              <w:t xml:space="preserve">wpływ pandemii </w:t>
            </w:r>
            <w:r w:rsidRPr="003A6407">
              <w:rPr>
                <w:rFonts w:asciiTheme="minorHAnsi" w:eastAsia="Calibri" w:hAnsiTheme="minorHAnsi" w:cstheme="minorHAnsi"/>
                <w:b/>
                <w:bCs/>
              </w:rPr>
              <w:t>koronawirusa SARS-CoV-2</w:t>
            </w:r>
            <w:r w:rsidRPr="003A6407">
              <w:rPr>
                <w:rFonts w:asciiTheme="minorHAnsi" w:eastAsia="Calibri" w:hAnsiTheme="minorHAnsi" w:cstheme="minorHAnsi"/>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0D4FD3E4"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 uwagi na specyfikę projektów społecznych należy wziąć pod uwagę kolejne ryzyka szczegółowe:</w:t>
            </w:r>
            <w:r w:rsidRPr="003A6407">
              <w:rPr>
                <w:rFonts w:asciiTheme="minorHAnsi" w:eastAsia="Calibri" w:hAnsiTheme="minorHAnsi" w:cstheme="minorHAnsi"/>
              </w:rPr>
              <w:tab/>
            </w:r>
          </w:p>
          <w:p w14:paraId="4A8092B7" w14:textId="6C4D3264"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w:t>
            </w:r>
            <w:r w:rsidRPr="003A6407">
              <w:rPr>
                <w:rFonts w:asciiTheme="minorHAnsi" w:eastAsia="Calibri" w:hAnsiTheme="minorHAnsi" w:cstheme="minorHAnsi"/>
              </w:rPr>
              <w:tab/>
            </w:r>
            <w:r w:rsidRPr="003A6407">
              <w:rPr>
                <w:rFonts w:asciiTheme="minorHAnsi" w:eastAsia="Calibri" w:hAnsiTheme="minorHAnsi" w:cstheme="minorHAnsi"/>
                <w:b/>
                <w:bCs/>
              </w:rPr>
              <w:t>możliwość reagowania na skutek dynamicznie zachodzących zmian sytuacji społeczno-gospodarczej</w:t>
            </w:r>
            <w:r w:rsidRPr="003A6407">
              <w:rPr>
                <w:rFonts w:asciiTheme="minorHAnsi" w:eastAsia="Calibri" w:hAnsiTheme="minorHAnsi" w:cstheme="minorHAnsi"/>
              </w:rPr>
              <w:t xml:space="preserve"> – należy zachować możliwość elastycznego wyboru typu udzielanego wsparcia w zależności od danej sytuacji oraz pojawiających się nowych wyzwań. I</w:t>
            </w:r>
            <w:r w:rsidRPr="003A6407">
              <w:rPr>
                <w:rFonts w:asciiTheme="minorHAnsi" w:hAnsiTheme="minorHAnsi"/>
              </w:rPr>
              <w:t>stnieje ryzyko, iż w skutek nieoczekiwanych zmian gospodarczyc</w:t>
            </w:r>
            <w:r w:rsidRPr="003A6407">
              <w:rPr>
                <w:rFonts w:asciiTheme="minorHAnsi" w:eastAsia="Calibri" w:hAnsiTheme="minorHAnsi" w:cstheme="minorHAnsi"/>
              </w:rPr>
              <w:t>h lub społecznych, zaplanowana forma wsparcia (na którą odpowiada wskaźnik) nie będzie cieszyła się powodzeniem beneficjentów. Należy mieć wówczas możliwość kierowania wsparcia w ramach innego typu przedsięwzięcia, bez obawy nieosiągnięcia zaplanowanego do osiągnięcia wskaźnika; (istotność: umiarkowana)</w:t>
            </w:r>
          </w:p>
          <w:p w14:paraId="41895BDC"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2.</w:t>
            </w:r>
            <w:r w:rsidRPr="003A6407">
              <w:rPr>
                <w:rFonts w:asciiTheme="minorHAnsi" w:eastAsia="Calibri" w:hAnsiTheme="minorHAnsi" w:cstheme="minorHAnsi"/>
              </w:rPr>
              <w:tab/>
            </w:r>
            <w:r w:rsidRPr="003A6407">
              <w:rPr>
                <w:rFonts w:asciiTheme="minorHAnsi" w:eastAsia="Calibri" w:hAnsiTheme="minorHAnsi" w:cstheme="minorHAnsi"/>
                <w:b/>
                <w:bCs/>
              </w:rPr>
              <w:t>ryzyko zmieniającej się ceny</w:t>
            </w:r>
            <w:r w:rsidRPr="003A6407">
              <w:rPr>
                <w:rFonts w:asciiTheme="minorHAnsi" w:eastAsia="Calibri" w:hAnsiTheme="minorHAnsi" w:cstheme="minorHAnsi"/>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D95D78B"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3.</w:t>
            </w:r>
            <w:r w:rsidRPr="003A6407">
              <w:rPr>
                <w:rFonts w:asciiTheme="minorHAnsi" w:eastAsia="Calibri" w:hAnsiTheme="minorHAnsi" w:cstheme="minorHAnsi"/>
              </w:rPr>
              <w:tab/>
            </w:r>
            <w:r w:rsidRPr="003A6407">
              <w:rPr>
                <w:rFonts w:asciiTheme="minorHAnsi" w:eastAsia="Calibri" w:hAnsiTheme="minorHAnsi" w:cstheme="minorHAnsi"/>
                <w:b/>
                <w:bCs/>
              </w:rPr>
              <w:t>ryzyko realizacji projektów o niższej efektywności niż dotychczas</w:t>
            </w:r>
            <w:r w:rsidRPr="003A6407">
              <w:rPr>
                <w:rFonts w:asciiTheme="minorHAnsi" w:eastAsia="Calibri" w:hAnsiTheme="minorHAnsi" w:cstheme="minorHAnsi"/>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087ADA6C"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4.</w:t>
            </w:r>
            <w:r w:rsidRPr="003A6407">
              <w:rPr>
                <w:rFonts w:asciiTheme="minorHAnsi" w:eastAsia="Calibri" w:hAnsiTheme="minorHAnsi" w:cstheme="minorHAnsi"/>
              </w:rPr>
              <w:tab/>
            </w:r>
            <w:r w:rsidRPr="003A6407">
              <w:rPr>
                <w:rFonts w:asciiTheme="minorHAnsi" w:eastAsia="Calibri" w:hAnsiTheme="minorHAnsi" w:cstheme="minorHAnsi"/>
                <w:b/>
                <w:bCs/>
              </w:rPr>
              <w:t>ryzyko wniesienia wkładu własnego przez beneficjentów</w:t>
            </w:r>
            <w:r w:rsidRPr="003A6407">
              <w:rPr>
                <w:rFonts w:asciiTheme="minorHAnsi" w:eastAsia="Calibri" w:hAnsiTheme="minorHAnsi" w:cstheme="minorHAnsi"/>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w:t>
            </w:r>
            <w:r w:rsidRPr="003A6407">
              <w:rPr>
                <w:rFonts w:asciiTheme="minorHAnsi" w:hAnsiTheme="minorHAnsi"/>
              </w:rPr>
              <w:t>istotność: poważna)</w:t>
            </w:r>
          </w:p>
          <w:p w14:paraId="1891412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5.</w:t>
            </w:r>
            <w:r w:rsidRPr="003A6407">
              <w:rPr>
                <w:rFonts w:asciiTheme="minorHAnsi" w:eastAsia="Calibri" w:hAnsiTheme="minorHAnsi" w:cstheme="minorHAnsi"/>
              </w:rPr>
              <w:tab/>
              <w:t xml:space="preserve">w Perspektywie 2014-2020 występowały </w:t>
            </w:r>
            <w:r w:rsidRPr="003A6407">
              <w:rPr>
                <w:rFonts w:asciiTheme="minorHAnsi" w:eastAsia="Calibri" w:hAnsiTheme="minorHAnsi" w:cstheme="minorHAnsi"/>
                <w:b/>
                <w:bCs/>
              </w:rPr>
              <w:t>opóźnienia we wdrażaniu programów zdrowotnych</w:t>
            </w:r>
            <w:r w:rsidRPr="003A6407">
              <w:rPr>
                <w:rFonts w:asciiTheme="minorHAnsi" w:eastAsia="Calibri" w:hAnsiTheme="minorHAnsi" w:cstheme="minorHAnsi"/>
              </w:rPr>
              <w:t>. Programy późno uzyskały pozytywną opinię Agencji Opiniowania Technologii Medycznych i Taryfikacji. Istniało poważne ryzyko nieosiągnięcia wartości docelowej wskaźnika (</w:t>
            </w:r>
            <w:r w:rsidRPr="003A6407">
              <w:rPr>
                <w:rFonts w:asciiTheme="minorHAnsi" w:hAnsiTheme="minorHAnsi"/>
              </w:rPr>
              <w:t>istotność: poważna).</w:t>
            </w:r>
          </w:p>
          <w:p w14:paraId="53D8CDB6" w14:textId="77777777" w:rsidR="00103C7A" w:rsidRPr="003A6407" w:rsidRDefault="00103C7A" w:rsidP="00270B09">
            <w:pPr>
              <w:shd w:val="clear" w:color="auto" w:fill="FFFFFF"/>
              <w:spacing w:before="60" w:after="60" w:line="240" w:lineRule="auto"/>
              <w:jc w:val="both"/>
              <w:rPr>
                <w:rFonts w:asciiTheme="minorHAnsi" w:eastAsia="Calibri" w:hAnsiTheme="minorHAnsi" w:cstheme="minorHAnsi"/>
              </w:rPr>
            </w:pPr>
          </w:p>
          <w:p w14:paraId="3F58A3E5" w14:textId="77777777" w:rsidR="00103C7A" w:rsidRPr="003A6407" w:rsidRDefault="00103C7A" w:rsidP="00103C7A">
            <w:pPr>
              <w:spacing w:after="0" w:line="240" w:lineRule="auto"/>
              <w:contextualSpacing/>
              <w:jc w:val="both"/>
              <w:rPr>
                <w:rFonts w:eastAsia="Calibri" w:cs="Times New Roman"/>
                <w:b/>
                <w:bCs/>
                <w:color w:val="000000"/>
              </w:rPr>
            </w:pPr>
            <w:r w:rsidRPr="003A6407">
              <w:rPr>
                <w:rFonts w:eastAsia="Calibri" w:cs="Times New Roman"/>
                <w:b/>
                <w:bCs/>
                <w:color w:val="000000"/>
              </w:rPr>
              <w:lastRenderedPageBreak/>
              <w:t>Uzasadnienie dla celu pośredniego:</w:t>
            </w:r>
          </w:p>
          <w:p w14:paraId="3D854C52" w14:textId="2B6043C9" w:rsidR="00103C7A" w:rsidRPr="003A6407" w:rsidRDefault="00103C7A" w:rsidP="00103C7A">
            <w:pPr>
              <w:shd w:val="clear" w:color="auto" w:fill="FFFFFF"/>
              <w:spacing w:before="60" w:after="60" w:line="240" w:lineRule="auto"/>
              <w:jc w:val="both"/>
              <w:rPr>
                <w:rFonts w:asciiTheme="minorHAnsi" w:eastAsia="Calibri" w:hAnsiTheme="minorHAnsi" w:cstheme="minorHAnsi"/>
                <w:b/>
                <w:bCs/>
              </w:rPr>
            </w:pPr>
            <w:r w:rsidRPr="003A6407">
              <w:rPr>
                <w:rFonts w:asciiTheme="minorHAnsi" w:eastAsia="Calibri" w:hAnsiTheme="minorHAnsi" w:cstheme="minorHAnsi"/>
                <w:b/>
                <w:bCs/>
              </w:rPr>
              <w:t xml:space="preserve">Przeanalizowano dane historyczne z wdrażania RPO WD 2014-2020 (PI 8vi), na podstawie Sprawozdania rocznego z 2021 r. dla projektów o podobnym zakresie wsparcia. </w:t>
            </w:r>
          </w:p>
          <w:p w14:paraId="3DCDC6D2" w14:textId="100E9A49" w:rsidR="00103C7A" w:rsidRPr="003A6407" w:rsidRDefault="00103C7A" w:rsidP="00103C7A">
            <w:pPr>
              <w:shd w:val="clear" w:color="auto" w:fill="FFFFFF"/>
              <w:spacing w:before="60" w:after="60" w:line="240" w:lineRule="auto"/>
              <w:jc w:val="both"/>
              <w:rPr>
                <w:rFonts w:asciiTheme="minorHAnsi" w:eastAsia="Calibri" w:hAnsiTheme="minorHAnsi" w:cstheme="minorHAnsi"/>
                <w:b/>
                <w:bCs/>
              </w:rPr>
            </w:pPr>
            <w:r w:rsidRPr="003A6407">
              <w:rPr>
                <w:rFonts w:asciiTheme="minorHAnsi" w:eastAsia="Calibri" w:hAnsiTheme="minorHAnsi" w:cstheme="minorHAnsi"/>
                <w:b/>
                <w:bCs/>
              </w:rPr>
              <w:t>Zgodnie z danymi ze sprawozdania rocznego za 2021 rok z realizacji RPO WD 2014-2020 wskaźnik pn.</w:t>
            </w:r>
            <w:r w:rsidR="00577456" w:rsidRPr="003A6407">
              <w:rPr>
                <w:rFonts w:asciiTheme="minorHAnsi" w:eastAsia="Calibri" w:hAnsiTheme="minorHAnsi" w:cstheme="minorHAnsi"/>
                <w:b/>
                <w:bCs/>
              </w:rPr>
              <w:t xml:space="preserve"> </w:t>
            </w:r>
            <w:r w:rsidRPr="003A6407">
              <w:rPr>
                <w:rFonts w:asciiTheme="minorHAnsi" w:eastAsia="Calibri" w:hAnsiTheme="minorHAnsi" w:cstheme="minorHAnsi"/>
                <w:b/>
                <w:bCs/>
              </w:rPr>
              <w:t xml:space="preserve">Liczba osób objętych programem zdrowotnym dzięki EFS dopiero w 2017 r. osiągnął wartość 5 991, co wobec wartości z wykonania na 2021 r. (75 528) stanowi zaledwie 7,93 %. </w:t>
            </w:r>
          </w:p>
          <w:p w14:paraId="1B41A9EE" w14:textId="7CFC495A" w:rsidR="003501B2" w:rsidRPr="003A6407" w:rsidRDefault="003501B2" w:rsidP="00103C7A">
            <w:pPr>
              <w:shd w:val="clear" w:color="auto" w:fill="FFFFFF"/>
              <w:spacing w:before="60" w:after="60" w:line="240" w:lineRule="auto"/>
              <w:jc w:val="both"/>
              <w:rPr>
                <w:rFonts w:asciiTheme="minorHAnsi" w:eastAsia="Calibri" w:hAnsiTheme="minorHAnsi" w:cstheme="minorHAnsi"/>
                <w:b/>
                <w:bCs/>
              </w:rPr>
            </w:pPr>
            <w:r w:rsidRPr="003A6407">
              <w:rPr>
                <w:rFonts w:asciiTheme="minorHAnsi" w:eastAsia="Calibri" w:hAnsiTheme="minorHAnsi" w:cstheme="minorHAnsi"/>
                <w:b/>
                <w:bCs/>
              </w:rPr>
              <w:t>Wobec powyższego dla wartości pośredniej wskaźnika zastosowano tożsamy wskaźnik kompensacji w wysokości 42%. tj. wartość pośrednia będzie równa 3,33% wartości docelowej i wyniesie: 544 .</w:t>
            </w:r>
          </w:p>
          <w:p w14:paraId="6C1A1C6D" w14:textId="0EC98E27" w:rsidR="00103C7A" w:rsidRPr="003A6407" w:rsidRDefault="00103C7A" w:rsidP="00103C7A">
            <w:pPr>
              <w:shd w:val="clear" w:color="auto" w:fill="FFFFFF"/>
              <w:spacing w:before="60" w:after="60" w:line="240" w:lineRule="auto"/>
              <w:jc w:val="both"/>
              <w:rPr>
                <w:rFonts w:asciiTheme="minorHAnsi" w:eastAsia="Calibri" w:hAnsiTheme="minorHAnsi" w:cstheme="minorHAnsi"/>
              </w:rPr>
            </w:pPr>
          </w:p>
        </w:tc>
      </w:tr>
    </w:tbl>
    <w:p w14:paraId="57B7C896" w14:textId="77777777" w:rsidR="00BA4C5C" w:rsidRPr="003A6407" w:rsidRDefault="00BA4C5C" w:rsidP="00136DAF">
      <w:pPr>
        <w:keepNext/>
        <w:keepLines/>
        <w:spacing w:before="120" w:after="120"/>
        <w:jc w:val="both"/>
        <w:outlineLvl w:val="2"/>
        <w:rPr>
          <w:rFonts w:asciiTheme="minorHAnsi" w:eastAsia="Times New Roman" w:hAnsiTheme="minorHAnsi" w:cstheme="minorHAnsi"/>
          <w:b/>
          <w:bCs/>
          <w:color w:val="4472C4"/>
        </w:rPr>
      </w:pPr>
      <w:bookmarkStart w:id="266" w:name="_Hlk94787962"/>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631"/>
        <w:gridCol w:w="920"/>
        <w:gridCol w:w="698"/>
        <w:gridCol w:w="2223"/>
        <w:gridCol w:w="906"/>
        <w:gridCol w:w="1035"/>
        <w:gridCol w:w="902"/>
      </w:tblGrid>
      <w:tr w:rsidR="00191FE2" w:rsidRPr="003A6407" w14:paraId="35059883" w14:textId="77777777" w:rsidTr="00270B09">
        <w:trPr>
          <w:cantSplit/>
          <w:trHeight w:val="1647"/>
        </w:trPr>
        <w:tc>
          <w:tcPr>
            <w:tcW w:w="411" w:type="pct"/>
            <w:shd w:val="clear" w:color="auto" w:fill="auto"/>
            <w:vAlign w:val="center"/>
          </w:tcPr>
          <w:p w14:paraId="4096F7E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7AB1822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900" w:type="pct"/>
            <w:vAlign w:val="center"/>
          </w:tcPr>
          <w:p w14:paraId="06DC051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08" w:type="pct"/>
            <w:shd w:val="clear" w:color="auto" w:fill="auto"/>
            <w:vAlign w:val="center"/>
          </w:tcPr>
          <w:p w14:paraId="41BB157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85" w:type="pct"/>
            <w:shd w:val="clear" w:color="auto" w:fill="auto"/>
            <w:textDirection w:val="btLr"/>
            <w:vAlign w:val="center"/>
          </w:tcPr>
          <w:p w14:paraId="4132A01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227" w:type="pct"/>
            <w:shd w:val="clear" w:color="auto" w:fill="auto"/>
            <w:vAlign w:val="center"/>
          </w:tcPr>
          <w:p w14:paraId="4E3363F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00" w:type="pct"/>
            <w:shd w:val="clear" w:color="auto" w:fill="auto"/>
            <w:vAlign w:val="center"/>
          </w:tcPr>
          <w:p w14:paraId="249013D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71" w:type="pct"/>
            <w:shd w:val="clear" w:color="auto" w:fill="auto"/>
            <w:vAlign w:val="center"/>
          </w:tcPr>
          <w:p w14:paraId="4655EFA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69D7BD9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98" w:type="pct"/>
            <w:shd w:val="clear" w:color="auto" w:fill="auto"/>
            <w:vAlign w:val="center"/>
          </w:tcPr>
          <w:p w14:paraId="1492627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4ED74F2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20F8D011" w14:textId="77777777" w:rsidTr="00270B09">
        <w:trPr>
          <w:trHeight w:val="340"/>
        </w:trPr>
        <w:tc>
          <w:tcPr>
            <w:tcW w:w="411" w:type="pct"/>
            <w:shd w:val="clear" w:color="auto" w:fill="auto"/>
            <w:vAlign w:val="center"/>
          </w:tcPr>
          <w:p w14:paraId="0D49A162"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(d)</w:t>
            </w:r>
          </w:p>
          <w:p w14:paraId="32B8BCA5" w14:textId="41414613"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4.4</w:t>
            </w:r>
          </w:p>
        </w:tc>
        <w:tc>
          <w:tcPr>
            <w:tcW w:w="900" w:type="pct"/>
            <w:vAlign w:val="center"/>
          </w:tcPr>
          <w:p w14:paraId="7429E4B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08" w:type="pct"/>
            <w:shd w:val="clear" w:color="auto" w:fill="auto"/>
            <w:vAlign w:val="center"/>
          </w:tcPr>
          <w:p w14:paraId="063884C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85" w:type="pct"/>
            <w:shd w:val="clear" w:color="auto" w:fill="auto"/>
            <w:vAlign w:val="center"/>
          </w:tcPr>
          <w:p w14:paraId="414B35B0" w14:textId="0A6DE4FD" w:rsidR="00BA4C5C" w:rsidRPr="003A6407" w:rsidRDefault="000F7229"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PLDC</w:t>
            </w:r>
            <w:r>
              <w:rPr>
                <w:rFonts w:asciiTheme="minorHAnsi" w:eastAsia="Calibri" w:hAnsiTheme="minorHAnsi" w:cstheme="minorHAnsi"/>
                <w:noProof/>
                <w:sz w:val="16"/>
                <w:szCs w:val="16"/>
              </w:rPr>
              <w:t>O</w:t>
            </w:r>
            <w:r w:rsidR="00BA4C5C" w:rsidRPr="003A6407">
              <w:rPr>
                <w:rFonts w:asciiTheme="minorHAnsi" w:eastAsia="Calibri" w:hAnsiTheme="minorHAnsi" w:cstheme="minorHAnsi"/>
                <w:noProof/>
                <w:sz w:val="16"/>
                <w:szCs w:val="16"/>
              </w:rPr>
              <w:t>01</w:t>
            </w:r>
          </w:p>
        </w:tc>
        <w:tc>
          <w:tcPr>
            <w:tcW w:w="1227" w:type="pct"/>
            <w:shd w:val="clear" w:color="auto" w:fill="auto"/>
            <w:vAlign w:val="center"/>
          </w:tcPr>
          <w:p w14:paraId="7D5787E3"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267" w:name="_Toc98188983"/>
            <w:bookmarkStart w:id="268" w:name="_Toc120464471"/>
            <w:r w:rsidRPr="003A6407">
              <w:rPr>
                <w:rFonts w:asciiTheme="minorHAnsi" w:eastAsia="Times New Roman" w:hAnsiTheme="minorHAnsi" w:cstheme="minorHAnsi"/>
                <w:bCs/>
                <w:noProof/>
                <w:sz w:val="16"/>
                <w:szCs w:val="16"/>
              </w:rPr>
              <w:t>Liczba mikro-, małych i średnich przedsiębiorstw (w tym spółdzielni i przedsiębiorstw społecznych) objętych usługami rozwojowymi</w:t>
            </w:r>
            <w:bookmarkEnd w:id="267"/>
            <w:bookmarkEnd w:id="268"/>
          </w:p>
        </w:tc>
        <w:tc>
          <w:tcPr>
            <w:tcW w:w="500" w:type="pct"/>
            <w:shd w:val="clear" w:color="auto" w:fill="auto"/>
            <w:vAlign w:val="center"/>
          </w:tcPr>
          <w:p w14:paraId="2204FF5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przedsiębiorstwa</w:t>
            </w:r>
          </w:p>
        </w:tc>
        <w:tc>
          <w:tcPr>
            <w:tcW w:w="571" w:type="pct"/>
            <w:shd w:val="clear" w:color="auto" w:fill="auto"/>
            <w:vAlign w:val="center"/>
          </w:tcPr>
          <w:p w14:paraId="34C44110" w14:textId="440F2E03" w:rsidR="00BA4C5C" w:rsidRPr="003A6407" w:rsidRDefault="004D463F"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175</w:t>
            </w:r>
            <w:r w:rsidR="003B55F7" w:rsidRPr="003A6407">
              <w:rPr>
                <w:rFonts w:asciiTheme="minorHAnsi" w:eastAsia="Calibri" w:hAnsiTheme="minorHAnsi" w:cstheme="minorHAnsi"/>
                <w:noProof/>
                <w:sz w:val="16"/>
                <w:szCs w:val="16"/>
              </w:rPr>
              <w:t>,00</w:t>
            </w:r>
          </w:p>
        </w:tc>
        <w:tc>
          <w:tcPr>
            <w:tcW w:w="498" w:type="pct"/>
            <w:shd w:val="clear" w:color="auto" w:fill="auto"/>
            <w:vAlign w:val="center"/>
          </w:tcPr>
          <w:p w14:paraId="01BF3FA2" w14:textId="6A726D90" w:rsidR="00BA4C5C" w:rsidRPr="003A6407" w:rsidRDefault="004D463F"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hAnsiTheme="minorHAnsi" w:cstheme="minorHAnsi"/>
                <w:noProof/>
                <w:sz w:val="16"/>
                <w:szCs w:val="16"/>
              </w:rPr>
              <w:t>2 838</w:t>
            </w:r>
            <w:r w:rsidR="00BA4C5C" w:rsidRPr="003A6407">
              <w:rPr>
                <w:rFonts w:asciiTheme="minorHAnsi" w:hAnsiTheme="minorHAnsi" w:cstheme="minorHAnsi"/>
                <w:noProof/>
                <w:sz w:val="16"/>
                <w:szCs w:val="16"/>
              </w:rPr>
              <w:t>,00</w:t>
            </w:r>
          </w:p>
        </w:tc>
      </w:tr>
      <w:tr w:rsidR="00BA4C5C" w:rsidRPr="003A6407" w14:paraId="6538DEB3" w14:textId="77777777" w:rsidTr="002B58A1">
        <w:trPr>
          <w:trHeight w:val="340"/>
        </w:trPr>
        <w:tc>
          <w:tcPr>
            <w:tcW w:w="5000" w:type="pct"/>
            <w:gridSpan w:val="8"/>
          </w:tcPr>
          <w:p w14:paraId="0452E816"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B9E382E"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7FDE32A5" w14:textId="3935A39A" w:rsidR="00BA4C5C" w:rsidRPr="003A6407" w:rsidRDefault="00BA4C5C" w:rsidP="00F20BCD">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146 Wsparcie na rzecz przystosowywania pracowników, przedsiębiorstw i przedsiębiorców do zmian (3</w:t>
            </w:r>
            <w:r w:rsidR="004D463F">
              <w:rPr>
                <w:rFonts w:asciiTheme="minorHAnsi" w:eastAsia="Calibri" w:hAnsiTheme="minorHAnsi" w:cstheme="minorHAnsi"/>
              </w:rPr>
              <w:t xml:space="preserve">4 </w:t>
            </w:r>
            <w:r w:rsidRPr="003A6407">
              <w:rPr>
                <w:rFonts w:asciiTheme="minorHAnsi" w:eastAsia="Calibri" w:hAnsiTheme="minorHAnsi" w:cstheme="minorHAnsi"/>
              </w:rPr>
              <w:t>628 971,00 EUR).</w:t>
            </w:r>
          </w:p>
          <w:p w14:paraId="0A49E08D" w14:textId="3FCB890A"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Alokacja kodu 146 przeznaczona będzie na realizację: BUR (2</w:t>
            </w:r>
            <w:r w:rsidR="004D463F">
              <w:rPr>
                <w:rFonts w:asciiTheme="minorHAnsi" w:eastAsia="Calibri" w:hAnsiTheme="minorHAnsi" w:cstheme="minorHAnsi"/>
              </w:rPr>
              <w:t>6 493 855,7</w:t>
            </w:r>
            <w:r w:rsidRPr="003A6407">
              <w:rPr>
                <w:rFonts w:asciiTheme="minorHAnsi" w:eastAsia="Calibri" w:hAnsiTheme="minorHAnsi" w:cstheme="minorHAnsi"/>
              </w:rPr>
              <w:t xml:space="preserve"> EUR), </w:t>
            </w:r>
            <w:proofErr w:type="spellStart"/>
            <w:r w:rsidRPr="003A6407">
              <w:rPr>
                <w:rFonts w:asciiTheme="minorHAnsi" w:eastAsia="Calibri" w:hAnsiTheme="minorHAnsi" w:cstheme="minorHAnsi"/>
              </w:rPr>
              <w:t>outplacement</w:t>
            </w:r>
            <w:proofErr w:type="spellEnd"/>
            <w:r w:rsidRPr="003A6407">
              <w:rPr>
                <w:rFonts w:asciiTheme="minorHAnsi" w:eastAsia="Calibri" w:hAnsiTheme="minorHAnsi" w:cstheme="minorHAnsi"/>
              </w:rPr>
              <w:t xml:space="preserve"> (</w:t>
            </w:r>
            <w:r w:rsidR="004D463F">
              <w:rPr>
                <w:rFonts w:asciiTheme="minorHAnsi" w:eastAsia="Calibri" w:hAnsiTheme="minorHAnsi" w:cstheme="minorHAnsi"/>
              </w:rPr>
              <w:t>4 675 386,3</w:t>
            </w:r>
            <w:r w:rsidRPr="003A6407">
              <w:rPr>
                <w:rFonts w:asciiTheme="minorHAnsi" w:eastAsia="Calibri" w:hAnsiTheme="minorHAnsi" w:cstheme="minorHAnsi"/>
              </w:rPr>
              <w:t>3EUR), wsparcie dialogu społecznego i obywatelskiego (3 459 729  EUR).</w:t>
            </w:r>
          </w:p>
          <w:p w14:paraId="4F383765" w14:textId="6735F571"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realizować będzie alokacja BUR (</w:t>
            </w:r>
            <w:r w:rsidR="004D463F" w:rsidRPr="004D463F">
              <w:rPr>
                <w:rFonts w:asciiTheme="minorHAnsi" w:eastAsia="Calibri" w:hAnsiTheme="minorHAnsi" w:cstheme="minorHAnsi"/>
              </w:rPr>
              <w:t>26 493 855,7</w:t>
            </w:r>
            <w:r w:rsidRPr="003A6407">
              <w:rPr>
                <w:rFonts w:asciiTheme="minorHAnsi" w:eastAsia="Calibri" w:hAnsiTheme="minorHAnsi" w:cstheme="minorHAnsi"/>
              </w:rPr>
              <w:t xml:space="preserve">), pomniejszona o alokację na grupy docelowe, które nie będą realizować wskaźnika tj. pracodawców (na co przeznacza się : 1 452 192,79EUR) oraz duże przedsiębiorstwa (na co przeznacza się kolejne: 1 452 192,79EUR). Tym samym alokacja na realizację wskaźnika wynosi </w:t>
            </w:r>
            <w:r w:rsidR="004D463F" w:rsidRPr="004D463F">
              <w:rPr>
                <w:rFonts w:asciiTheme="minorHAnsi" w:eastAsia="Calibri" w:hAnsiTheme="minorHAnsi" w:cstheme="minorHAnsi"/>
              </w:rPr>
              <w:t>23 589 470,12</w:t>
            </w:r>
            <w:r w:rsidRPr="003A6407">
              <w:rPr>
                <w:rFonts w:asciiTheme="minorHAnsi" w:eastAsia="Calibri" w:hAnsiTheme="minorHAnsi" w:cstheme="minorHAnsi"/>
              </w:rPr>
              <w:t>EUR.</w:t>
            </w:r>
          </w:p>
          <w:p w14:paraId="3AB2040B" w14:textId="32B4BDA2"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Biorąc pod uwagę kurs EUR na poziomie 4,45 suma alokacji na realizację wskaźnika wynosi </w:t>
            </w:r>
            <w:r w:rsidR="004D463F">
              <w:rPr>
                <w:rFonts w:asciiTheme="minorHAnsi" w:eastAsia="Calibri" w:hAnsiTheme="minorHAnsi" w:cstheme="minorHAnsi"/>
              </w:rPr>
              <w:t>104 973 142</w:t>
            </w:r>
            <w:r w:rsidRPr="003A6407">
              <w:rPr>
                <w:rFonts w:asciiTheme="minorHAnsi" w:eastAsia="Calibri" w:hAnsiTheme="minorHAnsi" w:cstheme="minorHAnsi"/>
              </w:rPr>
              <w:t>,0 PLN.</w:t>
            </w:r>
          </w:p>
          <w:p w14:paraId="5A51F87B"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32 624,73 PLN, Koszt jednostkowy został skorygowany w oparciu o wartość inflacji na poziomie 15% i wynosi 37 518,45, a obniżony do wartości dofinansowania na poziomie 70% wynosi 26 262,91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15B66266" w14:textId="77777777" w:rsidR="00BA4C5C" w:rsidRPr="003A6407" w:rsidRDefault="00BA4C5C" w:rsidP="00136DAF">
            <w:pPr>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[(1*3)+(7*25)+(2*68)]/10 = 29,20%. Wartość zaokrąglono do pełnej wartości 29%. </w:t>
            </w:r>
          </w:p>
          <w:p w14:paraId="10E9A31F"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6E239B59" w14:textId="2F030AB5" w:rsidR="00BA4C5C" w:rsidRPr="003A6407" w:rsidRDefault="004D463F" w:rsidP="00136DAF">
            <w:pPr>
              <w:shd w:val="clear" w:color="auto" w:fill="FFFFFF"/>
              <w:spacing w:before="60" w:after="60" w:line="240" w:lineRule="auto"/>
              <w:jc w:val="both"/>
              <w:rPr>
                <w:rFonts w:asciiTheme="minorHAnsi" w:eastAsia="Calibri" w:hAnsiTheme="minorHAnsi" w:cstheme="minorHAnsi"/>
              </w:rPr>
            </w:pPr>
            <w:r>
              <w:rPr>
                <w:rFonts w:asciiTheme="minorHAnsi" w:eastAsia="Calibri" w:hAnsiTheme="minorHAnsi" w:cstheme="minorHAnsi"/>
              </w:rPr>
              <w:t>104 973 142</w:t>
            </w:r>
            <w:r w:rsidR="00BA4C5C" w:rsidRPr="003A6407">
              <w:rPr>
                <w:rFonts w:asciiTheme="minorHAnsi" w:eastAsia="Calibri" w:hAnsiTheme="minorHAnsi" w:cstheme="minorHAnsi"/>
              </w:rPr>
              <w:t xml:space="preserve">/ 26 262,91 * (1-0,29) =   </w:t>
            </w:r>
            <w:r>
              <w:rPr>
                <w:rFonts w:asciiTheme="minorHAnsi" w:eastAsia="Calibri" w:hAnsiTheme="minorHAnsi" w:cstheme="minorHAnsi"/>
              </w:rPr>
              <w:t>2 838</w:t>
            </w:r>
            <w:r w:rsidR="00BA4C5C" w:rsidRPr="003A6407">
              <w:rPr>
                <w:rFonts w:asciiTheme="minorHAnsi" w:eastAsia="Calibri" w:hAnsiTheme="minorHAnsi" w:cstheme="minorHAnsi"/>
              </w:rPr>
              <w:t xml:space="preserve">    przedsiębiorstw.</w:t>
            </w:r>
          </w:p>
          <w:p w14:paraId="670BA349"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44840E65" w14:textId="77777777" w:rsidR="00BA4C5C" w:rsidRPr="003A6407" w:rsidRDefault="00BA4C5C">
            <w:pPr>
              <w:numPr>
                <w:ilvl w:val="0"/>
                <w:numId w:val="32"/>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19292198" w14:textId="77777777" w:rsidR="00BA4C5C" w:rsidRPr="003A6407" w:rsidRDefault="00BA4C5C">
            <w:pPr>
              <w:numPr>
                <w:ilvl w:val="0"/>
                <w:numId w:val="32"/>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lastRenderedPageBreak/>
              <w:t>zawieszenie płatności przez KE dla danej osi priorytetowej</w:t>
            </w:r>
            <w:r w:rsidRPr="003A6407">
              <w:rPr>
                <w:rFonts w:asciiTheme="minorHAnsi" w:eastAsia="Calibri" w:hAnsiTheme="minorHAnsi" w:cstheme="minorHAnsi"/>
                <w:color w:val="000000"/>
              </w:rPr>
              <w:t>; (istotność: umiarkowana)</w:t>
            </w:r>
          </w:p>
          <w:p w14:paraId="59FA8315" w14:textId="77777777" w:rsidR="00BA4C5C" w:rsidRPr="003A6407" w:rsidRDefault="00BA4C5C">
            <w:pPr>
              <w:numPr>
                <w:ilvl w:val="0"/>
                <w:numId w:val="32"/>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7A83A5AD" w14:textId="77777777" w:rsidR="00BA4C5C" w:rsidRPr="003A6407" w:rsidRDefault="00BA4C5C">
            <w:pPr>
              <w:numPr>
                <w:ilvl w:val="0"/>
                <w:numId w:val="32"/>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2777D104" w14:textId="77777777" w:rsidR="00BA4C5C" w:rsidRPr="003A6407" w:rsidRDefault="00BA4C5C">
            <w:pPr>
              <w:numPr>
                <w:ilvl w:val="0"/>
                <w:numId w:val="32"/>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3A9A40F9" w14:textId="77777777" w:rsidR="00BA4C5C" w:rsidRPr="003A6407" w:rsidRDefault="00BA4C5C">
            <w:pPr>
              <w:numPr>
                <w:ilvl w:val="0"/>
                <w:numId w:val="32"/>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4ABB64FA"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121DA077" w14:textId="77777777" w:rsidR="00BA4C5C" w:rsidRPr="003A6407" w:rsidRDefault="00BA4C5C" w:rsidP="00136DAF">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15A1C050" w14:textId="77777777" w:rsidR="00BA4C5C" w:rsidRPr="003A6407" w:rsidRDefault="00BA4C5C">
            <w:pPr>
              <w:numPr>
                <w:ilvl w:val="0"/>
                <w:numId w:val="33"/>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795B70AF" w14:textId="77777777" w:rsidR="00BA4C5C" w:rsidRPr="003A6407" w:rsidRDefault="00BA4C5C">
            <w:pPr>
              <w:numPr>
                <w:ilvl w:val="0"/>
                <w:numId w:val="33"/>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3FEEF8C" w14:textId="77777777" w:rsidR="00BA4C5C" w:rsidRPr="003A6407" w:rsidRDefault="00BA4C5C">
            <w:pPr>
              <w:numPr>
                <w:ilvl w:val="0"/>
                <w:numId w:val="33"/>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9F85A2E" w14:textId="77777777" w:rsidR="00BA4C5C" w:rsidRPr="003A6407" w:rsidRDefault="00BA4C5C">
            <w:pPr>
              <w:numPr>
                <w:ilvl w:val="0"/>
                <w:numId w:val="33"/>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6121235B" w14:textId="77777777" w:rsidR="00577456" w:rsidRPr="003A6407" w:rsidRDefault="00577456" w:rsidP="00577456">
            <w:pPr>
              <w:spacing w:after="0" w:line="240" w:lineRule="auto"/>
              <w:contextualSpacing/>
              <w:jc w:val="both"/>
              <w:rPr>
                <w:rFonts w:asciiTheme="minorHAnsi" w:eastAsia="Calibri" w:hAnsiTheme="minorHAnsi" w:cstheme="minorHAnsi"/>
                <w:color w:val="000000"/>
              </w:rPr>
            </w:pPr>
          </w:p>
          <w:p w14:paraId="4F563206" w14:textId="77777777" w:rsidR="00577456" w:rsidRPr="003A6407" w:rsidRDefault="00577456" w:rsidP="00577456">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2C139AE6" w14:textId="6F533F31" w:rsidR="00577456" w:rsidRPr="003A6407" w:rsidRDefault="00577456" w:rsidP="00577456">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8v), na podstawie Sprawozdania rocznego z 2021 r. dla projektów o podobnym zakresie wsparcia. </w:t>
            </w:r>
          </w:p>
          <w:p w14:paraId="072A3589" w14:textId="0415A80F" w:rsidR="00577456" w:rsidRPr="003A6407" w:rsidRDefault="00577456" w:rsidP="00577456">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mikroprzedsiębiorstw oraz małych i średnich przedsiębiorstw objętych usługami rozwojowymi w programie dopiero w 2017 r. osiągnął wartość 777, co wobec wartości z wykonania na 2021 r. (3 663) stanowi zaledwie 21,21 %. </w:t>
            </w:r>
          </w:p>
          <w:p w14:paraId="4DDD02CB" w14:textId="4753F232" w:rsidR="00E31570" w:rsidRPr="003A6407" w:rsidRDefault="00E31570" w:rsidP="00577456">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Wobec powyższego dla wartości pośredniej wskaźnika zastosowano tożsamy wskaźnik kompensacji w wysokości 29%. tj. wartość pośrednia będzie równa 6,15% wartości docelowej i wyniesie: </w:t>
            </w:r>
            <w:r w:rsidR="004D463F">
              <w:rPr>
                <w:rFonts w:asciiTheme="minorHAnsi" w:eastAsia="Calibri" w:hAnsiTheme="minorHAnsi" w:cstheme="minorHAnsi"/>
                <w:b/>
                <w:bCs/>
                <w:color w:val="000000"/>
              </w:rPr>
              <w:t>175</w:t>
            </w:r>
            <w:r w:rsidRPr="003A6407">
              <w:rPr>
                <w:rFonts w:asciiTheme="minorHAnsi" w:eastAsia="Calibri" w:hAnsiTheme="minorHAnsi" w:cstheme="minorHAnsi"/>
                <w:b/>
                <w:bCs/>
                <w:color w:val="000000"/>
              </w:rPr>
              <w:t xml:space="preserve"> .</w:t>
            </w:r>
          </w:p>
          <w:p w14:paraId="26389F02" w14:textId="765E8BC0" w:rsidR="00577456" w:rsidRPr="003A6407" w:rsidRDefault="00577456" w:rsidP="00577456">
            <w:pPr>
              <w:spacing w:after="0" w:line="240" w:lineRule="auto"/>
              <w:contextualSpacing/>
              <w:jc w:val="both"/>
              <w:rPr>
                <w:rFonts w:asciiTheme="minorHAnsi" w:eastAsia="Calibri" w:hAnsiTheme="minorHAnsi" w:cstheme="minorHAnsi"/>
                <w:color w:val="000000"/>
              </w:rPr>
            </w:pPr>
          </w:p>
        </w:tc>
      </w:tr>
      <w:bookmarkEnd w:id="266"/>
    </w:tbl>
    <w:p w14:paraId="51C46419" w14:textId="77777777" w:rsidR="00BA4C5C" w:rsidRPr="003A6407" w:rsidRDefault="00BA4C5C" w:rsidP="00B35722">
      <w:pPr>
        <w:keepNext/>
        <w:keepLines/>
        <w:spacing w:before="120" w:after="120"/>
        <w:jc w:val="both"/>
        <w:outlineLvl w:val="2"/>
        <w:rPr>
          <w:rFonts w:asciiTheme="minorHAnsi" w:eastAsia="Times New Roman" w:hAnsiTheme="minorHAnsi" w:cstheme="minorHAnsi"/>
          <w:b/>
          <w:bCs/>
          <w:color w:val="4472C4"/>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191FE2" w:rsidRPr="003A6407" w14:paraId="2C3918D5" w14:textId="77777777" w:rsidTr="00270B09">
        <w:trPr>
          <w:cantSplit/>
          <w:trHeight w:val="1647"/>
        </w:trPr>
        <w:tc>
          <w:tcPr>
            <w:tcW w:w="451" w:type="pct"/>
            <w:shd w:val="clear" w:color="auto" w:fill="auto"/>
            <w:vAlign w:val="center"/>
          </w:tcPr>
          <w:p w14:paraId="7641029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70CA60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7B4A58A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6E37A6A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423" w:type="pct"/>
            <w:shd w:val="clear" w:color="auto" w:fill="auto"/>
            <w:textDirection w:val="btLr"/>
            <w:vAlign w:val="center"/>
          </w:tcPr>
          <w:p w14:paraId="68023B0C"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348" w:type="pct"/>
            <w:shd w:val="clear" w:color="auto" w:fill="auto"/>
            <w:vAlign w:val="center"/>
          </w:tcPr>
          <w:p w14:paraId="38A0337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74E362F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5257F4B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13550F9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4143E34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6473094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7F8B5CF9" w14:textId="77777777" w:rsidTr="00270B09">
        <w:trPr>
          <w:trHeight w:val="340"/>
        </w:trPr>
        <w:tc>
          <w:tcPr>
            <w:tcW w:w="451" w:type="pct"/>
            <w:shd w:val="clear" w:color="auto" w:fill="auto"/>
            <w:vAlign w:val="center"/>
          </w:tcPr>
          <w:p w14:paraId="7686CA7C"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(d)</w:t>
            </w:r>
          </w:p>
          <w:p w14:paraId="257A63E5" w14:textId="31983BE6"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4.4</w:t>
            </w:r>
          </w:p>
        </w:tc>
        <w:tc>
          <w:tcPr>
            <w:tcW w:w="494" w:type="pct"/>
            <w:shd w:val="clear" w:color="auto" w:fill="auto"/>
            <w:vAlign w:val="center"/>
          </w:tcPr>
          <w:p w14:paraId="63570AB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1D4366C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423" w:type="pct"/>
            <w:shd w:val="clear" w:color="auto" w:fill="auto"/>
            <w:vAlign w:val="center"/>
          </w:tcPr>
          <w:p w14:paraId="3DCB8929" w14:textId="34F6829F" w:rsidR="00BA4C5C" w:rsidRPr="003A6407" w:rsidRDefault="00235D55"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PLDC</w:t>
            </w:r>
            <w:r>
              <w:rPr>
                <w:rFonts w:asciiTheme="minorHAnsi" w:eastAsia="Calibri" w:hAnsiTheme="minorHAnsi" w:cstheme="minorHAnsi"/>
                <w:noProof/>
                <w:sz w:val="16"/>
                <w:szCs w:val="16"/>
              </w:rPr>
              <w:t>O</w:t>
            </w:r>
            <w:r w:rsidR="00BA4C5C" w:rsidRPr="003A6407">
              <w:rPr>
                <w:rFonts w:asciiTheme="minorHAnsi" w:eastAsia="Calibri" w:hAnsiTheme="minorHAnsi" w:cstheme="minorHAnsi"/>
                <w:noProof/>
                <w:sz w:val="16"/>
                <w:szCs w:val="16"/>
              </w:rPr>
              <w:t>06</w:t>
            </w:r>
          </w:p>
        </w:tc>
        <w:tc>
          <w:tcPr>
            <w:tcW w:w="1348" w:type="pct"/>
            <w:shd w:val="clear" w:color="auto" w:fill="auto"/>
            <w:vAlign w:val="center"/>
          </w:tcPr>
          <w:p w14:paraId="4459B6B2"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269" w:name="_Toc98188984"/>
            <w:bookmarkStart w:id="270" w:name="_Toc120464472"/>
            <w:r w:rsidRPr="003A6407">
              <w:rPr>
                <w:rFonts w:asciiTheme="minorHAnsi" w:eastAsia="Times New Roman" w:hAnsiTheme="minorHAnsi" w:cstheme="minorHAnsi"/>
                <w:bCs/>
                <w:noProof/>
                <w:sz w:val="16"/>
                <w:szCs w:val="16"/>
              </w:rPr>
              <w:t>Liczba osób objętych wsparciem z zakresu outplacementu</w:t>
            </w:r>
            <w:bookmarkEnd w:id="269"/>
            <w:bookmarkEnd w:id="270"/>
          </w:p>
        </w:tc>
        <w:tc>
          <w:tcPr>
            <w:tcW w:w="549" w:type="pct"/>
            <w:shd w:val="clear" w:color="auto" w:fill="auto"/>
            <w:vAlign w:val="center"/>
          </w:tcPr>
          <w:p w14:paraId="40C2AB7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07390E83" w14:textId="0497DF01" w:rsidR="00BA4C5C" w:rsidRPr="003A6407" w:rsidRDefault="004D463F"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65</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32EE6AFE" w14:textId="1F33CEBB" w:rsidR="00BA4C5C" w:rsidRPr="003A6407" w:rsidRDefault="004D463F"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665</w:t>
            </w:r>
            <w:r w:rsidR="00BA4C5C" w:rsidRPr="003A6407">
              <w:rPr>
                <w:rFonts w:asciiTheme="minorHAnsi" w:eastAsia="Calibri" w:hAnsiTheme="minorHAnsi" w:cstheme="minorHAnsi"/>
                <w:noProof/>
                <w:sz w:val="16"/>
                <w:szCs w:val="16"/>
              </w:rPr>
              <w:t>,00</w:t>
            </w:r>
          </w:p>
        </w:tc>
      </w:tr>
      <w:tr w:rsidR="00BA4C5C" w:rsidRPr="003A6407" w14:paraId="3B5FC1C2" w14:textId="77777777" w:rsidTr="00270B09">
        <w:trPr>
          <w:trHeight w:val="340"/>
        </w:trPr>
        <w:tc>
          <w:tcPr>
            <w:tcW w:w="5000" w:type="pct"/>
            <w:gridSpan w:val="8"/>
            <w:shd w:val="clear" w:color="auto" w:fill="auto"/>
          </w:tcPr>
          <w:p w14:paraId="207AC055"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20314ABB"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1E0CB736" w14:textId="1C7CD1E0" w:rsidR="00BA4C5C" w:rsidRPr="003A6407" w:rsidRDefault="00BA4C5C" w:rsidP="00B35722">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146 Wsparcie na rzecz przystosowywania pracowników, przedsiębiorstw i przedsiębiorców do zmian (</w:t>
            </w:r>
            <w:r w:rsidR="004D463F">
              <w:rPr>
                <w:rFonts w:asciiTheme="minorHAnsi" w:eastAsia="Calibri" w:hAnsiTheme="minorHAnsi" w:cstheme="minorHAnsi"/>
              </w:rPr>
              <w:t>34 628 971</w:t>
            </w:r>
            <w:r w:rsidRPr="003A6407">
              <w:rPr>
                <w:rFonts w:asciiTheme="minorHAnsi" w:eastAsia="Calibri" w:hAnsiTheme="minorHAnsi" w:cstheme="minorHAnsi"/>
              </w:rPr>
              <w:t xml:space="preserve"> EUR).</w:t>
            </w:r>
          </w:p>
          <w:p w14:paraId="68DD4CD6" w14:textId="08EEAD06"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Alokacja kodu 146 przeznaczona będzie na realizację: BUR (</w:t>
            </w:r>
            <w:r w:rsidR="004D463F">
              <w:rPr>
                <w:rFonts w:asciiTheme="minorHAnsi" w:eastAsia="Calibri" w:hAnsiTheme="minorHAnsi" w:cstheme="minorHAnsi"/>
              </w:rPr>
              <w:t>26 493 855,7</w:t>
            </w:r>
            <w:r w:rsidRPr="003A6407">
              <w:rPr>
                <w:rFonts w:asciiTheme="minorHAnsi" w:eastAsia="Calibri" w:hAnsiTheme="minorHAnsi" w:cstheme="minorHAnsi"/>
              </w:rPr>
              <w:t xml:space="preserve">  EUR), </w:t>
            </w:r>
            <w:proofErr w:type="spellStart"/>
            <w:r w:rsidRPr="003A6407">
              <w:rPr>
                <w:rFonts w:asciiTheme="minorHAnsi" w:eastAsia="Calibri" w:hAnsiTheme="minorHAnsi" w:cstheme="minorHAnsi"/>
              </w:rPr>
              <w:t>outplacement</w:t>
            </w:r>
            <w:proofErr w:type="spellEnd"/>
            <w:r w:rsidRPr="003A6407">
              <w:rPr>
                <w:rFonts w:asciiTheme="minorHAnsi" w:eastAsia="Calibri" w:hAnsiTheme="minorHAnsi" w:cstheme="minorHAnsi"/>
              </w:rPr>
              <w:t xml:space="preserve"> (</w:t>
            </w:r>
            <w:r w:rsidR="004D463F">
              <w:rPr>
                <w:rFonts w:asciiTheme="minorHAnsi" w:eastAsia="Calibri" w:hAnsiTheme="minorHAnsi" w:cstheme="minorHAnsi"/>
              </w:rPr>
              <w:t>4 675 385,3</w:t>
            </w:r>
            <w:r w:rsidRPr="003A6407">
              <w:rPr>
                <w:rFonts w:asciiTheme="minorHAnsi" w:eastAsia="Calibri" w:hAnsiTheme="minorHAnsi" w:cstheme="minorHAnsi"/>
              </w:rPr>
              <w:t xml:space="preserve"> EUR), wsparcie dialogu społecznego i obywatelskiego (3 459 729 EUR).</w:t>
            </w:r>
          </w:p>
          <w:p w14:paraId="0CD98CC1" w14:textId="767B9FE1"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Wskaźnik realizować będzie alokacja w kwocie </w:t>
            </w:r>
            <w:r w:rsidR="004D463F">
              <w:rPr>
                <w:rFonts w:asciiTheme="minorHAnsi" w:eastAsia="Calibri" w:hAnsiTheme="minorHAnsi" w:cstheme="minorHAnsi"/>
              </w:rPr>
              <w:t>4 675 386,</w:t>
            </w:r>
            <w:r w:rsidRPr="003A6407">
              <w:rPr>
                <w:rFonts w:asciiTheme="minorHAnsi" w:eastAsia="Calibri" w:hAnsiTheme="minorHAnsi" w:cstheme="minorHAnsi"/>
              </w:rPr>
              <w:t xml:space="preserve">3 EUR. Biorąc pod uwagę kurs EUR na poziomie 4,45 suma alokacji na realizację wskaźnika wynosi </w:t>
            </w:r>
            <w:r w:rsidR="004D463F">
              <w:rPr>
                <w:rFonts w:asciiTheme="minorHAnsi" w:eastAsia="Calibri" w:hAnsiTheme="minorHAnsi" w:cstheme="minorHAnsi"/>
              </w:rPr>
              <w:t>20 805 469,04 PLN</w:t>
            </w:r>
            <w:r w:rsidRPr="003A6407">
              <w:rPr>
                <w:rFonts w:asciiTheme="minorHAnsi" w:eastAsia="Calibri" w:hAnsiTheme="minorHAnsi" w:cstheme="minorHAnsi"/>
              </w:rPr>
              <w:t>.</w:t>
            </w:r>
          </w:p>
          <w:p w14:paraId="10F987E1"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Historyczny koszt jednostkowy na bazie doświadczeń z perspektywy 2014-2020 wynosi 28 362,89 PLN.</w:t>
            </w:r>
            <w:r w:rsidRPr="003A6407">
              <w:rPr>
                <w:rFonts w:asciiTheme="minorHAnsi" w:hAnsiTheme="minorHAnsi" w:cstheme="minorHAnsi"/>
              </w:rPr>
              <w:t xml:space="preserve"> </w:t>
            </w:r>
            <w:r w:rsidRPr="003A6407">
              <w:rPr>
                <w:rFonts w:asciiTheme="minorHAnsi" w:eastAsia="Calibri" w:hAnsiTheme="minorHAnsi" w:cstheme="minorHAnsi"/>
              </w:rPr>
              <w:t xml:space="preserve">Koszt jednostkowy został skorygowany w oparciu o wartość inflacji na poziomie 15% i wynosi 32 617,32 PLN, a obniżony do wartości dofinansowania na poziomie 70% wynosi 22 832,12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4FDE8C51"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[(2*3)+(7*25)+(2*68)]/11 =26,87%. Wartość zaokrąglono do pełnej wartości 27%. </w:t>
            </w:r>
          </w:p>
          <w:p w14:paraId="27B9E781"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21F2FECE" w14:textId="605E305A"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2</w:t>
            </w:r>
            <w:r w:rsidR="004D463F">
              <w:rPr>
                <w:rFonts w:asciiTheme="minorHAnsi" w:eastAsia="Calibri" w:hAnsiTheme="minorHAnsi" w:cstheme="minorHAnsi"/>
              </w:rPr>
              <w:t>0 805 469,04</w:t>
            </w:r>
            <w:r w:rsidRPr="003A6407">
              <w:rPr>
                <w:rFonts w:asciiTheme="minorHAnsi" w:eastAsia="Calibri" w:hAnsiTheme="minorHAnsi" w:cstheme="minorHAnsi"/>
              </w:rPr>
              <w:t xml:space="preserve">/ 22 832,12 * (1-0,27) = </w:t>
            </w:r>
            <w:r w:rsidR="004D463F">
              <w:rPr>
                <w:rFonts w:asciiTheme="minorHAnsi" w:eastAsia="Calibri" w:hAnsiTheme="minorHAnsi" w:cstheme="minorHAnsi"/>
              </w:rPr>
              <w:t xml:space="preserve"> 665 </w:t>
            </w:r>
            <w:r w:rsidRPr="003A6407">
              <w:rPr>
                <w:rFonts w:asciiTheme="minorHAnsi" w:eastAsia="Calibri" w:hAnsiTheme="minorHAnsi" w:cstheme="minorHAnsi"/>
              </w:rPr>
              <w:t>osób.</w:t>
            </w:r>
          </w:p>
          <w:p w14:paraId="0225EE7F"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043B2075" w14:textId="77777777" w:rsidR="00BA4C5C" w:rsidRPr="003A6407" w:rsidRDefault="00BA4C5C">
            <w:pPr>
              <w:numPr>
                <w:ilvl w:val="0"/>
                <w:numId w:val="35"/>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6B58E353" w14:textId="77777777" w:rsidR="00BA4C5C" w:rsidRPr="003A6407" w:rsidRDefault="00BA4C5C">
            <w:pPr>
              <w:numPr>
                <w:ilvl w:val="0"/>
                <w:numId w:val="35"/>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4C15C82D" w14:textId="77777777" w:rsidR="00BA4C5C" w:rsidRPr="003A6407" w:rsidRDefault="00BA4C5C">
            <w:pPr>
              <w:numPr>
                <w:ilvl w:val="0"/>
                <w:numId w:val="35"/>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7AAD3997" w14:textId="77777777" w:rsidR="00BA4C5C" w:rsidRPr="003A6407" w:rsidRDefault="00BA4C5C">
            <w:pPr>
              <w:numPr>
                <w:ilvl w:val="0"/>
                <w:numId w:val="35"/>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62874E7D" w14:textId="77777777" w:rsidR="00BA4C5C" w:rsidRPr="003A6407" w:rsidRDefault="00BA4C5C">
            <w:pPr>
              <w:numPr>
                <w:ilvl w:val="0"/>
                <w:numId w:val="35"/>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7BDAFC54" w14:textId="77777777" w:rsidR="00BA4C5C" w:rsidRPr="003A6407" w:rsidRDefault="00BA4C5C">
            <w:pPr>
              <w:numPr>
                <w:ilvl w:val="0"/>
                <w:numId w:val="35"/>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1B0F2A70"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2FDBD159"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1EFB01D3" w14:textId="77777777" w:rsidR="00BA4C5C" w:rsidRPr="003A6407" w:rsidRDefault="00BA4C5C">
            <w:pPr>
              <w:numPr>
                <w:ilvl w:val="0"/>
                <w:numId w:val="36"/>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xml:space="preserve">. Należy mieć wówczas </w:t>
            </w:r>
            <w:r w:rsidRPr="003A6407">
              <w:rPr>
                <w:rFonts w:asciiTheme="minorHAnsi" w:eastAsia="Calibri" w:hAnsiTheme="minorHAnsi" w:cstheme="minorHAnsi"/>
                <w:color w:val="000000"/>
              </w:rPr>
              <w:lastRenderedPageBreak/>
              <w:t>możliwość kierowania wsparcia w ramach innego typu przedsięwzięcia, bez obawy nieosiągnięcia zaplanowanego do osiągnięcia wskaźnika; (istotność: umiarkowana)</w:t>
            </w:r>
          </w:p>
          <w:p w14:paraId="1E81C1DD" w14:textId="77777777" w:rsidR="00BA4C5C" w:rsidRPr="003A6407" w:rsidRDefault="00BA4C5C">
            <w:pPr>
              <w:numPr>
                <w:ilvl w:val="0"/>
                <w:numId w:val="36"/>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72F6F653" w14:textId="77777777" w:rsidR="00BA4C5C" w:rsidRPr="003A6407" w:rsidRDefault="00BA4C5C">
            <w:pPr>
              <w:numPr>
                <w:ilvl w:val="0"/>
                <w:numId w:val="36"/>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0754D374" w14:textId="77777777" w:rsidR="00BA4C5C" w:rsidRPr="003A6407" w:rsidRDefault="00BA4C5C">
            <w:pPr>
              <w:numPr>
                <w:ilvl w:val="0"/>
                <w:numId w:val="36"/>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niska)</w:t>
            </w:r>
          </w:p>
          <w:p w14:paraId="1C5FE8EB" w14:textId="77777777" w:rsidR="00BA4C5C" w:rsidRPr="003A6407" w:rsidRDefault="00BA4C5C">
            <w:pPr>
              <w:numPr>
                <w:ilvl w:val="0"/>
                <w:numId w:val="36"/>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4A05710A" w14:textId="77777777" w:rsidR="00D62AB9" w:rsidRPr="003A6407" w:rsidRDefault="00D62AB9" w:rsidP="00D62AB9">
            <w:pPr>
              <w:spacing w:after="0" w:line="240" w:lineRule="auto"/>
              <w:contextualSpacing/>
              <w:jc w:val="both"/>
              <w:rPr>
                <w:rFonts w:asciiTheme="minorHAnsi" w:eastAsia="Calibri" w:hAnsiTheme="minorHAnsi" w:cstheme="minorHAnsi"/>
                <w:color w:val="000000"/>
              </w:rPr>
            </w:pPr>
          </w:p>
          <w:p w14:paraId="057CBC42" w14:textId="51A31B6F" w:rsidR="00D62AB9" w:rsidRPr="003A6407" w:rsidRDefault="00D62AB9" w:rsidP="00D62AB9">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6C3E3224" w14:textId="77777777" w:rsidR="001B0178" w:rsidRPr="001B0178" w:rsidRDefault="001B0178" w:rsidP="001B0178">
            <w:pPr>
              <w:spacing w:after="0" w:line="240" w:lineRule="auto"/>
              <w:contextualSpacing/>
              <w:jc w:val="both"/>
              <w:rPr>
                <w:rFonts w:asciiTheme="minorHAnsi" w:eastAsia="Calibri" w:hAnsiTheme="minorHAnsi" w:cstheme="minorHAnsi"/>
                <w:b/>
                <w:bCs/>
                <w:color w:val="000000"/>
              </w:rPr>
            </w:pPr>
            <w:r w:rsidRPr="001B0178">
              <w:rPr>
                <w:rFonts w:asciiTheme="minorHAnsi" w:eastAsia="Calibri" w:hAnsiTheme="minorHAnsi" w:cstheme="minorHAnsi"/>
                <w:b/>
                <w:bCs/>
                <w:color w:val="000000"/>
              </w:rPr>
              <w:t xml:space="preserve">Po przeanalizowaniu danych PO KL 2007-2013, kiedy dodatkowo wprowadzono wsparcie </w:t>
            </w:r>
            <w:proofErr w:type="spellStart"/>
            <w:r w:rsidRPr="001B0178">
              <w:rPr>
                <w:rFonts w:asciiTheme="minorHAnsi" w:eastAsia="Calibri" w:hAnsiTheme="minorHAnsi" w:cstheme="minorHAnsi"/>
                <w:b/>
                <w:bCs/>
                <w:color w:val="000000"/>
              </w:rPr>
              <w:t>outplacement</w:t>
            </w:r>
            <w:proofErr w:type="spellEnd"/>
            <w:r w:rsidRPr="001B0178">
              <w:rPr>
                <w:rFonts w:asciiTheme="minorHAnsi" w:eastAsia="Calibri" w:hAnsiTheme="minorHAnsi" w:cstheme="minorHAnsi"/>
                <w:b/>
                <w:bCs/>
                <w:color w:val="000000"/>
              </w:rPr>
              <w:t xml:space="preserve"> (wsparcie systemowe) w 2009 r., już w 2010 r. zrealizowano 19% wartości docelowej. </w:t>
            </w:r>
          </w:p>
          <w:p w14:paraId="5C40C203" w14:textId="30B18AA0" w:rsidR="00D62AB9" w:rsidRPr="003A6407" w:rsidRDefault="001B0178" w:rsidP="00D62AB9">
            <w:pPr>
              <w:spacing w:after="0" w:line="240" w:lineRule="auto"/>
              <w:contextualSpacing/>
              <w:jc w:val="both"/>
              <w:rPr>
                <w:rFonts w:asciiTheme="minorHAnsi" w:eastAsia="Calibri" w:hAnsiTheme="minorHAnsi" w:cstheme="minorHAnsi"/>
                <w:color w:val="000000"/>
              </w:rPr>
            </w:pPr>
            <w:r w:rsidRPr="001B0178">
              <w:rPr>
                <w:rFonts w:asciiTheme="minorHAnsi" w:eastAsia="Calibri" w:hAnsiTheme="minorHAnsi" w:cstheme="minorHAnsi"/>
                <w:b/>
                <w:bCs/>
                <w:color w:val="000000"/>
              </w:rPr>
              <w:t xml:space="preserve">W związku z tym </w:t>
            </w:r>
            <w:r>
              <w:rPr>
                <w:rFonts w:asciiTheme="minorHAnsi" w:eastAsia="Calibri" w:hAnsiTheme="minorHAnsi" w:cstheme="minorHAnsi"/>
                <w:b/>
                <w:bCs/>
                <w:color w:val="000000"/>
              </w:rPr>
              <w:t>przyjmuje się</w:t>
            </w:r>
            <w:r w:rsidRPr="001B0178">
              <w:rPr>
                <w:rFonts w:asciiTheme="minorHAnsi" w:eastAsia="Calibri" w:hAnsiTheme="minorHAnsi" w:cstheme="minorHAnsi"/>
                <w:b/>
                <w:bCs/>
                <w:color w:val="000000"/>
              </w:rPr>
              <w:t xml:space="preserve"> </w:t>
            </w:r>
            <w:r w:rsidR="00625707">
              <w:rPr>
                <w:rFonts w:asciiTheme="minorHAnsi" w:eastAsia="Calibri" w:hAnsiTheme="minorHAnsi" w:cstheme="minorHAnsi"/>
                <w:b/>
                <w:bCs/>
                <w:color w:val="000000"/>
              </w:rPr>
              <w:t xml:space="preserve">ok. </w:t>
            </w:r>
            <w:r w:rsidRPr="001B0178">
              <w:rPr>
                <w:rFonts w:asciiTheme="minorHAnsi" w:eastAsia="Calibri" w:hAnsiTheme="minorHAnsi" w:cstheme="minorHAnsi"/>
                <w:b/>
                <w:bCs/>
                <w:color w:val="000000"/>
              </w:rPr>
              <w:t>10% wartości</w:t>
            </w:r>
            <w:r>
              <w:rPr>
                <w:rFonts w:asciiTheme="minorHAnsi" w:eastAsia="Calibri" w:hAnsiTheme="minorHAnsi" w:cstheme="minorHAnsi"/>
                <w:b/>
                <w:bCs/>
                <w:color w:val="000000"/>
              </w:rPr>
              <w:t xml:space="preserve"> docelowej dla </w:t>
            </w:r>
            <w:r w:rsidRPr="001B0178">
              <w:rPr>
                <w:rFonts w:asciiTheme="minorHAnsi" w:eastAsia="Calibri" w:hAnsiTheme="minorHAnsi" w:cstheme="minorHAnsi"/>
                <w:b/>
                <w:bCs/>
                <w:color w:val="000000"/>
              </w:rPr>
              <w:t>pośredniej celu.</w:t>
            </w:r>
          </w:p>
        </w:tc>
      </w:tr>
    </w:tbl>
    <w:p w14:paraId="6399130E" w14:textId="77777777" w:rsidR="00BA4C5C" w:rsidRPr="003A6407" w:rsidRDefault="00BA4C5C" w:rsidP="00F827E4">
      <w:pPr>
        <w:pStyle w:val="Nagwek2"/>
        <w:spacing w:after="200"/>
        <w:rPr>
          <w:rFonts w:asciiTheme="minorHAnsi" w:eastAsia="Times New Roman" w:hAnsiTheme="minorHAnsi" w:cstheme="minorHAnsi"/>
          <w:noProof/>
        </w:rPr>
      </w:pPr>
      <w:bookmarkStart w:id="271" w:name="_Toc98188985"/>
      <w:bookmarkStart w:id="272" w:name="_Toc120464473"/>
      <w:r w:rsidRPr="003A6407">
        <w:rPr>
          <w:rFonts w:asciiTheme="minorHAnsi" w:eastAsia="Times New Roman" w:hAnsiTheme="minorHAnsi" w:cstheme="minorHAnsi"/>
        </w:rPr>
        <w:t>Wskaźniki rezultatu</w:t>
      </w:r>
      <w:bookmarkEnd w:id="271"/>
      <w:bookmarkEnd w:id="272"/>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51"/>
        <w:gridCol w:w="736"/>
        <w:gridCol w:w="556"/>
        <w:gridCol w:w="1776"/>
        <w:gridCol w:w="723"/>
        <w:gridCol w:w="1053"/>
        <w:gridCol w:w="594"/>
        <w:gridCol w:w="824"/>
        <w:gridCol w:w="824"/>
        <w:gridCol w:w="728"/>
      </w:tblGrid>
      <w:tr w:rsidR="00191FE2" w:rsidRPr="003A6407" w14:paraId="52CAFD32" w14:textId="77777777" w:rsidTr="00270B09">
        <w:trPr>
          <w:cantSplit/>
          <w:trHeight w:val="1647"/>
        </w:trPr>
        <w:tc>
          <w:tcPr>
            <w:tcW w:w="595" w:type="dxa"/>
            <w:shd w:val="clear" w:color="auto" w:fill="auto"/>
            <w:vAlign w:val="center"/>
          </w:tcPr>
          <w:p w14:paraId="027CE94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D0E704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651" w:type="dxa"/>
            <w:shd w:val="clear" w:color="auto" w:fill="auto"/>
            <w:vAlign w:val="center"/>
          </w:tcPr>
          <w:p w14:paraId="7DF56C8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736" w:type="dxa"/>
            <w:shd w:val="clear" w:color="auto" w:fill="auto"/>
            <w:vAlign w:val="center"/>
          </w:tcPr>
          <w:p w14:paraId="4B51F5C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556" w:type="dxa"/>
            <w:shd w:val="clear" w:color="auto" w:fill="auto"/>
            <w:textDirection w:val="btLr"/>
            <w:vAlign w:val="center"/>
          </w:tcPr>
          <w:p w14:paraId="224F2744"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776" w:type="dxa"/>
            <w:shd w:val="clear" w:color="auto" w:fill="auto"/>
            <w:vAlign w:val="center"/>
          </w:tcPr>
          <w:p w14:paraId="51A2303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723" w:type="dxa"/>
            <w:shd w:val="clear" w:color="auto" w:fill="auto"/>
            <w:textDirection w:val="btLr"/>
            <w:vAlign w:val="center"/>
          </w:tcPr>
          <w:p w14:paraId="5620D059"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1053" w:type="dxa"/>
            <w:textDirection w:val="btLr"/>
            <w:vAlign w:val="center"/>
          </w:tcPr>
          <w:p w14:paraId="43E5D7C6"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594" w:type="dxa"/>
            <w:textDirection w:val="btLr"/>
            <w:vAlign w:val="center"/>
          </w:tcPr>
          <w:p w14:paraId="6393A0EB"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824" w:type="dxa"/>
            <w:vAlign w:val="center"/>
          </w:tcPr>
          <w:p w14:paraId="319136F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2AF70C5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824" w:type="dxa"/>
            <w:shd w:val="clear" w:color="auto" w:fill="auto"/>
            <w:vAlign w:val="center"/>
          </w:tcPr>
          <w:p w14:paraId="62A0E7D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728" w:type="dxa"/>
            <w:shd w:val="clear" w:color="auto" w:fill="auto"/>
            <w:vAlign w:val="center"/>
          </w:tcPr>
          <w:p w14:paraId="51EB814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24477EFF" w14:textId="77777777" w:rsidTr="00270B09">
        <w:trPr>
          <w:trHeight w:val="340"/>
        </w:trPr>
        <w:tc>
          <w:tcPr>
            <w:tcW w:w="595" w:type="dxa"/>
            <w:shd w:val="clear" w:color="auto" w:fill="auto"/>
            <w:vAlign w:val="center"/>
          </w:tcPr>
          <w:p w14:paraId="1C8B31ED"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(d)</w:t>
            </w:r>
          </w:p>
          <w:p w14:paraId="50604BCB" w14:textId="228E7C09"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4.4</w:t>
            </w:r>
          </w:p>
        </w:tc>
        <w:tc>
          <w:tcPr>
            <w:tcW w:w="651" w:type="dxa"/>
            <w:shd w:val="clear" w:color="auto" w:fill="auto"/>
            <w:vAlign w:val="center"/>
          </w:tcPr>
          <w:p w14:paraId="1948826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736" w:type="dxa"/>
            <w:shd w:val="clear" w:color="auto" w:fill="auto"/>
            <w:vAlign w:val="center"/>
          </w:tcPr>
          <w:p w14:paraId="0DBFE3E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556" w:type="dxa"/>
            <w:shd w:val="clear" w:color="auto" w:fill="auto"/>
            <w:vAlign w:val="center"/>
          </w:tcPr>
          <w:p w14:paraId="159765D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PLDCR01</w:t>
            </w:r>
          </w:p>
        </w:tc>
        <w:tc>
          <w:tcPr>
            <w:tcW w:w="1776" w:type="dxa"/>
            <w:shd w:val="clear" w:color="auto" w:fill="auto"/>
            <w:vAlign w:val="center"/>
          </w:tcPr>
          <w:p w14:paraId="6C29ECA6"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273" w:name="_Toc98188986"/>
            <w:bookmarkStart w:id="274" w:name="_Toc120464474"/>
            <w:r w:rsidRPr="003A6407">
              <w:rPr>
                <w:rFonts w:asciiTheme="minorHAnsi" w:eastAsia="Times New Roman" w:hAnsiTheme="minorHAnsi" w:cstheme="minorHAnsi"/>
                <w:bCs/>
                <w:noProof/>
                <w:sz w:val="16"/>
                <w:szCs w:val="16"/>
              </w:rPr>
              <w:t>Liczba pracowników, którzy uzyskali kwalifikacje w wyniku uczestnictwa w usłudze rozwojowej</w:t>
            </w:r>
            <w:bookmarkEnd w:id="273"/>
            <w:bookmarkEnd w:id="274"/>
          </w:p>
        </w:tc>
        <w:tc>
          <w:tcPr>
            <w:tcW w:w="723" w:type="dxa"/>
            <w:shd w:val="clear" w:color="auto" w:fill="auto"/>
            <w:vAlign w:val="center"/>
          </w:tcPr>
          <w:p w14:paraId="1F68817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1053" w:type="dxa"/>
            <w:vAlign w:val="center"/>
          </w:tcPr>
          <w:p w14:paraId="073B47B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594" w:type="dxa"/>
            <w:vAlign w:val="center"/>
          </w:tcPr>
          <w:p w14:paraId="083BD62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824" w:type="dxa"/>
            <w:vAlign w:val="center"/>
          </w:tcPr>
          <w:p w14:paraId="7A9394B8" w14:textId="75E92054"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w:t>
            </w:r>
            <w:r w:rsidR="004D463F">
              <w:rPr>
                <w:rFonts w:asciiTheme="minorHAnsi" w:eastAsia="Calibri" w:hAnsiTheme="minorHAnsi" w:cstheme="minorHAnsi"/>
                <w:noProof/>
                <w:sz w:val="16"/>
                <w:szCs w:val="16"/>
              </w:rPr>
              <w:t xml:space="preserve"> 231</w:t>
            </w:r>
          </w:p>
        </w:tc>
        <w:tc>
          <w:tcPr>
            <w:tcW w:w="824" w:type="dxa"/>
            <w:shd w:val="clear" w:color="auto" w:fill="auto"/>
            <w:vAlign w:val="center"/>
          </w:tcPr>
          <w:p w14:paraId="0ABD4F0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728" w:type="dxa"/>
            <w:shd w:val="clear" w:color="auto" w:fill="auto"/>
            <w:vAlign w:val="center"/>
          </w:tcPr>
          <w:p w14:paraId="1B8DA6D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625725EE" w14:textId="77777777" w:rsidTr="00AE28A5">
        <w:trPr>
          <w:trHeight w:val="340"/>
        </w:trPr>
        <w:tc>
          <w:tcPr>
            <w:tcW w:w="9060" w:type="dxa"/>
            <w:gridSpan w:val="11"/>
          </w:tcPr>
          <w:p w14:paraId="65DFC923"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 uwagi na metodologię pomiaru wskaźnika rezultatu, na potrzeby szacowania niniejszego wskaźnika obliczono nową wartość wskaźnika produktu: Liczba mikro-, małych i średnich przedsiębiorstw (w tym spółdzielni i przedsiębiorstw społecznych) objętych usługami rozwojowymi uwzględniając całą alokację przeznaczoną na realizację BUR.</w:t>
            </w:r>
          </w:p>
          <w:p w14:paraId="55342F03"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4DFC6420"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6699F7E3" w14:textId="5BAD8315" w:rsidR="00BA4C5C" w:rsidRPr="003A6407" w:rsidRDefault="00BA4C5C" w:rsidP="00B35722">
            <w:pPr>
              <w:numPr>
                <w:ilvl w:val="0"/>
                <w:numId w:val="12"/>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146 Wsparcie na rzecz przystosowywania pracowników, przedsiębiorstw i przedsiębiorców do zmian (</w:t>
            </w:r>
            <w:r w:rsidR="004D463F">
              <w:rPr>
                <w:rFonts w:asciiTheme="minorHAnsi" w:hAnsiTheme="minorHAnsi" w:cstheme="minorHAnsi"/>
              </w:rPr>
              <w:t>34 628 971,00</w:t>
            </w:r>
            <w:r w:rsidRPr="003A6407">
              <w:rPr>
                <w:rFonts w:asciiTheme="minorHAnsi" w:eastAsia="Calibri" w:hAnsiTheme="minorHAnsi" w:cstheme="minorHAnsi"/>
              </w:rPr>
              <w:t> EUR).</w:t>
            </w:r>
          </w:p>
          <w:p w14:paraId="3BC7BE9E" w14:textId="71EC7309"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Alokacja kodu 146 przeznaczona będzie na realizację: BUR (</w:t>
            </w:r>
            <w:r w:rsidR="004D463F">
              <w:rPr>
                <w:rFonts w:asciiTheme="minorHAnsi" w:eastAsia="Calibri" w:hAnsiTheme="minorHAnsi" w:cstheme="minorHAnsi"/>
              </w:rPr>
              <w:t>26 493 855,7</w:t>
            </w:r>
            <w:r w:rsidRPr="003A6407">
              <w:rPr>
                <w:rFonts w:asciiTheme="minorHAnsi" w:eastAsia="Calibri" w:hAnsiTheme="minorHAnsi" w:cstheme="minorHAnsi"/>
              </w:rPr>
              <w:t xml:space="preserve"> EUR), </w:t>
            </w:r>
            <w:proofErr w:type="spellStart"/>
            <w:r w:rsidRPr="003A6407">
              <w:rPr>
                <w:rFonts w:asciiTheme="minorHAnsi" w:eastAsia="Calibri" w:hAnsiTheme="minorHAnsi" w:cstheme="minorHAnsi"/>
              </w:rPr>
              <w:t>outplacement</w:t>
            </w:r>
            <w:proofErr w:type="spellEnd"/>
            <w:r w:rsidRPr="003A6407">
              <w:rPr>
                <w:rFonts w:asciiTheme="minorHAnsi" w:eastAsia="Calibri" w:hAnsiTheme="minorHAnsi" w:cstheme="minorHAnsi"/>
              </w:rPr>
              <w:t xml:space="preserve"> (</w:t>
            </w:r>
            <w:r w:rsidR="004D463F">
              <w:rPr>
                <w:rFonts w:asciiTheme="minorHAnsi" w:eastAsia="Calibri" w:hAnsiTheme="minorHAnsi" w:cstheme="minorHAnsi"/>
              </w:rPr>
              <w:t>4 675 386,3</w:t>
            </w:r>
            <w:r w:rsidRPr="003A6407">
              <w:rPr>
                <w:rFonts w:asciiTheme="minorHAnsi" w:eastAsia="Calibri" w:hAnsiTheme="minorHAnsi" w:cstheme="minorHAnsi"/>
              </w:rPr>
              <w:t xml:space="preserve"> EUR), wsparcie dialogu społecznego (3 459 729</w:t>
            </w:r>
            <w:r w:rsidRPr="003A6407" w:rsidDel="00575A4D">
              <w:rPr>
                <w:rFonts w:asciiTheme="minorHAnsi" w:eastAsia="Calibri" w:hAnsiTheme="minorHAnsi" w:cstheme="minorHAnsi"/>
              </w:rPr>
              <w:t xml:space="preserve"> </w:t>
            </w:r>
            <w:r w:rsidRPr="003A6407">
              <w:rPr>
                <w:rFonts w:asciiTheme="minorHAnsi" w:eastAsia="Calibri" w:hAnsiTheme="minorHAnsi" w:cstheme="minorHAnsi"/>
              </w:rPr>
              <w:t>EUR).</w:t>
            </w:r>
          </w:p>
          <w:p w14:paraId="78E8969A" w14:textId="59A7FB9B"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realizować będzie alokacja BUR (</w:t>
            </w:r>
            <w:r w:rsidR="004D463F">
              <w:rPr>
                <w:rFonts w:asciiTheme="minorHAnsi" w:eastAsia="Calibri" w:hAnsiTheme="minorHAnsi" w:cstheme="minorHAnsi"/>
              </w:rPr>
              <w:t>26 493 855,7</w:t>
            </w:r>
            <w:r w:rsidRPr="003A6407">
              <w:rPr>
                <w:rFonts w:asciiTheme="minorHAnsi" w:eastAsia="Calibri" w:hAnsiTheme="minorHAnsi" w:cstheme="minorHAnsi"/>
              </w:rPr>
              <w:t xml:space="preserve"> EUR). Biorąc pod uwagę kurs EUR na poziomie 4,45 suma alokacji na realizację wskaźnika wynosi </w:t>
            </w:r>
            <w:r w:rsidR="004D463F">
              <w:rPr>
                <w:rFonts w:asciiTheme="minorHAnsi" w:eastAsia="Calibri" w:hAnsiTheme="minorHAnsi" w:cstheme="minorHAnsi"/>
              </w:rPr>
              <w:t>117 897 657,9 PLN</w:t>
            </w:r>
            <w:r w:rsidRPr="003A6407">
              <w:rPr>
                <w:rFonts w:asciiTheme="minorHAnsi" w:eastAsia="Calibri" w:hAnsiTheme="minorHAnsi" w:cstheme="minorHAnsi"/>
              </w:rPr>
              <w:t>.</w:t>
            </w:r>
          </w:p>
          <w:p w14:paraId="0DE67EAB"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32 624,73 PLN. Koszt jednostkowy został skorygowany w oparciu o wartość inflacji na poziomie 15% i wynosi 37 518,45  PLN,  a obniżony do wartości dofinansowania na poziomie 70% wynosi 26 262,91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5E962F2D"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[(1*3)+(7*25)+(2*68)]/10 = 29,20%. Wartość zaokrąglono do pełnej wartości 29%. </w:t>
            </w:r>
          </w:p>
          <w:p w14:paraId="429CAF02"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0FF2BB84" w14:textId="22AFB2DC" w:rsidR="00BA4C5C" w:rsidRPr="003A6407" w:rsidRDefault="004D463F" w:rsidP="00B35722">
            <w:pPr>
              <w:shd w:val="clear" w:color="auto" w:fill="FFFFFF"/>
              <w:spacing w:before="60" w:after="60" w:line="240" w:lineRule="auto"/>
              <w:jc w:val="both"/>
              <w:rPr>
                <w:rFonts w:asciiTheme="minorHAnsi" w:eastAsia="Calibri" w:hAnsiTheme="minorHAnsi" w:cstheme="minorHAnsi"/>
              </w:rPr>
            </w:pPr>
            <w:r>
              <w:rPr>
                <w:rFonts w:asciiTheme="minorHAnsi" w:eastAsia="Calibri" w:hAnsiTheme="minorHAnsi" w:cstheme="minorHAnsi"/>
              </w:rPr>
              <w:t>117 897 657,9</w:t>
            </w:r>
            <w:r w:rsidR="00BA4C5C" w:rsidRPr="003A6407">
              <w:rPr>
                <w:rFonts w:asciiTheme="minorHAnsi" w:eastAsia="Calibri" w:hAnsiTheme="minorHAnsi" w:cstheme="minorHAnsi"/>
              </w:rPr>
              <w:t xml:space="preserve">/ 26 262,91 * (1-0,29) =  </w:t>
            </w:r>
            <w:r>
              <w:rPr>
                <w:rFonts w:asciiTheme="minorHAnsi" w:eastAsia="Calibri" w:hAnsiTheme="minorHAnsi" w:cstheme="minorHAnsi"/>
              </w:rPr>
              <w:t>3 187</w:t>
            </w:r>
            <w:r w:rsidR="00BA4C5C" w:rsidRPr="003A6407">
              <w:rPr>
                <w:rFonts w:asciiTheme="minorHAnsi" w:eastAsia="Calibri" w:hAnsiTheme="minorHAnsi" w:cstheme="minorHAnsi"/>
              </w:rPr>
              <w:t xml:space="preserve"> przedsiębiorstw.</w:t>
            </w:r>
          </w:p>
          <w:p w14:paraId="6E107DFC"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p>
          <w:p w14:paraId="09BE0DE2"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Zakłada się, że wartość docelowa wskaźnika rezultatu to 70% z powyższej wartości wskaźnika produktu: Liczba mikro-, małych i średnich przedsiębiorstw (w tym spółdzielni i przedsiębiorstw społecznych) objętych usługami rozwojowymi. Na podstawie danych historycznych RPO WD 2014-2020, gdzie efektywność działań z zakresu nabywania kwalifikacji wynosiła 70%. </w:t>
            </w:r>
          </w:p>
          <w:p w14:paraId="5B2748C7"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0D1FE48B" w14:textId="64B9C1F4"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 3 </w:t>
            </w:r>
            <w:r w:rsidR="004D463F">
              <w:rPr>
                <w:rFonts w:asciiTheme="minorHAnsi" w:eastAsia="Calibri" w:hAnsiTheme="minorHAnsi" w:cstheme="minorHAnsi"/>
              </w:rPr>
              <w:t>184</w:t>
            </w:r>
            <w:r w:rsidRPr="003A6407">
              <w:rPr>
                <w:rFonts w:asciiTheme="minorHAnsi" w:eastAsia="Calibri" w:hAnsiTheme="minorHAnsi" w:cstheme="minorHAnsi"/>
              </w:rPr>
              <w:t xml:space="preserve"> * 70% = 2 </w:t>
            </w:r>
            <w:r w:rsidR="004D463F">
              <w:rPr>
                <w:rFonts w:asciiTheme="minorHAnsi" w:eastAsia="Calibri" w:hAnsiTheme="minorHAnsi" w:cstheme="minorHAnsi"/>
              </w:rPr>
              <w:t>231</w:t>
            </w:r>
            <w:r w:rsidRPr="003A6407">
              <w:rPr>
                <w:rFonts w:asciiTheme="minorHAnsi" w:eastAsia="Calibri" w:hAnsiTheme="minorHAnsi" w:cstheme="minorHAnsi"/>
              </w:rPr>
              <w:t xml:space="preserve"> os</w:t>
            </w:r>
            <w:r w:rsidR="001B0B98" w:rsidRPr="003A6407">
              <w:rPr>
                <w:rFonts w:asciiTheme="minorHAnsi" w:eastAsia="Calibri" w:hAnsiTheme="minorHAnsi" w:cstheme="minorHAnsi"/>
              </w:rPr>
              <w:t>ó</w:t>
            </w:r>
            <w:r w:rsidRPr="003A6407">
              <w:rPr>
                <w:rFonts w:asciiTheme="minorHAnsi" w:eastAsia="Calibri" w:hAnsiTheme="minorHAnsi" w:cstheme="minorHAnsi"/>
              </w:rPr>
              <w:t>b.</w:t>
            </w:r>
          </w:p>
          <w:p w14:paraId="1B8F71B4"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p>
          <w:p w14:paraId="6909CB9F"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Należy zwrócić szczególną uwagę na następujące (</w:t>
            </w:r>
            <w:r w:rsidRPr="003A6407">
              <w:rPr>
                <w:rFonts w:asciiTheme="minorHAnsi" w:eastAsia="Calibri" w:hAnsiTheme="minorHAnsi" w:cstheme="minorHAnsi"/>
                <w:u w:val="single"/>
              </w:rPr>
              <w:t>ogólne</w:t>
            </w:r>
            <w:r w:rsidRPr="003A6407">
              <w:rPr>
                <w:rFonts w:asciiTheme="minorHAnsi" w:eastAsia="Calibri" w:hAnsiTheme="minorHAnsi" w:cstheme="minorHAnsi"/>
              </w:rPr>
              <w:t>) czynniki ryzyka, które mogą mieć wpływ na poziom osiągnięcia założonej wartości docelowej:</w:t>
            </w:r>
          </w:p>
          <w:p w14:paraId="37D58CAC" w14:textId="77777777" w:rsidR="00BA4C5C" w:rsidRPr="003A6407" w:rsidRDefault="00BA4C5C">
            <w:pPr>
              <w:numPr>
                <w:ilvl w:val="0"/>
                <w:numId w:val="45"/>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rPr>
              <w:t>ryzyko walutowe</w:t>
            </w:r>
            <w:r w:rsidRPr="003A6407">
              <w:rPr>
                <w:rFonts w:asciiTheme="minorHAnsi" w:eastAsia="Calibri" w:hAnsiTheme="minorHAnsi" w:cstheme="minorHAns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16826A45" w14:textId="77777777" w:rsidR="00BA4C5C" w:rsidRPr="003A6407" w:rsidRDefault="00BA4C5C">
            <w:pPr>
              <w:numPr>
                <w:ilvl w:val="0"/>
                <w:numId w:val="45"/>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rPr>
              <w:t>zawieszenie płatności przez KE dla danej osi priorytetowej</w:t>
            </w:r>
            <w:r w:rsidRPr="003A6407">
              <w:rPr>
                <w:rFonts w:asciiTheme="minorHAnsi" w:eastAsia="Calibri" w:hAnsiTheme="minorHAnsi" w:cstheme="minorHAnsi"/>
              </w:rPr>
              <w:t>; (istotność: umiarkowana)</w:t>
            </w:r>
          </w:p>
          <w:p w14:paraId="24338CFE" w14:textId="77777777" w:rsidR="00BA4C5C" w:rsidRPr="003A6407" w:rsidRDefault="00BA4C5C">
            <w:pPr>
              <w:numPr>
                <w:ilvl w:val="0"/>
                <w:numId w:val="45"/>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bCs/>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rPr>
              <w:t>ante</w:t>
            </w:r>
            <w:proofErr w:type="spellEnd"/>
            <w:r w:rsidRPr="003A6407">
              <w:rPr>
                <w:rFonts w:asciiTheme="minorHAnsi" w:eastAsia="Calibri" w:hAnsiTheme="minorHAnsi" w:cstheme="minorHAnsi"/>
                <w:b/>
                <w:bCs/>
              </w:rPr>
              <w:t>),</w:t>
            </w:r>
            <w:r w:rsidRPr="003A6407">
              <w:rPr>
                <w:rFonts w:asciiTheme="minorHAnsi" w:eastAsia="Calibri" w:hAnsiTheme="minorHAnsi" w:cstheme="minorHAnsi"/>
              </w:rPr>
              <w:t xml:space="preserve"> a które są poza kompetencjami IZ oraz instytucji odpowiedzialnych za spełnienie tych warunków; (istotność: umiarkowana)</w:t>
            </w:r>
          </w:p>
          <w:p w14:paraId="68B4C164" w14:textId="77777777" w:rsidR="00BA4C5C" w:rsidRPr="003A6407" w:rsidRDefault="00BA4C5C">
            <w:pPr>
              <w:numPr>
                <w:ilvl w:val="0"/>
                <w:numId w:val="45"/>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rPr>
              <w:t>ostateczne ustalenia dot. Występowania i poziomu pomocy publicznej</w:t>
            </w:r>
            <w:r w:rsidRPr="003A6407">
              <w:rPr>
                <w:rFonts w:asciiTheme="minorHAnsi" w:eastAsia="Calibri" w:hAnsiTheme="minorHAnsi" w:cstheme="minorHAnsi"/>
              </w:rPr>
              <w:t>; (istotność: umiarkowana)</w:t>
            </w:r>
          </w:p>
          <w:p w14:paraId="796C005A" w14:textId="77777777" w:rsidR="00BA4C5C" w:rsidRPr="003A6407" w:rsidRDefault="00BA4C5C">
            <w:pPr>
              <w:numPr>
                <w:ilvl w:val="0"/>
                <w:numId w:val="45"/>
              </w:numPr>
              <w:shd w:val="clear" w:color="auto" w:fill="FFFFFF"/>
              <w:spacing w:before="60" w:after="60" w:line="240" w:lineRule="auto"/>
              <w:jc w:val="both"/>
              <w:rPr>
                <w:rFonts w:asciiTheme="minorHAnsi" w:eastAsia="Calibri" w:hAnsiTheme="minorHAnsi" w:cstheme="minorHAnsi"/>
                <w:b/>
              </w:rPr>
            </w:pPr>
            <w:r w:rsidRPr="003A6407">
              <w:rPr>
                <w:rFonts w:asciiTheme="minorHAnsi" w:eastAsia="Calibri" w:hAnsiTheme="minorHAnsi" w:cstheme="minorHAnsi"/>
                <w:b/>
              </w:rPr>
              <w:t>opóźnienia, bądź niewykonanie projektu związane z procedurami wynikającymi z zamówień publicznych</w:t>
            </w:r>
            <w:r w:rsidRPr="003A6407">
              <w:rPr>
                <w:rFonts w:asciiTheme="minorHAnsi" w:eastAsia="Calibri" w:hAnsiTheme="minorHAnsi" w:cstheme="minorHAnsi"/>
                <w:bCs/>
              </w:rPr>
              <w:t>; (istotność: poważna)</w:t>
            </w:r>
          </w:p>
          <w:p w14:paraId="3F567388" w14:textId="77777777" w:rsidR="00BA4C5C" w:rsidRPr="003A6407" w:rsidRDefault="00BA4C5C">
            <w:pPr>
              <w:numPr>
                <w:ilvl w:val="0"/>
                <w:numId w:val="45"/>
              </w:numPr>
              <w:shd w:val="clear" w:color="auto" w:fill="FFFFFF"/>
              <w:spacing w:before="60" w:after="60" w:line="240" w:lineRule="auto"/>
              <w:jc w:val="both"/>
              <w:rPr>
                <w:rFonts w:asciiTheme="minorHAnsi" w:eastAsia="Calibri" w:hAnsiTheme="minorHAnsi" w:cstheme="minorHAnsi"/>
                <w:bCs/>
              </w:rPr>
            </w:pPr>
            <w:r w:rsidRPr="003A6407">
              <w:rPr>
                <w:rFonts w:asciiTheme="minorHAnsi" w:eastAsia="Calibri" w:hAnsiTheme="minorHAnsi" w:cstheme="minorHAnsi"/>
                <w:b/>
              </w:rPr>
              <w:t xml:space="preserve">wpływ pandemii koronawirusa SARS-CoV-2 </w:t>
            </w:r>
            <w:r w:rsidRPr="003A6407">
              <w:rPr>
                <w:rFonts w:asciiTheme="minorHAnsi" w:eastAsia="Calibri" w:hAnsiTheme="minorHAnsi" w:cstheme="minorHAnsi"/>
                <w:bCs/>
              </w:rPr>
              <w:t>na gospodarkę regionalną, potencjalne możliwości realizacji projektów, na zdolności inwestycyjne i nastroje przedsiębiorstw oraz innych beneficjentów do inwestowania, zdolność administracyjną i kadrową. (istotność: umiarkowana).</w:t>
            </w:r>
          </w:p>
          <w:p w14:paraId="729B058A" w14:textId="77777777" w:rsidR="00BA4C5C" w:rsidRPr="003A6407" w:rsidRDefault="00BA4C5C" w:rsidP="00270B09">
            <w:pPr>
              <w:shd w:val="clear" w:color="auto" w:fill="FFFFFF"/>
              <w:spacing w:before="60" w:after="60" w:line="240" w:lineRule="auto"/>
              <w:ind w:left="720"/>
              <w:jc w:val="both"/>
              <w:rPr>
                <w:rFonts w:asciiTheme="minorHAnsi" w:eastAsia="Calibri" w:hAnsiTheme="minorHAnsi" w:cstheme="minorHAnsi"/>
                <w:bCs/>
              </w:rPr>
            </w:pPr>
          </w:p>
          <w:p w14:paraId="403076DE" w14:textId="77777777" w:rsidR="00BA4C5C" w:rsidRPr="003A6407" w:rsidRDefault="00BA4C5C" w:rsidP="00B35722">
            <w:pPr>
              <w:shd w:val="clear" w:color="auto" w:fill="FFFFFF"/>
              <w:spacing w:before="60" w:after="60" w:line="240" w:lineRule="auto"/>
              <w:jc w:val="both"/>
              <w:rPr>
                <w:rFonts w:asciiTheme="minorHAnsi" w:eastAsia="Calibri" w:hAnsiTheme="minorHAnsi" w:cstheme="minorHAnsi"/>
                <w:bCs/>
              </w:rPr>
            </w:pPr>
            <w:r w:rsidRPr="003A6407">
              <w:rPr>
                <w:rFonts w:asciiTheme="minorHAnsi" w:eastAsia="Calibri" w:hAnsiTheme="minorHAnsi" w:cstheme="minorHAnsi"/>
                <w:bCs/>
              </w:rPr>
              <w:t xml:space="preserve">Z uwagi na specyfikę projektów społecznych należy wziąć pod uwagę kolejne ryzyka </w:t>
            </w:r>
            <w:r w:rsidRPr="003A6407">
              <w:rPr>
                <w:rFonts w:asciiTheme="minorHAnsi" w:eastAsia="Calibri" w:hAnsiTheme="minorHAnsi" w:cstheme="minorHAnsi"/>
                <w:bCs/>
                <w:u w:val="single"/>
              </w:rPr>
              <w:t>szczegółowe</w:t>
            </w:r>
            <w:r w:rsidRPr="003A6407">
              <w:rPr>
                <w:rFonts w:asciiTheme="minorHAnsi" w:eastAsia="Calibri" w:hAnsiTheme="minorHAnsi" w:cstheme="minorHAnsi"/>
                <w:bCs/>
              </w:rPr>
              <w:t>:</w:t>
            </w:r>
            <w:r w:rsidRPr="003A6407">
              <w:rPr>
                <w:rFonts w:asciiTheme="minorHAnsi" w:eastAsia="Calibri" w:hAnsiTheme="minorHAnsi" w:cstheme="minorHAnsi"/>
              </w:rPr>
              <w:tab/>
            </w:r>
          </w:p>
          <w:p w14:paraId="1E4D06AE" w14:textId="77777777" w:rsidR="00BA4C5C" w:rsidRPr="003A6407" w:rsidRDefault="00BA4C5C">
            <w:pPr>
              <w:numPr>
                <w:ilvl w:val="0"/>
                <w:numId w:val="46"/>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rPr>
              <w:t>powodzeniem beneficjentów</w:t>
            </w:r>
            <w:r w:rsidRPr="003A6407">
              <w:rPr>
                <w:rFonts w:asciiTheme="minorHAnsi" w:eastAsia="Calibri" w:hAnsiTheme="minorHAnsi" w:cstheme="minorHAnsi"/>
              </w:rPr>
              <w:t>. Należy mieć wówczas możliwość kierowania wsparcia w ramach innego typu przedsięwzięcia, bez obawy nieosiągnięcia zaplanowanego do osiągnięcia wskaźnika; (istotność: umiarkowana)</w:t>
            </w:r>
          </w:p>
          <w:p w14:paraId="0C06077F" w14:textId="77777777" w:rsidR="00BA4C5C" w:rsidRPr="003A6407" w:rsidRDefault="00BA4C5C">
            <w:pPr>
              <w:numPr>
                <w:ilvl w:val="0"/>
                <w:numId w:val="46"/>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rPr>
              <w:lastRenderedPageBreak/>
              <w:t>ryzyko zmieniającej się ceny</w:t>
            </w:r>
            <w:r w:rsidRPr="003A6407">
              <w:rPr>
                <w:rFonts w:asciiTheme="minorHAnsi" w:eastAsia="Calibri" w:hAnsiTheme="minorHAnsi" w:cstheme="minorHAnsi"/>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E5A5526" w14:textId="77777777" w:rsidR="00BA4C5C" w:rsidRPr="003A6407" w:rsidRDefault="00BA4C5C">
            <w:pPr>
              <w:numPr>
                <w:ilvl w:val="0"/>
                <w:numId w:val="46"/>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rPr>
              <w:t>ryzyko realizacji projektów o niższej efektywności niż dotychczas</w:t>
            </w:r>
            <w:r w:rsidRPr="003A6407">
              <w:rPr>
                <w:rFonts w:asciiTheme="minorHAnsi" w:eastAsia="Calibri" w:hAnsiTheme="minorHAnsi" w:cstheme="minorHAnsi"/>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4A816D9E" w14:textId="77777777" w:rsidR="00BA4C5C" w:rsidRPr="003A6407" w:rsidRDefault="00BA4C5C">
            <w:pPr>
              <w:numPr>
                <w:ilvl w:val="0"/>
                <w:numId w:val="46"/>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b/>
              </w:rPr>
              <w:t>ryzyko niezdefiniowane</w:t>
            </w:r>
            <w:r w:rsidRPr="003A6407">
              <w:rPr>
                <w:rFonts w:asciiTheme="minorHAnsi" w:eastAsia="Calibri" w:hAnsiTheme="minorHAnsi" w:cstheme="minorHAnsi"/>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tc>
      </w:tr>
    </w:tbl>
    <w:p w14:paraId="44570C01" w14:textId="77777777" w:rsidR="00BA4C5C" w:rsidRPr="003A6407" w:rsidRDefault="00BA4C5C" w:rsidP="001970D9">
      <w:pPr>
        <w:rPr>
          <w:rFonts w:asciiTheme="minorHAnsi" w:hAnsiTheme="minorHAnsi" w:cstheme="minorHAns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58"/>
        <w:gridCol w:w="743"/>
        <w:gridCol w:w="563"/>
        <w:gridCol w:w="1788"/>
        <w:gridCol w:w="732"/>
        <w:gridCol w:w="1198"/>
        <w:gridCol w:w="584"/>
        <w:gridCol w:w="732"/>
        <w:gridCol w:w="730"/>
        <w:gridCol w:w="727"/>
      </w:tblGrid>
      <w:tr w:rsidR="00191FE2" w:rsidRPr="003A6407" w14:paraId="0D07BFB2" w14:textId="77777777" w:rsidTr="00270B09">
        <w:trPr>
          <w:cantSplit/>
          <w:trHeight w:val="1647"/>
        </w:trPr>
        <w:tc>
          <w:tcPr>
            <w:tcW w:w="605" w:type="dxa"/>
            <w:shd w:val="clear" w:color="auto" w:fill="auto"/>
            <w:vAlign w:val="center"/>
          </w:tcPr>
          <w:p w14:paraId="5A74557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BFF543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658" w:type="dxa"/>
            <w:shd w:val="clear" w:color="auto" w:fill="auto"/>
            <w:vAlign w:val="center"/>
          </w:tcPr>
          <w:p w14:paraId="4D4E1B8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743" w:type="dxa"/>
            <w:shd w:val="clear" w:color="auto" w:fill="auto"/>
            <w:vAlign w:val="center"/>
          </w:tcPr>
          <w:p w14:paraId="4883765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563" w:type="dxa"/>
            <w:shd w:val="clear" w:color="auto" w:fill="auto"/>
            <w:textDirection w:val="btLr"/>
            <w:vAlign w:val="center"/>
          </w:tcPr>
          <w:p w14:paraId="7660C9F0"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788" w:type="dxa"/>
            <w:shd w:val="clear" w:color="auto" w:fill="auto"/>
            <w:vAlign w:val="center"/>
          </w:tcPr>
          <w:p w14:paraId="7A2FFB9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732" w:type="dxa"/>
            <w:shd w:val="clear" w:color="auto" w:fill="auto"/>
            <w:textDirection w:val="btLr"/>
            <w:vAlign w:val="center"/>
          </w:tcPr>
          <w:p w14:paraId="1DD2BB6D"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1198" w:type="dxa"/>
            <w:textDirection w:val="btLr"/>
            <w:vAlign w:val="center"/>
          </w:tcPr>
          <w:p w14:paraId="386CFEAB"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584" w:type="dxa"/>
            <w:shd w:val="clear" w:color="auto" w:fill="auto"/>
            <w:textDirection w:val="btLr"/>
            <w:vAlign w:val="center"/>
          </w:tcPr>
          <w:p w14:paraId="4872B731"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732" w:type="dxa"/>
            <w:shd w:val="clear" w:color="auto" w:fill="auto"/>
            <w:vAlign w:val="center"/>
          </w:tcPr>
          <w:p w14:paraId="73EAC12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10017DD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730" w:type="dxa"/>
            <w:vAlign w:val="center"/>
          </w:tcPr>
          <w:p w14:paraId="244483A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727" w:type="dxa"/>
            <w:vAlign w:val="center"/>
          </w:tcPr>
          <w:p w14:paraId="737C925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6210D255" w14:textId="77777777" w:rsidTr="00270B09">
        <w:trPr>
          <w:trHeight w:val="340"/>
        </w:trPr>
        <w:tc>
          <w:tcPr>
            <w:tcW w:w="605" w:type="dxa"/>
            <w:shd w:val="clear" w:color="auto" w:fill="auto"/>
            <w:vAlign w:val="center"/>
          </w:tcPr>
          <w:p w14:paraId="64E53393"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(d)</w:t>
            </w:r>
          </w:p>
          <w:p w14:paraId="7D51D545" w14:textId="4D135880"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4.4</w:t>
            </w:r>
          </w:p>
        </w:tc>
        <w:tc>
          <w:tcPr>
            <w:tcW w:w="658" w:type="dxa"/>
            <w:shd w:val="clear" w:color="auto" w:fill="auto"/>
            <w:vAlign w:val="center"/>
          </w:tcPr>
          <w:p w14:paraId="476FAE7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743" w:type="dxa"/>
            <w:shd w:val="clear" w:color="auto" w:fill="auto"/>
            <w:vAlign w:val="center"/>
          </w:tcPr>
          <w:p w14:paraId="228471A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563" w:type="dxa"/>
            <w:shd w:val="clear" w:color="auto" w:fill="auto"/>
            <w:vAlign w:val="center"/>
          </w:tcPr>
          <w:p w14:paraId="4E09FC5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PLDCR02</w:t>
            </w:r>
          </w:p>
        </w:tc>
        <w:tc>
          <w:tcPr>
            <w:tcW w:w="1788" w:type="dxa"/>
            <w:shd w:val="clear" w:color="auto" w:fill="auto"/>
            <w:vAlign w:val="center"/>
          </w:tcPr>
          <w:p w14:paraId="7023B262" w14:textId="77777777" w:rsidR="00BA4C5C" w:rsidRPr="003A6407" w:rsidRDefault="00BA4C5C" w:rsidP="00270B09">
            <w:pPr>
              <w:keepNext/>
              <w:keepLines/>
              <w:spacing w:before="200" w:after="0"/>
              <w:jc w:val="center"/>
              <w:outlineLvl w:val="2"/>
              <w:rPr>
                <w:rFonts w:asciiTheme="minorHAnsi" w:eastAsia="Times New Roman" w:hAnsiTheme="minorHAnsi" w:cstheme="minorHAnsi"/>
                <w:bCs/>
                <w:noProof/>
                <w:sz w:val="16"/>
                <w:szCs w:val="16"/>
              </w:rPr>
            </w:pPr>
            <w:bookmarkStart w:id="275" w:name="_Toc98188987"/>
            <w:bookmarkStart w:id="276" w:name="_Toc120464475"/>
            <w:r w:rsidRPr="003A6407">
              <w:rPr>
                <w:rFonts w:asciiTheme="minorHAnsi" w:eastAsia="Times New Roman" w:hAnsiTheme="minorHAnsi" w:cstheme="minorHAnsi"/>
                <w:bCs/>
                <w:noProof/>
                <w:sz w:val="16"/>
                <w:szCs w:val="16"/>
              </w:rPr>
              <w:t>Liczba osób, które w wyniku realizacji wsparcia z zakresu outplacementu/adaptacji środowiska pracy/elastycznych form zatrudnienia podjęły pracę lub kontynuowały zatrudnienie</w:t>
            </w:r>
            <w:bookmarkEnd w:id="275"/>
            <w:bookmarkEnd w:id="276"/>
          </w:p>
        </w:tc>
        <w:tc>
          <w:tcPr>
            <w:tcW w:w="732" w:type="dxa"/>
            <w:shd w:val="clear" w:color="auto" w:fill="auto"/>
            <w:vAlign w:val="center"/>
          </w:tcPr>
          <w:p w14:paraId="247F4CB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1198" w:type="dxa"/>
            <w:vAlign w:val="center"/>
          </w:tcPr>
          <w:p w14:paraId="42ADFC2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584" w:type="dxa"/>
            <w:shd w:val="clear" w:color="auto" w:fill="auto"/>
            <w:vAlign w:val="center"/>
          </w:tcPr>
          <w:p w14:paraId="27AEC2C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732" w:type="dxa"/>
            <w:shd w:val="clear" w:color="auto" w:fill="auto"/>
            <w:vAlign w:val="center"/>
          </w:tcPr>
          <w:p w14:paraId="7672192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445</w:t>
            </w:r>
          </w:p>
        </w:tc>
        <w:tc>
          <w:tcPr>
            <w:tcW w:w="730" w:type="dxa"/>
            <w:vAlign w:val="center"/>
          </w:tcPr>
          <w:p w14:paraId="123B484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727" w:type="dxa"/>
            <w:vAlign w:val="center"/>
          </w:tcPr>
          <w:p w14:paraId="0751A41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4DB5E19A" w14:textId="77777777" w:rsidTr="002B58A1">
        <w:trPr>
          <w:trHeight w:val="340"/>
        </w:trPr>
        <w:tc>
          <w:tcPr>
            <w:tcW w:w="9060" w:type="dxa"/>
            <w:gridSpan w:val="11"/>
          </w:tcPr>
          <w:p w14:paraId="3A61E7C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5904F85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Zakłada się, że wartość docelowa wskaźnika rezultatu to 61% z wartości wskaźnika produktu: Liczba osób objętych wsparciem z zakresu </w:t>
            </w:r>
            <w:proofErr w:type="spellStart"/>
            <w:r w:rsidRPr="003A6407">
              <w:rPr>
                <w:rFonts w:asciiTheme="minorHAnsi" w:eastAsia="Calibri" w:hAnsiTheme="minorHAnsi" w:cstheme="minorHAnsi"/>
              </w:rPr>
              <w:t>outplacementu</w:t>
            </w:r>
            <w:proofErr w:type="spellEnd"/>
            <w:r w:rsidRPr="003A6407">
              <w:rPr>
                <w:rFonts w:asciiTheme="minorHAnsi" w:eastAsia="Calibri" w:hAnsiTheme="minorHAnsi" w:cstheme="minorHAnsi"/>
              </w:rPr>
              <w:t xml:space="preserve">. Na podstawie danych historycznych RPO WD 2014-2020, gdzie efektywność zatrudnieniowa wynosiła 61 %. </w:t>
            </w:r>
          </w:p>
          <w:p w14:paraId="2EB8B711"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7F53D24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 729 * 61% = 445  osób.</w:t>
            </w:r>
          </w:p>
        </w:tc>
      </w:tr>
    </w:tbl>
    <w:p w14:paraId="559CB0A1" w14:textId="19723886" w:rsidR="00BA4C5C" w:rsidRPr="003A6407" w:rsidRDefault="00BA4C5C" w:rsidP="00270B09">
      <w:pPr>
        <w:pStyle w:val="Nagwek2"/>
        <w:rPr>
          <w:rFonts w:asciiTheme="minorHAnsi" w:hAnsiTheme="minorHAnsi" w:cstheme="minorHAnsi"/>
        </w:rPr>
      </w:pPr>
      <w:bookmarkStart w:id="277" w:name="_Toc98188988"/>
      <w:bookmarkStart w:id="278" w:name="_Toc120464476"/>
      <w:r w:rsidRPr="003A6407">
        <w:rPr>
          <w:rFonts w:asciiTheme="minorHAnsi" w:hAnsiTheme="minorHAnsi" w:cstheme="minorHAnsi"/>
        </w:rPr>
        <w:lastRenderedPageBreak/>
        <w:t xml:space="preserve">CEL SZCZEGÓŁOWY: </w:t>
      </w:r>
      <w:r w:rsidR="00637C8C" w:rsidRPr="00637C8C">
        <w:rPr>
          <w:rFonts w:asciiTheme="minorHAnsi" w:hAnsiTheme="minorHAnsi" w:cstheme="minorHAnsi"/>
        </w:rPr>
        <w:t>ESO4.8. Wspieranie aktywnego włączenia społecznego w celu promowania równości szans, niedyskryminacji i aktywnego uczestnictwa, oraz zwiększanie zdolności do zatrudnienia, w szczególności grup w niekorzystnej sytuacji (EFS+)</w:t>
      </w:r>
      <w:bookmarkEnd w:id="277"/>
      <w:bookmarkEnd w:id="278"/>
    </w:p>
    <w:p w14:paraId="7730E89A" w14:textId="77777777" w:rsidR="00BA4C5C" w:rsidRPr="003A6407" w:rsidRDefault="00BA4C5C" w:rsidP="000B32E2">
      <w:pPr>
        <w:pStyle w:val="Nagwek2"/>
        <w:spacing w:after="200"/>
        <w:rPr>
          <w:rFonts w:asciiTheme="minorHAnsi" w:hAnsiTheme="minorHAnsi" w:cstheme="minorHAnsi"/>
        </w:rPr>
      </w:pPr>
      <w:bookmarkStart w:id="279" w:name="_Toc98188989"/>
      <w:bookmarkStart w:id="280" w:name="_Toc120464477"/>
      <w:r w:rsidRPr="003A6407">
        <w:rPr>
          <w:rFonts w:asciiTheme="minorHAnsi" w:hAnsiTheme="minorHAnsi" w:cstheme="minorHAnsi"/>
        </w:rPr>
        <w:t>Wskaźniki produktu</w:t>
      </w:r>
      <w:bookmarkEnd w:id="279"/>
      <w:bookmarkEnd w:id="280"/>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77DA7F78" w14:textId="77777777" w:rsidTr="00270B09">
        <w:trPr>
          <w:cantSplit/>
          <w:trHeight w:val="1647"/>
        </w:trPr>
        <w:tc>
          <w:tcPr>
            <w:tcW w:w="451" w:type="pct"/>
            <w:shd w:val="clear" w:color="auto" w:fill="auto"/>
            <w:vAlign w:val="center"/>
          </w:tcPr>
          <w:p w14:paraId="2A584D2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1895096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28971A7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7DE79A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3CEEE22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3365BE4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61410BF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17751E0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030EEDA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6EC109F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EA76BA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235D55" w:rsidRPr="003A6407" w14:paraId="0E84DB0C" w14:textId="77777777" w:rsidTr="00235D55">
        <w:trPr>
          <w:trHeight w:val="340"/>
        </w:trPr>
        <w:tc>
          <w:tcPr>
            <w:tcW w:w="451" w:type="pct"/>
            <w:shd w:val="clear" w:color="auto" w:fill="auto"/>
            <w:vAlign w:val="center"/>
          </w:tcPr>
          <w:p w14:paraId="40537087" w14:textId="77777777" w:rsidR="00235D55"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(h)</w:t>
            </w:r>
          </w:p>
          <w:p w14:paraId="145924A5" w14:textId="5476934F"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4.8</w:t>
            </w:r>
          </w:p>
        </w:tc>
        <w:tc>
          <w:tcPr>
            <w:tcW w:w="494" w:type="pct"/>
            <w:shd w:val="clear" w:color="auto" w:fill="auto"/>
            <w:vAlign w:val="center"/>
          </w:tcPr>
          <w:p w14:paraId="3ADF7FC5" w14:textId="77777777"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2B357A64" w14:textId="77777777"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tcBorders>
              <w:top w:val="single" w:sz="4" w:space="0" w:color="000000"/>
              <w:left w:val="single" w:sz="4" w:space="0" w:color="000000"/>
              <w:bottom w:val="single" w:sz="4" w:space="0" w:color="000000"/>
              <w:right w:val="single" w:sz="4" w:space="0" w:color="000000"/>
            </w:tcBorders>
          </w:tcPr>
          <w:p w14:paraId="3DA50F4B" w14:textId="6FFDD6E4"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235D55">
              <w:rPr>
                <w:rFonts w:asciiTheme="minorHAnsi" w:eastAsia="Calibri" w:hAnsiTheme="minorHAnsi" w:cstheme="minorHAnsi"/>
                <w:noProof/>
                <w:sz w:val="16"/>
                <w:szCs w:val="16"/>
              </w:rPr>
              <w:t>EECO02</w:t>
            </w:r>
          </w:p>
        </w:tc>
        <w:tc>
          <w:tcPr>
            <w:tcW w:w="1411" w:type="pct"/>
            <w:tcBorders>
              <w:top w:val="single" w:sz="4" w:space="0" w:color="000000"/>
              <w:left w:val="single" w:sz="4" w:space="0" w:color="000000"/>
              <w:bottom w:val="single" w:sz="4" w:space="0" w:color="000000"/>
              <w:right w:val="single" w:sz="4" w:space="0" w:color="000000"/>
            </w:tcBorders>
          </w:tcPr>
          <w:p w14:paraId="0048763C" w14:textId="7829CD74" w:rsidR="00235D55" w:rsidRPr="00B30C4B" w:rsidRDefault="00235D55" w:rsidP="00235D55">
            <w:pPr>
              <w:keepNext/>
              <w:keepLines/>
              <w:spacing w:before="200" w:after="0"/>
              <w:jc w:val="center"/>
              <w:outlineLvl w:val="2"/>
              <w:rPr>
                <w:rFonts w:asciiTheme="minorHAnsi" w:eastAsia="Calibri" w:hAnsiTheme="minorHAnsi" w:cstheme="minorHAnsi"/>
                <w:noProof/>
                <w:sz w:val="16"/>
                <w:szCs w:val="16"/>
              </w:rPr>
            </w:pPr>
            <w:bookmarkStart w:id="281" w:name="_Toc97122028"/>
            <w:bookmarkStart w:id="282" w:name="_Toc98188990"/>
            <w:bookmarkStart w:id="283" w:name="_Toc120464478"/>
            <w:r w:rsidRPr="00235D55">
              <w:rPr>
                <w:rFonts w:asciiTheme="minorHAnsi" w:eastAsia="Calibri" w:hAnsiTheme="minorHAnsi" w:cstheme="minorHAnsi"/>
                <w:noProof/>
                <w:sz w:val="16"/>
                <w:szCs w:val="16"/>
              </w:rPr>
              <w:t>Bezrobotni, w tym długotrwale bezrobotni</w:t>
            </w:r>
            <w:bookmarkEnd w:id="281"/>
            <w:bookmarkEnd w:id="282"/>
            <w:bookmarkEnd w:id="283"/>
          </w:p>
        </w:tc>
        <w:tc>
          <w:tcPr>
            <w:tcW w:w="549" w:type="pct"/>
            <w:shd w:val="clear" w:color="auto" w:fill="auto"/>
            <w:vAlign w:val="center"/>
          </w:tcPr>
          <w:p w14:paraId="76EC81EF" w14:textId="77777777"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6A41991F" w14:textId="7F13348D"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581,00</w:t>
            </w:r>
          </w:p>
        </w:tc>
        <w:tc>
          <w:tcPr>
            <w:tcW w:w="550" w:type="pct"/>
            <w:shd w:val="clear" w:color="auto" w:fill="auto"/>
            <w:vAlign w:val="center"/>
          </w:tcPr>
          <w:p w14:paraId="719C26AE" w14:textId="77777777" w:rsidR="00235D55" w:rsidRPr="003A6407" w:rsidRDefault="00235D55" w:rsidP="00235D55">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12 891,00</w:t>
            </w:r>
          </w:p>
        </w:tc>
      </w:tr>
      <w:tr w:rsidR="00BA4C5C" w:rsidRPr="003A6407" w14:paraId="44DC6334" w14:textId="77777777" w:rsidTr="00270B09">
        <w:trPr>
          <w:trHeight w:val="340"/>
        </w:trPr>
        <w:tc>
          <w:tcPr>
            <w:tcW w:w="5000" w:type="pct"/>
            <w:gridSpan w:val="8"/>
            <w:shd w:val="clear" w:color="auto" w:fill="auto"/>
          </w:tcPr>
          <w:p w14:paraId="19D41C5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94F622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realizują kody interwencji:</w:t>
            </w:r>
          </w:p>
          <w:p w14:paraId="7574A537" w14:textId="23083956" w:rsidR="00BA4C5C" w:rsidRPr="003A6407" w:rsidRDefault="00BA4C5C" w:rsidP="000B32E2">
            <w:pPr>
              <w:numPr>
                <w:ilvl w:val="0"/>
                <w:numId w:val="12"/>
              </w:num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163 Promowanie integracji społecznej osób zagrożonych ubóstwem lub wykluczeniem społecznym, w tym osób najbardziej potrzebujących i dzieci (</w:t>
            </w:r>
            <w:r w:rsidR="00404B9C">
              <w:rPr>
                <w:rFonts w:asciiTheme="minorHAnsi" w:eastAsia="Calibri" w:hAnsiTheme="minorHAnsi" w:cstheme="minorHAnsi"/>
              </w:rPr>
              <w:t>27 389 819</w:t>
            </w:r>
            <w:r w:rsidRPr="003A6407">
              <w:rPr>
                <w:rFonts w:asciiTheme="minorHAnsi" w:eastAsia="Calibri" w:hAnsiTheme="minorHAnsi" w:cstheme="minorHAnsi"/>
              </w:rPr>
              <w:t xml:space="preserve"> EUR);</w:t>
            </w:r>
          </w:p>
          <w:p w14:paraId="16F31A5B" w14:textId="77777777" w:rsidR="00BA4C5C" w:rsidRPr="003A6407" w:rsidRDefault="00BA4C5C" w:rsidP="000B32E2">
            <w:pPr>
              <w:numPr>
                <w:ilvl w:val="0"/>
                <w:numId w:val="12"/>
              </w:num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138 Wsparcie na rzecz ekonomii społecznej i przedsiębiorstw społecznych (12 271 921,00 EUR);</w:t>
            </w:r>
          </w:p>
          <w:p w14:paraId="0746D3C7" w14:textId="7824219F" w:rsidR="00BA4C5C" w:rsidRDefault="00BA4C5C" w:rsidP="00270B09">
            <w:pPr>
              <w:pStyle w:val="Akapitzlist"/>
              <w:numPr>
                <w:ilvl w:val="0"/>
                <w:numId w:val="12"/>
              </w:numPr>
              <w:rPr>
                <w:rFonts w:asciiTheme="minorHAnsi" w:eastAsia="Calibri" w:hAnsiTheme="minorHAnsi" w:cstheme="minorHAnsi"/>
              </w:rPr>
            </w:pPr>
            <w:r w:rsidRPr="003A6407">
              <w:rPr>
                <w:rFonts w:asciiTheme="minorHAnsi" w:eastAsia="Calibri" w:hAnsiTheme="minorHAnsi" w:cstheme="minorHAnsi"/>
              </w:rPr>
              <w:t>136 Wsparcie szczególne na rzecz zatrudnienia ludzi młodych i integracji społeczno-gospodarczej ludzi młodych (20 000 000 EUR);</w:t>
            </w:r>
          </w:p>
          <w:p w14:paraId="1D2AD4DD" w14:textId="26FECED3" w:rsidR="00404B9C" w:rsidRPr="003A6407" w:rsidRDefault="00404B9C" w:rsidP="00270B09">
            <w:pPr>
              <w:pStyle w:val="Akapitzlist"/>
              <w:numPr>
                <w:ilvl w:val="0"/>
                <w:numId w:val="12"/>
              </w:numPr>
              <w:rPr>
                <w:rFonts w:asciiTheme="minorHAnsi" w:eastAsia="Calibri" w:hAnsiTheme="minorHAnsi" w:cstheme="minorHAnsi"/>
              </w:rPr>
            </w:pPr>
            <w:r w:rsidRPr="00404B9C">
              <w:rPr>
                <w:rFonts w:asciiTheme="minorHAnsi" w:eastAsia="Calibri" w:hAnsiTheme="minorHAnsi" w:cstheme="minorHAnsi"/>
              </w:rPr>
              <w:t>154. Działania na rzecz poprawy dostępu grup marginalizowanych, takich jak Romowie, do edukacji, zatrudnienia, a także na rzecz wspierania ich włączenia społecznego</w:t>
            </w:r>
            <w:r>
              <w:rPr>
                <w:rFonts w:asciiTheme="minorHAnsi" w:eastAsia="Calibri" w:hAnsiTheme="minorHAnsi" w:cstheme="minorHAnsi"/>
              </w:rPr>
              <w:t xml:space="preserve"> (3 000 000,00)</w:t>
            </w:r>
          </w:p>
          <w:p w14:paraId="43372E0B" w14:textId="77777777" w:rsidR="00BA4C5C" w:rsidRPr="003A6407" w:rsidRDefault="00BA4C5C" w:rsidP="007C01F5">
            <w:pPr>
              <w:shd w:val="clear" w:color="auto" w:fill="FFFFFF"/>
              <w:spacing w:beforeLines="150" w:before="360"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Na wartość wskaźnika składa się łączna liczba osób bezrobotnych i biernych zawodowo zgodnie z definicjami wskaźników wspólnych: liczba osób bezrobotnych, w tym długotrwale bezrobotnych, objętych wsparciem w programie i liczba osób biernych zawodowo objętych wsparciem w programie.</w:t>
            </w:r>
          </w:p>
          <w:p w14:paraId="36EE310A"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Szacując ilość  osób biernych zawodowo w oparciu o dane dotyczące wsparcia  tej grupy docelowej w ramach działania 9.1 RPO WD 2014-2020 zakłada się, że 60% alokacji z kodu 163, tj. </w:t>
            </w:r>
            <w:r w:rsidRPr="003A6407">
              <w:rPr>
                <w:rFonts w:asciiTheme="minorHAnsi" w:hAnsiTheme="minorHAnsi" w:cstheme="minorHAnsi"/>
              </w:rPr>
              <w:t xml:space="preserve"> </w:t>
            </w:r>
            <w:r w:rsidRPr="003A6407">
              <w:rPr>
                <w:rFonts w:asciiTheme="minorHAnsi" w:eastAsia="Calibri" w:hAnsiTheme="minorHAnsi" w:cstheme="minorHAnsi"/>
              </w:rPr>
              <w:t>18 233 891,40 EUR będzie realizować wskaźnik. W przypadku kodu 138 – 53% alokacji, tj.  6 504 118,1 EUR przeznaczona jest na realizację wsparcia OWES. Na podstawie danych dotyczących wsparcia osób biernych zawodowo w ramach działania 9.4 RPO WD 2014-2020 zakłada się, że 20% tych środków, tj. 1 300 823,62 EUR będzie realizować wskaźnik. W związku z tym sumaryczna alokacja z kodów 136,138 i 163 na realizację wskaźnika wynosi  39 534 715,03 EUR.</w:t>
            </w:r>
          </w:p>
          <w:p w14:paraId="6ADC2CB0" w14:textId="4DEF30A4"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175 929 481,88 PLN.</w:t>
            </w:r>
          </w:p>
          <w:p w14:paraId="1BAB56E6"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21 374,62 PLN. Koszt jednostkowy został skorygowany w oparciu o wartość inflacji na poziomie 15% i wynosi 24 580,81 PLN, a obniżony do wartości dofinansowania na poziomie 70% wynosi  17 206,57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17316BE1" w14:textId="77777777" w:rsidR="00BA4C5C" w:rsidRPr="003A6407" w:rsidRDefault="00BA4C5C" w:rsidP="000B32E2">
            <w:pPr>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R: [(3*3)+(6*25)+(2*68)]/11 = 26,8%. Wartość zaokrąglono do pełnej wartości 27%. </w:t>
            </w:r>
          </w:p>
          <w:p w14:paraId="5E0464AA"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6996A400"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175 929 481,87 / 17 206,57 * (1-0,27) =   7 464osób.</w:t>
            </w:r>
          </w:p>
          <w:p w14:paraId="531E7076" w14:textId="6C29D3C0"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Szacując ilość osób bezrobotnych w oparciu o dane dotyczące wsparcia tej grupy docelowej w ramach działania 9.1 RPO WD 2014-2020</w:t>
            </w:r>
            <w:r w:rsidRPr="003A6407">
              <w:rPr>
                <w:rFonts w:asciiTheme="minorHAnsi" w:hAnsiTheme="minorHAnsi" w:cstheme="minorHAnsi"/>
              </w:rPr>
              <w:t xml:space="preserve"> </w:t>
            </w:r>
            <w:r w:rsidRPr="003A6407">
              <w:rPr>
                <w:rFonts w:asciiTheme="minorHAnsi" w:eastAsia="Calibri" w:hAnsiTheme="minorHAnsi" w:cstheme="minorHAnsi"/>
              </w:rPr>
              <w:t xml:space="preserve">zakłada się, że 37% alokacji z kodu 163, tj. 11 244 233 EUR będzie </w:t>
            </w:r>
            <w:r w:rsidRPr="003A6407">
              <w:rPr>
                <w:rFonts w:asciiTheme="minorHAnsi" w:eastAsia="Calibri" w:hAnsiTheme="minorHAnsi" w:cstheme="minorHAnsi"/>
              </w:rPr>
              <w:lastRenderedPageBreak/>
              <w:t>realizować wskaźnik. Na realizację wsparcia OWES w ramach kodu 138 przeznacza się 53% alokacji, tj. 6 504 118,1 EUR. W oparciu o dane dotyczące wsparcia osób bezrobotnych w ramach działania 9.4 RPO WD 2014-2020 zakłada się, że 80% środków przeznaczonych na wsparcie OWES, tj. 5 203 294,48 EUR będzie realizować wskaźnik. W związku z tym sumaryczna alokacja z kodów 136,138 i 163 na realizację wskaźnika wynosi  36 447 527,53  EUR.</w:t>
            </w:r>
          </w:p>
          <w:p w14:paraId="51CD3E40"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162 191 497,53 PLN.</w:t>
            </w:r>
          </w:p>
          <w:p w14:paraId="49D9FFDB"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27 101,23 PLN. Koszt jednostkowy został skorygowany w oparciu o wartość inflacji na poziomie 15% i wynosi  31 166,41 PLN, a obniżony do wartości dofinansowania na poziomie 70% wynosi 21 816,49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4B394FE5"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[(3*3)+(6*25)+(2*68)]/11 = 26,8%. Wartość zaokrąglono do pełnej wartości 27%.</w:t>
            </w:r>
          </w:p>
          <w:p w14:paraId="70BAEE23"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4E4EAEC6"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  162 191 497,53 /  21 816,49 * (1-0,27) = 5 427 osób.</w:t>
            </w:r>
          </w:p>
          <w:p w14:paraId="3B93B7B9"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Tym samym wartość wskaźnika wynosi: </w:t>
            </w:r>
          </w:p>
          <w:p w14:paraId="2CFC0D39" w14:textId="77777777" w:rsidR="00BA4C5C" w:rsidRPr="003A6407" w:rsidRDefault="00BA4C5C" w:rsidP="00270B09">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7 464 + 5 427 = 12 891</w:t>
            </w:r>
          </w:p>
          <w:p w14:paraId="5C94157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3807E380" w14:textId="77777777" w:rsidR="00BA4C5C" w:rsidRPr="003A6407" w:rsidRDefault="00BA4C5C">
            <w:pPr>
              <w:numPr>
                <w:ilvl w:val="0"/>
                <w:numId w:val="6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21AF6F9B" w14:textId="77777777" w:rsidR="00BA4C5C" w:rsidRPr="003A6407" w:rsidRDefault="00BA4C5C">
            <w:pPr>
              <w:numPr>
                <w:ilvl w:val="0"/>
                <w:numId w:val="6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6259596F" w14:textId="77777777" w:rsidR="00BA4C5C" w:rsidRPr="003A6407" w:rsidRDefault="00BA4C5C">
            <w:pPr>
              <w:numPr>
                <w:ilvl w:val="0"/>
                <w:numId w:val="6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18C8E625" w14:textId="77777777" w:rsidR="00BA4C5C" w:rsidRPr="003A6407" w:rsidRDefault="00BA4C5C">
            <w:pPr>
              <w:numPr>
                <w:ilvl w:val="0"/>
                <w:numId w:val="6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6E31E5B7" w14:textId="77777777" w:rsidR="00BA4C5C" w:rsidRPr="003A6407" w:rsidRDefault="00BA4C5C">
            <w:pPr>
              <w:numPr>
                <w:ilvl w:val="0"/>
                <w:numId w:val="63"/>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0B469A3D" w14:textId="77777777" w:rsidR="00BA4C5C" w:rsidRPr="003A6407" w:rsidRDefault="00BA4C5C">
            <w:pPr>
              <w:numPr>
                <w:ilvl w:val="0"/>
                <w:numId w:val="63"/>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E97DA45" w14:textId="77777777" w:rsidR="00BA4C5C" w:rsidRPr="003A6407" w:rsidRDefault="00BA4C5C" w:rsidP="00270B09">
            <w:pPr>
              <w:shd w:val="clear" w:color="auto" w:fill="FFFFFF"/>
              <w:spacing w:beforeLines="60" w:before="144" w:afterLines="60" w:after="144" w:line="240" w:lineRule="auto"/>
              <w:ind w:left="720"/>
              <w:contextualSpacing/>
              <w:jc w:val="both"/>
              <w:rPr>
                <w:rFonts w:asciiTheme="minorHAnsi" w:eastAsia="Calibri" w:hAnsiTheme="minorHAnsi" w:cstheme="minorHAnsi"/>
                <w:bCs/>
                <w:color w:val="000000"/>
              </w:rPr>
            </w:pPr>
          </w:p>
          <w:p w14:paraId="129D672E"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3B8C0895" w14:textId="77777777" w:rsidR="00BA4C5C" w:rsidRPr="003A6407" w:rsidRDefault="00BA4C5C">
            <w:pPr>
              <w:numPr>
                <w:ilvl w:val="0"/>
                <w:numId w:val="6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063210CD" w14:textId="77777777" w:rsidR="00BA4C5C" w:rsidRPr="003A6407" w:rsidRDefault="00BA4C5C">
            <w:pPr>
              <w:numPr>
                <w:ilvl w:val="0"/>
                <w:numId w:val="6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9BB45B0" w14:textId="77777777" w:rsidR="00BA4C5C" w:rsidRPr="003A6407" w:rsidRDefault="00BA4C5C">
            <w:pPr>
              <w:numPr>
                <w:ilvl w:val="0"/>
                <w:numId w:val="6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lastRenderedPageBreak/>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06D5A23" w14:textId="77777777" w:rsidR="00BA4C5C" w:rsidRPr="003A6407" w:rsidRDefault="00BA4C5C">
            <w:pPr>
              <w:numPr>
                <w:ilvl w:val="0"/>
                <w:numId w:val="6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 (istotność: niska)</w:t>
            </w:r>
          </w:p>
          <w:p w14:paraId="6E27CB73" w14:textId="5A78D61C" w:rsidR="00BA4C5C" w:rsidRPr="003A6407" w:rsidRDefault="00BA4C5C">
            <w:pPr>
              <w:numPr>
                <w:ilvl w:val="0"/>
                <w:numId w:val="6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FEDS 2021-2027 wskaźników mogą mieć wpływ inne – niezdefiniowane i nierozpoznane czynniki, które znacznie utrudnią lub też uniemożliwią osiągniecie założonych rezultatów; (istotność: niska)</w:t>
            </w:r>
          </w:p>
          <w:p w14:paraId="68BAE668" w14:textId="652615BF" w:rsidR="004218EA" w:rsidRPr="003A6407" w:rsidRDefault="004218EA" w:rsidP="004218EA">
            <w:pPr>
              <w:spacing w:beforeLines="60" w:before="144" w:afterLines="60" w:after="144" w:line="240" w:lineRule="auto"/>
              <w:contextualSpacing/>
              <w:jc w:val="both"/>
              <w:rPr>
                <w:rFonts w:asciiTheme="minorHAnsi" w:eastAsia="Calibri" w:hAnsiTheme="minorHAnsi" w:cstheme="minorHAnsi"/>
                <w:color w:val="000000"/>
              </w:rPr>
            </w:pPr>
          </w:p>
          <w:p w14:paraId="56194282" w14:textId="77777777" w:rsidR="004218EA" w:rsidRPr="003A6407" w:rsidRDefault="004218EA" w:rsidP="004218EA">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047D6ACB" w14:textId="70545744" w:rsidR="004218EA" w:rsidRPr="003A6407" w:rsidRDefault="004218EA" w:rsidP="004218EA">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9i), na podstawie Sprawozdania rocznego z 2021 r. dla projektów o podobnym zakresie wsparcia. </w:t>
            </w:r>
          </w:p>
          <w:p w14:paraId="5A76AA83" w14:textId="01E50BF5" w:rsidR="004218EA" w:rsidRPr="003A6407" w:rsidRDefault="004218EA" w:rsidP="004218EA">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osób zagrożonych ubóstwem lub wykluczeniem społecznym objętych wsparciem w programie dopiero w 2017 r. osiągnął wartość 2 861, co wobec wartości z wykonania na 2021 r. (17 127) stanowi zaledwie 16,70 %. </w:t>
            </w:r>
          </w:p>
          <w:p w14:paraId="011D24CB" w14:textId="01B99C68" w:rsidR="004218EA" w:rsidRPr="003A6407" w:rsidRDefault="005D58E3" w:rsidP="004218EA">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Wobec powyższego dla wartości pośredniej wskaźnika zastosowano tożsamy wskaźnik kompensacji w wysokości 27%. tj. wartość pośrednia będzie równa 4,5% wartości docelowej i wyniesie: 581.</w:t>
            </w:r>
          </w:p>
          <w:p w14:paraId="07B4F9B6" w14:textId="77777777" w:rsidR="00BA4C5C" w:rsidRPr="003A6407" w:rsidRDefault="00BA4C5C" w:rsidP="000B32E2">
            <w:pPr>
              <w:spacing w:after="0" w:line="240" w:lineRule="auto"/>
              <w:ind w:left="360"/>
              <w:jc w:val="both"/>
              <w:rPr>
                <w:rFonts w:asciiTheme="minorHAnsi" w:eastAsia="Calibri" w:hAnsiTheme="minorHAnsi" w:cstheme="minorHAnsi"/>
                <w:color w:val="000000"/>
              </w:rPr>
            </w:pPr>
          </w:p>
        </w:tc>
      </w:tr>
    </w:tbl>
    <w:p w14:paraId="55D6A28C" w14:textId="77777777" w:rsidR="00BA4C5C" w:rsidRPr="003A6407" w:rsidRDefault="00BA4C5C" w:rsidP="000B32E2">
      <w:pPr>
        <w:rPr>
          <w:rFonts w:asciiTheme="minorHAnsi" w:eastAsia="Calibri" w:hAnsiTheme="minorHAnsi" w:cstheme="minorHAns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1950BBA" w14:textId="77777777" w:rsidTr="00270B09">
        <w:trPr>
          <w:cantSplit/>
          <w:trHeight w:val="1647"/>
        </w:trPr>
        <w:tc>
          <w:tcPr>
            <w:tcW w:w="451" w:type="pct"/>
            <w:shd w:val="clear" w:color="auto" w:fill="auto"/>
            <w:vAlign w:val="center"/>
          </w:tcPr>
          <w:p w14:paraId="2626BAD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36DA85C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7849E0B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53E3DF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7FDB3DC2"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18DD3B4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7A38F4A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760F8CC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4D9898E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722F352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181610F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25CAFBC3" w14:textId="77777777" w:rsidTr="00270B09">
        <w:trPr>
          <w:trHeight w:val="340"/>
        </w:trPr>
        <w:tc>
          <w:tcPr>
            <w:tcW w:w="451" w:type="pct"/>
            <w:shd w:val="clear" w:color="auto" w:fill="auto"/>
            <w:vAlign w:val="center"/>
          </w:tcPr>
          <w:p w14:paraId="5F7E4A9C"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(h)</w:t>
            </w:r>
          </w:p>
          <w:p w14:paraId="6DEFA30D" w14:textId="2812865A"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4.8</w:t>
            </w:r>
          </w:p>
        </w:tc>
        <w:tc>
          <w:tcPr>
            <w:tcW w:w="494" w:type="pct"/>
            <w:shd w:val="clear" w:color="auto" w:fill="auto"/>
            <w:vAlign w:val="center"/>
          </w:tcPr>
          <w:p w14:paraId="1D4F2AA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0124F98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28673B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EECO15</w:t>
            </w:r>
          </w:p>
        </w:tc>
        <w:tc>
          <w:tcPr>
            <w:tcW w:w="1411" w:type="pct"/>
            <w:shd w:val="clear" w:color="auto" w:fill="auto"/>
            <w:vAlign w:val="center"/>
          </w:tcPr>
          <w:p w14:paraId="7B12C125" w14:textId="1F8A1457" w:rsidR="00BA4C5C" w:rsidRPr="003A6407" w:rsidRDefault="00235D55" w:rsidP="00270B09">
            <w:pPr>
              <w:keepNext/>
              <w:keepLines/>
              <w:spacing w:before="200" w:after="0"/>
              <w:jc w:val="center"/>
              <w:outlineLvl w:val="2"/>
              <w:rPr>
                <w:rFonts w:asciiTheme="minorHAnsi" w:eastAsia="Times New Roman" w:hAnsiTheme="minorHAnsi" w:cstheme="minorHAnsi"/>
                <w:bCs/>
                <w:noProof/>
                <w:sz w:val="16"/>
                <w:szCs w:val="16"/>
              </w:rPr>
            </w:pPr>
            <w:bookmarkStart w:id="284" w:name="_Toc97122029"/>
            <w:bookmarkStart w:id="285" w:name="_Toc98188991"/>
            <w:bookmarkStart w:id="286" w:name="_Toc120464479"/>
            <w:r w:rsidRPr="00235D55">
              <w:rPr>
                <w:rFonts w:asciiTheme="minorHAnsi" w:eastAsia="Times New Roman" w:hAnsiTheme="minorHAnsi" w:cstheme="minorHAnsi"/>
                <w:bCs/>
                <w:noProof/>
                <w:sz w:val="16"/>
                <w:szCs w:val="16"/>
              </w:rPr>
              <w:t>Mniejszości (w tym społeczności marginalizowane, takie jak Romowie)</w:t>
            </w:r>
            <w:bookmarkEnd w:id="284"/>
            <w:bookmarkEnd w:id="285"/>
            <w:bookmarkEnd w:id="286"/>
          </w:p>
        </w:tc>
        <w:tc>
          <w:tcPr>
            <w:tcW w:w="549" w:type="pct"/>
            <w:shd w:val="clear" w:color="auto" w:fill="auto"/>
            <w:vAlign w:val="center"/>
          </w:tcPr>
          <w:p w14:paraId="1988A99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2ADE6B1C" w14:textId="0F3B07FA" w:rsidR="00BA4C5C" w:rsidRPr="003A6407" w:rsidRDefault="009227B1"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93</w:t>
            </w:r>
            <w:r w:rsidR="003B55F7" w:rsidRPr="003A6407">
              <w:rPr>
                <w:rFonts w:asciiTheme="minorHAnsi" w:eastAsia="Calibri" w:hAnsiTheme="minorHAnsi" w:cstheme="minorHAnsi"/>
                <w:noProof/>
                <w:sz w:val="16"/>
                <w:szCs w:val="16"/>
              </w:rPr>
              <w:t>,00</w:t>
            </w:r>
          </w:p>
        </w:tc>
        <w:tc>
          <w:tcPr>
            <w:tcW w:w="550" w:type="pct"/>
            <w:shd w:val="clear" w:color="auto" w:fill="auto"/>
            <w:vAlign w:val="center"/>
          </w:tcPr>
          <w:p w14:paraId="31BFCA9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931,00</w:t>
            </w:r>
          </w:p>
        </w:tc>
      </w:tr>
      <w:tr w:rsidR="00BA4C5C" w:rsidRPr="003A6407" w14:paraId="5B25D4D8" w14:textId="77777777" w:rsidTr="00270B09">
        <w:trPr>
          <w:trHeight w:val="340"/>
        </w:trPr>
        <w:tc>
          <w:tcPr>
            <w:tcW w:w="5000" w:type="pct"/>
            <w:gridSpan w:val="8"/>
            <w:shd w:val="clear" w:color="auto" w:fill="auto"/>
          </w:tcPr>
          <w:p w14:paraId="77292E9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01EC82DD"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66B4702A" w14:textId="30436C9F" w:rsidR="00BA4C5C" w:rsidRPr="00404B9C" w:rsidRDefault="00404B9C" w:rsidP="00790F07">
            <w:pPr>
              <w:numPr>
                <w:ilvl w:val="0"/>
                <w:numId w:val="12"/>
              </w:numPr>
              <w:shd w:val="clear" w:color="auto" w:fill="FFFFFF"/>
              <w:spacing w:beforeLines="150" w:before="360" w:afterLines="60" w:after="144" w:line="240" w:lineRule="auto"/>
              <w:contextualSpacing/>
              <w:jc w:val="both"/>
              <w:rPr>
                <w:rFonts w:asciiTheme="minorHAnsi" w:eastAsia="Calibri" w:hAnsiTheme="minorHAnsi" w:cstheme="minorHAnsi"/>
              </w:rPr>
            </w:pPr>
            <w:r w:rsidRPr="00404B9C">
              <w:rPr>
                <w:rFonts w:asciiTheme="minorHAnsi" w:eastAsia="Calibri" w:hAnsiTheme="minorHAnsi" w:cstheme="minorHAnsi"/>
              </w:rPr>
              <w:t>154. Działania na rzecz poprawy dostępu grup marginalizowanych, takich jak Romowie, do edukacji, zatrudnienia, a także na rzecz wspierania ich włączenia społecznego -</w:t>
            </w:r>
            <w:r>
              <w:rPr>
                <w:rFonts w:asciiTheme="minorHAnsi" w:eastAsia="Calibri" w:hAnsiTheme="minorHAnsi" w:cstheme="minorHAnsi"/>
              </w:rPr>
              <w:t xml:space="preserve"> n</w:t>
            </w:r>
            <w:r w:rsidR="00BA4C5C" w:rsidRPr="00404B9C">
              <w:rPr>
                <w:rFonts w:asciiTheme="minorHAnsi" w:eastAsia="Calibri" w:hAnsiTheme="minorHAnsi" w:cstheme="minorHAnsi"/>
              </w:rPr>
              <w:t>a realizację wsparcia skierowanego do mniejszości narodowych, w tym społeczności marginalizowanych takich jak Romowie przeznacza się 3 000 000 EUR.</w:t>
            </w:r>
          </w:p>
          <w:p w14:paraId="333FE98E" w14:textId="70371E56" w:rsidR="00BA4C5C" w:rsidRPr="003A6407" w:rsidRDefault="00BA4C5C" w:rsidP="00270B09">
            <w:pPr>
              <w:shd w:val="clear" w:color="auto" w:fill="FFFFFF"/>
              <w:spacing w:beforeLines="100" w:before="240"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13 350 000,00 PLN.</w:t>
            </w:r>
          </w:p>
          <w:p w14:paraId="35EFAE73" w14:textId="7625F44E"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oszacowany na bazie doświadczeń z perspektywy 2014-2020 w ramach PO WER wynosi  13 000,00 PLN. Koszt jednostkowy został skorygowany w oparciu o wartość inflacji na poziomie 15% i wynosi  14 950,00 PLN, a obniżony do wartości dofinansowania na poziomie 70% wynosi 10 465,00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47043EA7"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R: [(3*3)+(6*25)+(2*68)]/11 = 26,8%. Wartość zaokrąglono do pełnej wartości 27%.</w:t>
            </w:r>
          </w:p>
          <w:p w14:paraId="08E4747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3F5402D8"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  13 350 000,00  / 10 465,00 * (1-0,27) =  931 osób.</w:t>
            </w:r>
          </w:p>
          <w:p w14:paraId="14FDF29C"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6D5111DA" w14:textId="77777777" w:rsidR="00BA4C5C" w:rsidRPr="003A6407" w:rsidRDefault="00BA4C5C">
            <w:pPr>
              <w:numPr>
                <w:ilvl w:val="0"/>
                <w:numId w:val="4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5A26C776" w14:textId="77777777" w:rsidR="00BA4C5C" w:rsidRPr="003A6407" w:rsidRDefault="00BA4C5C">
            <w:pPr>
              <w:numPr>
                <w:ilvl w:val="0"/>
                <w:numId w:val="4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1CBEF008" w14:textId="77777777" w:rsidR="00BA4C5C" w:rsidRPr="003A6407" w:rsidRDefault="00BA4C5C">
            <w:pPr>
              <w:numPr>
                <w:ilvl w:val="0"/>
                <w:numId w:val="4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640B278A" w14:textId="77777777" w:rsidR="00BA4C5C" w:rsidRPr="003A6407" w:rsidRDefault="00BA4C5C">
            <w:pPr>
              <w:numPr>
                <w:ilvl w:val="0"/>
                <w:numId w:val="4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1AF8C1A9" w14:textId="77777777" w:rsidR="00BA4C5C" w:rsidRPr="003A6407" w:rsidRDefault="00BA4C5C">
            <w:pPr>
              <w:numPr>
                <w:ilvl w:val="0"/>
                <w:numId w:val="47"/>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542A32C8" w14:textId="77777777" w:rsidR="00BA4C5C" w:rsidRPr="003A6407" w:rsidRDefault="00BA4C5C">
            <w:pPr>
              <w:numPr>
                <w:ilvl w:val="0"/>
                <w:numId w:val="47"/>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71EAF9F2" w14:textId="77777777" w:rsidR="00BA4C5C" w:rsidRPr="003A6407" w:rsidRDefault="00BA4C5C" w:rsidP="000B32E2">
            <w:pPr>
              <w:shd w:val="clear" w:color="auto" w:fill="FFFFFF"/>
              <w:spacing w:before="100" w:beforeAutospacing="1" w:after="100" w:afterAutospacing="1"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5E83AA34" w14:textId="77777777" w:rsidR="00BA4C5C" w:rsidRPr="003A6407" w:rsidRDefault="00BA4C5C">
            <w:pPr>
              <w:numPr>
                <w:ilvl w:val="0"/>
                <w:numId w:val="4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7C257F4E" w14:textId="77777777" w:rsidR="00BA4C5C" w:rsidRPr="003A6407" w:rsidRDefault="00BA4C5C">
            <w:pPr>
              <w:numPr>
                <w:ilvl w:val="0"/>
                <w:numId w:val="4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591BB30" w14:textId="77777777" w:rsidR="00BA4C5C" w:rsidRPr="003A6407" w:rsidRDefault="00BA4C5C">
            <w:pPr>
              <w:numPr>
                <w:ilvl w:val="0"/>
                <w:numId w:val="4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02C6F0FD" w14:textId="77777777" w:rsidR="00BA4C5C" w:rsidRPr="003A6407" w:rsidRDefault="00BA4C5C">
            <w:pPr>
              <w:numPr>
                <w:ilvl w:val="0"/>
                <w:numId w:val="4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(istotność: niska)</w:t>
            </w:r>
          </w:p>
          <w:p w14:paraId="2517D781" w14:textId="68CA2A6F" w:rsidR="00BA4C5C" w:rsidRPr="003A6407" w:rsidRDefault="00BA4C5C">
            <w:pPr>
              <w:numPr>
                <w:ilvl w:val="0"/>
                <w:numId w:val="4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2ECAE068" w14:textId="380FC7D4" w:rsidR="00945ADA" w:rsidRPr="003A6407" w:rsidRDefault="00945ADA" w:rsidP="00945ADA">
            <w:pPr>
              <w:spacing w:beforeLines="60" w:before="144" w:afterLines="60" w:after="144" w:line="240" w:lineRule="auto"/>
              <w:contextualSpacing/>
              <w:jc w:val="both"/>
              <w:rPr>
                <w:rFonts w:asciiTheme="minorHAnsi" w:eastAsia="Calibri" w:hAnsiTheme="minorHAnsi" w:cstheme="minorHAnsi"/>
                <w:color w:val="000000"/>
              </w:rPr>
            </w:pPr>
          </w:p>
          <w:p w14:paraId="3C8CEF16" w14:textId="77777777" w:rsidR="00945ADA" w:rsidRPr="003A6407" w:rsidRDefault="00945ADA" w:rsidP="00945ADA">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6F563883" w14:textId="66ADC867" w:rsidR="009809C0" w:rsidRPr="003A6407" w:rsidRDefault="001B0178" w:rsidP="00945ADA">
            <w:pPr>
              <w:spacing w:beforeLines="60" w:before="144" w:afterLines="60" w:after="144" w:line="240" w:lineRule="auto"/>
              <w:contextualSpacing/>
              <w:jc w:val="both"/>
              <w:rPr>
                <w:rFonts w:asciiTheme="minorHAnsi" w:eastAsia="Calibri" w:hAnsiTheme="minorHAnsi" w:cstheme="minorHAnsi"/>
                <w:b/>
                <w:bCs/>
                <w:color w:val="000000"/>
              </w:rPr>
            </w:pPr>
            <w:r>
              <w:rPr>
                <w:rFonts w:asciiTheme="minorHAnsi" w:eastAsia="Calibri" w:hAnsiTheme="minorHAnsi" w:cstheme="minorHAnsi"/>
                <w:b/>
                <w:bCs/>
                <w:color w:val="000000"/>
              </w:rPr>
              <w:t xml:space="preserve">Zaplanowany w ramach FEDS 2021-2027 zakres wsparcia w tym celu szczegółowym jest nowym zakresem, który wcześniej, w poprzednich perspektywach nie był realizowany. Wobec powyższego nie ma możliwości ocenić i oszacować jaką wartość pośrednią będą realizować przedmiotowe projekty. Dlatego też ustanawia się cel pośredni </w:t>
            </w:r>
            <w:r w:rsidR="009227B1">
              <w:rPr>
                <w:rFonts w:asciiTheme="minorHAnsi" w:eastAsia="Calibri" w:hAnsiTheme="minorHAnsi" w:cstheme="minorHAnsi"/>
                <w:b/>
                <w:bCs/>
                <w:color w:val="000000"/>
              </w:rPr>
              <w:t xml:space="preserve">ustanawia się </w:t>
            </w:r>
            <w:r>
              <w:rPr>
                <w:rFonts w:asciiTheme="minorHAnsi" w:eastAsia="Calibri" w:hAnsiTheme="minorHAnsi" w:cstheme="minorHAnsi"/>
                <w:b/>
                <w:bCs/>
                <w:color w:val="000000"/>
              </w:rPr>
              <w:t xml:space="preserve">na poziomie </w:t>
            </w:r>
            <w:r w:rsidR="009227B1">
              <w:rPr>
                <w:rFonts w:asciiTheme="minorHAnsi" w:eastAsia="Calibri" w:hAnsiTheme="minorHAnsi" w:cstheme="minorHAnsi"/>
                <w:b/>
                <w:bCs/>
                <w:color w:val="000000"/>
              </w:rPr>
              <w:t>10% wartości docelowej (93)</w:t>
            </w:r>
            <w:r>
              <w:rPr>
                <w:rFonts w:asciiTheme="minorHAnsi" w:eastAsia="Calibri" w:hAnsiTheme="minorHAnsi" w:cstheme="minorHAnsi"/>
                <w:b/>
                <w:bCs/>
                <w:color w:val="000000"/>
              </w:rPr>
              <w:t>.</w:t>
            </w:r>
          </w:p>
          <w:p w14:paraId="1EB32F2F" w14:textId="77777777" w:rsidR="00BA4C5C" w:rsidRPr="003A6407" w:rsidRDefault="00BA4C5C" w:rsidP="003B55F7">
            <w:pPr>
              <w:spacing w:beforeLines="60" w:before="144" w:afterLines="60" w:after="144" w:line="240" w:lineRule="auto"/>
              <w:contextualSpacing/>
              <w:jc w:val="both"/>
              <w:rPr>
                <w:rFonts w:asciiTheme="minorHAnsi" w:eastAsia="Calibri" w:hAnsiTheme="minorHAnsi" w:cstheme="minorHAnsi"/>
                <w:color w:val="000000"/>
              </w:rPr>
            </w:pPr>
          </w:p>
        </w:tc>
      </w:tr>
    </w:tbl>
    <w:p w14:paraId="55635A34" w14:textId="77777777" w:rsidR="00BA4C5C" w:rsidRPr="003A6407" w:rsidRDefault="00BA4C5C" w:rsidP="000B32E2">
      <w:pPr>
        <w:rPr>
          <w:rFonts w:asciiTheme="minorHAnsi" w:eastAsia="Calibri" w:hAnsiTheme="minorHAnsi" w:cstheme="minorHAns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53339DF7" w14:textId="77777777" w:rsidTr="00270B09">
        <w:trPr>
          <w:cantSplit/>
          <w:trHeight w:val="1647"/>
        </w:trPr>
        <w:tc>
          <w:tcPr>
            <w:tcW w:w="451" w:type="pct"/>
            <w:shd w:val="clear" w:color="auto" w:fill="auto"/>
          </w:tcPr>
          <w:p w14:paraId="5F8860C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DF5444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tcPr>
          <w:p w14:paraId="1549220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tcPr>
          <w:p w14:paraId="31AC006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tcPr>
          <w:p w14:paraId="2E9915D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tcPr>
          <w:p w14:paraId="41E6999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tcPr>
          <w:p w14:paraId="469F053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tcPr>
          <w:p w14:paraId="5D97837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189A60F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tcPr>
          <w:p w14:paraId="7585BDB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26CAF55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235A3C85" w14:textId="77777777" w:rsidTr="00270B09">
        <w:trPr>
          <w:trHeight w:val="340"/>
        </w:trPr>
        <w:tc>
          <w:tcPr>
            <w:tcW w:w="451" w:type="pct"/>
            <w:shd w:val="clear" w:color="auto" w:fill="auto"/>
          </w:tcPr>
          <w:p w14:paraId="015C4C3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(h)</w:t>
            </w:r>
          </w:p>
          <w:p w14:paraId="7E3FFADF" w14:textId="3BEB657C"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4.8</w:t>
            </w:r>
          </w:p>
        </w:tc>
        <w:tc>
          <w:tcPr>
            <w:tcW w:w="494" w:type="pct"/>
            <w:shd w:val="clear" w:color="auto" w:fill="auto"/>
          </w:tcPr>
          <w:p w14:paraId="77883DA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tcPr>
          <w:p w14:paraId="40B277F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tcPr>
          <w:p w14:paraId="19B0935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EECO 07</w:t>
            </w:r>
          </w:p>
        </w:tc>
        <w:tc>
          <w:tcPr>
            <w:tcW w:w="1411" w:type="pct"/>
            <w:shd w:val="clear" w:color="auto" w:fill="auto"/>
          </w:tcPr>
          <w:p w14:paraId="261190A7" w14:textId="33EDF54E" w:rsidR="00BA4C5C" w:rsidRPr="003A6407" w:rsidRDefault="00235D55" w:rsidP="00270B09">
            <w:pPr>
              <w:keepNext/>
              <w:keepLines/>
              <w:spacing w:before="200" w:after="0"/>
              <w:jc w:val="center"/>
              <w:outlineLvl w:val="2"/>
              <w:rPr>
                <w:rFonts w:asciiTheme="minorHAnsi" w:eastAsia="Times New Roman" w:hAnsiTheme="minorHAnsi" w:cstheme="minorHAnsi"/>
                <w:bCs/>
                <w:noProof/>
                <w:sz w:val="16"/>
                <w:szCs w:val="16"/>
              </w:rPr>
            </w:pPr>
            <w:bookmarkStart w:id="287" w:name="_Toc120464480"/>
            <w:r w:rsidRPr="00235D55">
              <w:rPr>
                <w:rFonts w:asciiTheme="minorHAnsi" w:eastAsia="Times New Roman" w:hAnsiTheme="minorHAnsi" w:cstheme="minorHAnsi"/>
                <w:bCs/>
                <w:noProof/>
                <w:sz w:val="16"/>
                <w:szCs w:val="16"/>
              </w:rPr>
              <w:t>Osoby młode w wieku 18–29 lat</w:t>
            </w:r>
            <w:bookmarkEnd w:id="287"/>
          </w:p>
        </w:tc>
        <w:tc>
          <w:tcPr>
            <w:tcW w:w="549" w:type="pct"/>
            <w:shd w:val="clear" w:color="auto" w:fill="auto"/>
          </w:tcPr>
          <w:p w14:paraId="0AE72FE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tcPr>
          <w:p w14:paraId="6225BDEE" w14:textId="4AE87BAA" w:rsidR="00BA4C5C" w:rsidRPr="003A6407" w:rsidRDefault="00676111"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100</w:t>
            </w:r>
            <w:r w:rsidR="00BA4C5C" w:rsidRPr="003A6407">
              <w:rPr>
                <w:rFonts w:asciiTheme="minorHAnsi" w:eastAsia="Calibri" w:hAnsiTheme="minorHAnsi" w:cstheme="minorHAnsi"/>
                <w:noProof/>
                <w:sz w:val="16"/>
                <w:szCs w:val="16"/>
              </w:rPr>
              <w:t>,00</w:t>
            </w:r>
          </w:p>
        </w:tc>
        <w:tc>
          <w:tcPr>
            <w:tcW w:w="550" w:type="pct"/>
            <w:shd w:val="clear" w:color="auto" w:fill="auto"/>
          </w:tcPr>
          <w:p w14:paraId="5CF44DD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3 330,00</w:t>
            </w:r>
          </w:p>
        </w:tc>
      </w:tr>
      <w:tr w:rsidR="00BA4C5C" w:rsidRPr="003A6407" w14:paraId="47EC958B" w14:textId="77777777" w:rsidTr="00270B09">
        <w:trPr>
          <w:trHeight w:val="340"/>
        </w:trPr>
        <w:tc>
          <w:tcPr>
            <w:tcW w:w="5000" w:type="pct"/>
            <w:gridSpan w:val="8"/>
            <w:shd w:val="clear" w:color="auto" w:fill="auto"/>
          </w:tcPr>
          <w:p w14:paraId="57D07BE1"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42D3E1A"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06B463B6" w14:textId="77777777" w:rsidR="00BA4C5C" w:rsidRPr="003A6407" w:rsidRDefault="00BA4C5C" w:rsidP="00270B09">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136 Wsparcie szczególne na rzecz zatrudnienia ludzi młodych i integracji społeczno-gospodarczej ludzi młodych (20 000 000 EUR);</w:t>
            </w:r>
          </w:p>
          <w:p w14:paraId="5161DEC2" w14:textId="77777777" w:rsidR="00BA4C5C" w:rsidRPr="003A6407" w:rsidRDefault="00BA4C5C" w:rsidP="00270B09">
            <w:pPr>
              <w:shd w:val="clear" w:color="auto" w:fill="FFFFFF"/>
              <w:spacing w:before="60" w:after="60" w:line="240" w:lineRule="auto"/>
              <w:ind w:left="770"/>
              <w:contextualSpacing/>
              <w:jc w:val="both"/>
              <w:rPr>
                <w:rFonts w:asciiTheme="minorHAnsi" w:eastAsia="Calibri" w:hAnsiTheme="minorHAnsi" w:cstheme="minorHAnsi"/>
              </w:rPr>
            </w:pPr>
          </w:p>
          <w:p w14:paraId="32ABA7A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89 000 000,00 PLN.</w:t>
            </w:r>
          </w:p>
          <w:p w14:paraId="7E4C3A3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Ze względu na specyfikę wsparcia do wyliczeń przyjęto uśredniony koszt jednostkowy oparty na kosztach jednostkowych dot. wsparcia osób bezrobotnych i biernych zawodowo  przyjętych do wyliczenia wskaźnika: Liczba osób niezatrudnionych objętych wsparciem w programie, który wynosi 24 237,93 PLN. Koszt jednostkowy  został skorygowany w oparciu o wartość inflacji na poziomie 15% i wynosi 27 873,62 PLN, a </w:t>
            </w:r>
            <w:proofErr w:type="spellStart"/>
            <w:r w:rsidRPr="003A6407">
              <w:rPr>
                <w:rFonts w:asciiTheme="minorHAnsi" w:eastAsia="Calibri" w:hAnsiTheme="minorHAnsi" w:cstheme="minorHAnsi"/>
              </w:rPr>
              <w:t>obniżoya</w:t>
            </w:r>
            <w:proofErr w:type="spellEnd"/>
            <w:r w:rsidRPr="003A6407">
              <w:rPr>
                <w:rFonts w:asciiTheme="minorHAnsi" w:eastAsia="Calibri" w:hAnsiTheme="minorHAnsi" w:cstheme="minorHAnsi"/>
              </w:rPr>
              <w:t xml:space="preserve"> do wartości dofinansowania na poziomie 70% wynosi 19 511,53 PLN. Na podstawie tych danych wyliczono wartość wskaźnika. </w:t>
            </w:r>
          </w:p>
          <w:p w14:paraId="4D631E4F"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6E8EA91E" w14:textId="77777777" w:rsidR="00BA4C5C" w:rsidRPr="003A6407" w:rsidRDefault="00BA4C5C" w:rsidP="00270B09">
            <w:pPr>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[32*3)+(6*25)+(2*68)]/11 = 26,8 %. Wartość zaokrąglono do pełnej wartości 27 %. </w:t>
            </w:r>
          </w:p>
          <w:p w14:paraId="71FADDBB"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4019364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89 000 000,00 / 19 511,53 * (1-0,27) = 3 330 osób.</w:t>
            </w:r>
          </w:p>
          <w:p w14:paraId="22436E66"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p>
          <w:p w14:paraId="0FEF1287"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61A685DB" w14:textId="77777777" w:rsidR="00BA4C5C" w:rsidRPr="003A6407" w:rsidRDefault="00BA4C5C">
            <w:pPr>
              <w:numPr>
                <w:ilvl w:val="0"/>
                <w:numId w:val="8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4C6A00F8" w14:textId="77777777" w:rsidR="00BA4C5C" w:rsidRPr="003A6407" w:rsidRDefault="00BA4C5C">
            <w:pPr>
              <w:numPr>
                <w:ilvl w:val="0"/>
                <w:numId w:val="8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19B3FED7" w14:textId="77777777" w:rsidR="00BA4C5C" w:rsidRPr="003A6407" w:rsidRDefault="00BA4C5C">
            <w:pPr>
              <w:numPr>
                <w:ilvl w:val="0"/>
                <w:numId w:val="8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2944424B" w14:textId="77777777" w:rsidR="00BA4C5C" w:rsidRPr="003A6407" w:rsidRDefault="00BA4C5C">
            <w:pPr>
              <w:numPr>
                <w:ilvl w:val="0"/>
                <w:numId w:val="8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3AAFF5F6" w14:textId="77777777" w:rsidR="00BA4C5C" w:rsidRPr="003A6407" w:rsidRDefault="00BA4C5C">
            <w:pPr>
              <w:numPr>
                <w:ilvl w:val="0"/>
                <w:numId w:val="83"/>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0B7BB97C" w14:textId="77777777" w:rsidR="00BA4C5C" w:rsidRPr="003A6407" w:rsidRDefault="00BA4C5C">
            <w:pPr>
              <w:numPr>
                <w:ilvl w:val="0"/>
                <w:numId w:val="83"/>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lastRenderedPageBreak/>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48778BB"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7C2F57A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3F419015" w14:textId="77777777" w:rsidR="00BA4C5C" w:rsidRPr="003A6407" w:rsidRDefault="00BA4C5C">
            <w:pPr>
              <w:numPr>
                <w:ilvl w:val="0"/>
                <w:numId w:val="8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możliwość reagowania na skutek dynamicznie zachodzących zmian sytuacji społeczno-gospodarczej</w:t>
            </w:r>
            <w:r w:rsidRPr="003A6407">
              <w:rPr>
                <w:rFonts w:asciiTheme="minorHAnsi" w:eastAsia="Calibri" w:hAnsiTheme="minorHAnsi" w:cstheme="minorHAnsi"/>
                <w:color w:val="000000"/>
              </w:rPr>
              <w:t xml:space="preserve">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51415251" w14:textId="77777777" w:rsidR="00BA4C5C" w:rsidRPr="003A6407" w:rsidRDefault="00BA4C5C">
            <w:pPr>
              <w:numPr>
                <w:ilvl w:val="0"/>
                <w:numId w:val="8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1FFBB5A" w14:textId="77777777" w:rsidR="00BA4C5C" w:rsidRPr="003A6407" w:rsidRDefault="00BA4C5C">
            <w:pPr>
              <w:numPr>
                <w:ilvl w:val="0"/>
                <w:numId w:val="8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5AC341F0" w14:textId="77777777" w:rsidR="00BA4C5C" w:rsidRPr="003A6407" w:rsidRDefault="00BA4C5C">
            <w:pPr>
              <w:numPr>
                <w:ilvl w:val="0"/>
                <w:numId w:val="8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EFS(istotność: niska)</w:t>
            </w:r>
          </w:p>
          <w:p w14:paraId="0FC570A7" w14:textId="3EBFD8ED" w:rsidR="00BA4C5C" w:rsidRPr="003A6407" w:rsidRDefault="00BA4C5C">
            <w:pPr>
              <w:numPr>
                <w:ilvl w:val="0"/>
                <w:numId w:val="8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60F1DAE1" w14:textId="3966E153" w:rsidR="00326395" w:rsidRPr="003A6407" w:rsidRDefault="00326395" w:rsidP="00326395">
            <w:pPr>
              <w:spacing w:after="0" w:line="240" w:lineRule="auto"/>
              <w:contextualSpacing/>
              <w:jc w:val="both"/>
              <w:rPr>
                <w:rFonts w:asciiTheme="minorHAnsi" w:eastAsia="Calibri" w:hAnsiTheme="minorHAnsi" w:cstheme="minorHAnsi"/>
                <w:color w:val="000000"/>
              </w:rPr>
            </w:pPr>
          </w:p>
          <w:p w14:paraId="188696AC" w14:textId="77777777" w:rsidR="00326395" w:rsidRPr="003A6407" w:rsidRDefault="00326395" w:rsidP="00326395">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6F8BDE1A" w14:textId="77777777" w:rsidR="00081DF0" w:rsidRPr="003A6407" w:rsidRDefault="00081DF0" w:rsidP="00081DF0">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9v), na podstawie Sprawozdania rocznego z 2021 r. dla projektów o podobnym zakresie wsparcia. Biorąc pod uwagę termin zatwierdzenia programu nie jest możliwe wskazanie celu pośredniego innego niż 0 ponieważ faktycznie nie będzie mogło to być spełnione. </w:t>
            </w:r>
          </w:p>
          <w:p w14:paraId="63D47804" w14:textId="69687004" w:rsidR="00081DF0" w:rsidRPr="003A6407" w:rsidRDefault="00081DF0" w:rsidP="00081DF0">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osób zagrożonych ubóstwem lub wykluczeniem społecznym objętych wsparciem w programie w 2016 r. osiągnął wartość 37, co wobec wartości z wykonania na </w:t>
            </w:r>
            <w:r w:rsidR="00AC0E11" w:rsidRPr="003A6407">
              <w:rPr>
                <w:rFonts w:asciiTheme="minorHAnsi" w:eastAsia="Calibri" w:hAnsiTheme="minorHAnsi" w:cstheme="minorHAnsi"/>
                <w:b/>
                <w:bCs/>
                <w:color w:val="000000"/>
              </w:rPr>
              <w:t xml:space="preserve">koniec </w:t>
            </w:r>
            <w:r w:rsidRPr="003A6407">
              <w:rPr>
                <w:rFonts w:asciiTheme="minorHAnsi" w:eastAsia="Calibri" w:hAnsiTheme="minorHAnsi" w:cstheme="minorHAnsi"/>
                <w:b/>
                <w:bCs/>
                <w:color w:val="000000"/>
              </w:rPr>
              <w:t xml:space="preserve">2021 r. (2 702) stanowi zaledwie 1,37 %. </w:t>
            </w:r>
          </w:p>
          <w:p w14:paraId="690D12EF" w14:textId="77777777" w:rsidR="00081DF0" w:rsidRPr="003A6407" w:rsidRDefault="00081DF0" w:rsidP="00081DF0">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Wskaźnik pn. Osoby poniżej 25 lat (EFS) w 2016 r. osiągnął wartość 19, co wobec wartości z wykonania na 2021 r. (402) stanowi zaledwie 4,73 %. </w:t>
            </w:r>
          </w:p>
          <w:p w14:paraId="247F6FB1" w14:textId="61CD6CD6" w:rsidR="00BA4C5C" w:rsidRPr="003A6407" w:rsidRDefault="00081DF0" w:rsidP="00081DF0">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Mając na uwadze</w:t>
            </w:r>
            <w:r w:rsidR="00676111">
              <w:rPr>
                <w:rFonts w:asciiTheme="minorHAnsi" w:eastAsia="Calibri" w:hAnsiTheme="minorHAnsi" w:cstheme="minorHAnsi"/>
                <w:b/>
                <w:bCs/>
                <w:color w:val="000000"/>
              </w:rPr>
              <w:t xml:space="preserve"> powyższe ustanawia się wartość celu pośredniego na poziomie 3% wartości docelowej.</w:t>
            </w:r>
          </w:p>
        </w:tc>
      </w:tr>
    </w:tbl>
    <w:p w14:paraId="5A31D0D5" w14:textId="77777777" w:rsidR="00BA4C5C" w:rsidRPr="003A6407" w:rsidRDefault="00BA4C5C" w:rsidP="000B32E2">
      <w:pPr>
        <w:rPr>
          <w:rFonts w:asciiTheme="minorHAnsi" w:eastAsia="Calibri" w:hAnsiTheme="minorHAnsi" w:cstheme="minorHAnsi"/>
        </w:rPr>
      </w:pPr>
    </w:p>
    <w:p w14:paraId="44256554" w14:textId="77777777" w:rsidR="00BA4C5C" w:rsidRPr="003A6407" w:rsidRDefault="00BA4C5C" w:rsidP="000B32E2">
      <w:pPr>
        <w:rPr>
          <w:rFonts w:asciiTheme="minorHAnsi" w:eastAsia="Calibri" w:hAnsiTheme="minorHAnsi" w:cstheme="minorHAns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13EABE8" w14:textId="77777777" w:rsidTr="00270B09">
        <w:trPr>
          <w:cantSplit/>
          <w:trHeight w:val="1647"/>
        </w:trPr>
        <w:tc>
          <w:tcPr>
            <w:tcW w:w="451" w:type="pct"/>
            <w:shd w:val="clear" w:color="auto" w:fill="auto"/>
            <w:vAlign w:val="center"/>
          </w:tcPr>
          <w:p w14:paraId="69AD1B3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bookmarkStart w:id="288" w:name="_Hlk95393773"/>
            <w:r w:rsidRPr="003A6407">
              <w:rPr>
                <w:rFonts w:asciiTheme="minorHAnsi" w:eastAsia="Calibri" w:hAnsiTheme="minorHAnsi" w:cstheme="minorHAnsi"/>
                <w:b/>
                <w:noProof/>
                <w:sz w:val="16"/>
                <w:szCs w:val="16"/>
              </w:rPr>
              <w:lastRenderedPageBreak/>
              <w:t>CP 4</w:t>
            </w:r>
          </w:p>
          <w:p w14:paraId="30F9BC5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77BB01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5C2D49C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50732AE2"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6D40FBA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7103813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2E823BA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553779E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4C4CF6B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3FA1120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6CACAED9" w14:textId="77777777" w:rsidTr="00270B09">
        <w:trPr>
          <w:trHeight w:val="340"/>
        </w:trPr>
        <w:tc>
          <w:tcPr>
            <w:tcW w:w="451" w:type="pct"/>
            <w:shd w:val="clear" w:color="auto" w:fill="auto"/>
            <w:vAlign w:val="center"/>
          </w:tcPr>
          <w:p w14:paraId="52548766"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(h)</w:t>
            </w:r>
          </w:p>
          <w:p w14:paraId="7C55B0AE" w14:textId="1FAB06B7"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4.8</w:t>
            </w:r>
          </w:p>
        </w:tc>
        <w:tc>
          <w:tcPr>
            <w:tcW w:w="494" w:type="pct"/>
            <w:shd w:val="clear" w:color="auto" w:fill="auto"/>
            <w:vAlign w:val="center"/>
          </w:tcPr>
          <w:p w14:paraId="7E67F56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753E435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70AB239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PLHCO01</w:t>
            </w:r>
          </w:p>
        </w:tc>
        <w:tc>
          <w:tcPr>
            <w:tcW w:w="1411" w:type="pct"/>
            <w:shd w:val="clear" w:color="auto" w:fill="auto"/>
            <w:vAlign w:val="center"/>
          </w:tcPr>
          <w:p w14:paraId="708266B2"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289" w:name="_Toc97122030"/>
            <w:bookmarkStart w:id="290" w:name="_Toc98188992"/>
            <w:bookmarkStart w:id="291" w:name="_Toc120464481"/>
            <w:r w:rsidRPr="003A6407">
              <w:rPr>
                <w:rFonts w:asciiTheme="minorHAnsi" w:eastAsia="Times New Roman" w:hAnsiTheme="minorHAnsi" w:cstheme="minorHAnsi"/>
                <w:bCs/>
                <w:noProof/>
                <w:sz w:val="16"/>
                <w:szCs w:val="16"/>
              </w:rPr>
              <w:t>Liczba podmiotów ekonomii społecznej objętych wsparciem</w:t>
            </w:r>
            <w:bookmarkEnd w:id="289"/>
            <w:bookmarkEnd w:id="290"/>
            <w:bookmarkEnd w:id="291"/>
          </w:p>
        </w:tc>
        <w:tc>
          <w:tcPr>
            <w:tcW w:w="549" w:type="pct"/>
            <w:shd w:val="clear" w:color="auto" w:fill="auto"/>
            <w:vAlign w:val="center"/>
          </w:tcPr>
          <w:p w14:paraId="55AAB61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podmioty</w:t>
            </w:r>
          </w:p>
        </w:tc>
        <w:tc>
          <w:tcPr>
            <w:tcW w:w="627" w:type="pct"/>
            <w:shd w:val="clear" w:color="auto" w:fill="auto"/>
            <w:vAlign w:val="center"/>
          </w:tcPr>
          <w:p w14:paraId="1117B0AD" w14:textId="5652CF9B" w:rsidR="00BA4C5C" w:rsidRPr="003A6407" w:rsidRDefault="00285E10"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25</w:t>
            </w:r>
            <w:r w:rsidR="003B55F7" w:rsidRPr="003A6407">
              <w:rPr>
                <w:rFonts w:asciiTheme="minorHAnsi" w:eastAsia="Calibri" w:hAnsiTheme="minorHAnsi" w:cstheme="minorHAnsi"/>
                <w:noProof/>
                <w:sz w:val="16"/>
                <w:szCs w:val="16"/>
              </w:rPr>
              <w:t>,00</w:t>
            </w:r>
          </w:p>
        </w:tc>
        <w:tc>
          <w:tcPr>
            <w:tcW w:w="550" w:type="pct"/>
            <w:shd w:val="clear" w:color="auto" w:fill="auto"/>
            <w:vAlign w:val="center"/>
          </w:tcPr>
          <w:p w14:paraId="54E1920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630,00</w:t>
            </w:r>
          </w:p>
        </w:tc>
      </w:tr>
      <w:tr w:rsidR="00BA4C5C" w:rsidRPr="003A6407" w14:paraId="1EF2D6D9" w14:textId="77777777" w:rsidTr="00270B09">
        <w:trPr>
          <w:trHeight w:val="340"/>
        </w:trPr>
        <w:tc>
          <w:tcPr>
            <w:tcW w:w="5000" w:type="pct"/>
            <w:gridSpan w:val="8"/>
            <w:shd w:val="clear" w:color="auto" w:fill="auto"/>
          </w:tcPr>
          <w:p w14:paraId="37BCA887"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5B9A19E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41DFE0F2" w14:textId="57B2DF6B" w:rsidR="00BA4C5C" w:rsidRPr="003A6407" w:rsidRDefault="00BA4C5C" w:rsidP="000B32E2">
            <w:pPr>
              <w:numPr>
                <w:ilvl w:val="0"/>
                <w:numId w:val="12"/>
              </w:num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138 Wsparcie na rzecz ekonomii społecznej i przedsiębiorstw społecznych (12 271 921,00</w:t>
            </w:r>
            <w:r w:rsidR="00126061" w:rsidRPr="003A6407">
              <w:rPr>
                <w:rFonts w:asciiTheme="minorHAnsi" w:eastAsia="Calibri" w:hAnsiTheme="minorHAnsi" w:cstheme="minorHAnsi"/>
              </w:rPr>
              <w:t xml:space="preserve"> </w:t>
            </w:r>
            <w:r w:rsidRPr="003A6407">
              <w:rPr>
                <w:rFonts w:asciiTheme="minorHAnsi" w:eastAsia="Calibri" w:hAnsiTheme="minorHAnsi" w:cstheme="minorHAnsi"/>
              </w:rPr>
              <w:t>EUR);</w:t>
            </w:r>
          </w:p>
          <w:p w14:paraId="44C588B1" w14:textId="77777777" w:rsidR="00BA4C5C" w:rsidRPr="003A6407" w:rsidRDefault="00BA4C5C" w:rsidP="000B32E2">
            <w:pPr>
              <w:shd w:val="clear" w:color="auto" w:fill="FFFFFF"/>
              <w:spacing w:beforeLines="60" w:before="144" w:afterLines="60" w:after="144" w:line="240" w:lineRule="auto"/>
              <w:ind w:left="410"/>
              <w:contextualSpacing/>
              <w:jc w:val="both"/>
              <w:rPr>
                <w:rFonts w:asciiTheme="minorHAnsi" w:eastAsia="Calibri" w:hAnsiTheme="minorHAnsi" w:cstheme="minorHAnsi"/>
              </w:rPr>
            </w:pPr>
          </w:p>
          <w:p w14:paraId="6919D3E7"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54 610 048,45 PLN.</w:t>
            </w:r>
          </w:p>
          <w:p w14:paraId="1EE32A7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78 581,30 PLN.  Koszt jednostkowy został skorygowany w oparciu o wartość inflacji na poziomie 15% i wynosi 90 368,50 PLN,  a obniżony do wartości dofinansowania na poziomie 70% wynosi  63 257,95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0BE035FA"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[(3*3)+(6*25)+(2*68)]/11 = 26,8 %. Wartość zaokrąglono do pełnej wartości 27%.</w:t>
            </w:r>
          </w:p>
          <w:p w14:paraId="3383742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550B4505"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54 610 048,45 / 63 257,95  * (1-0,27) =  630 podmiotów.</w:t>
            </w:r>
          </w:p>
          <w:p w14:paraId="2C63B6A5"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0862AC04" w14:textId="77777777" w:rsidR="00BA4C5C" w:rsidRPr="003A6407" w:rsidRDefault="00BA4C5C">
            <w:pPr>
              <w:numPr>
                <w:ilvl w:val="0"/>
                <w:numId w:val="4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4C6DC149" w14:textId="77777777" w:rsidR="00BA4C5C" w:rsidRPr="003A6407" w:rsidRDefault="00BA4C5C">
            <w:pPr>
              <w:numPr>
                <w:ilvl w:val="0"/>
                <w:numId w:val="4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299CF153" w14:textId="77777777" w:rsidR="00BA4C5C" w:rsidRPr="003A6407" w:rsidRDefault="00BA4C5C">
            <w:pPr>
              <w:numPr>
                <w:ilvl w:val="0"/>
                <w:numId w:val="4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04E2D4E6" w14:textId="77777777" w:rsidR="00BA4C5C" w:rsidRPr="003A6407" w:rsidRDefault="00BA4C5C">
            <w:pPr>
              <w:numPr>
                <w:ilvl w:val="0"/>
                <w:numId w:val="4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0D0E2392" w14:textId="77777777" w:rsidR="00BA4C5C" w:rsidRPr="003A6407" w:rsidRDefault="00BA4C5C">
            <w:pPr>
              <w:numPr>
                <w:ilvl w:val="0"/>
                <w:numId w:val="49"/>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72774B5D" w14:textId="77777777" w:rsidR="00BA4C5C" w:rsidRPr="003A6407" w:rsidRDefault="00BA4C5C">
            <w:pPr>
              <w:numPr>
                <w:ilvl w:val="0"/>
                <w:numId w:val="49"/>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59318E2"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572E77BB" w14:textId="77777777" w:rsidR="00BA4C5C" w:rsidRPr="003A6407" w:rsidRDefault="00BA4C5C">
            <w:pPr>
              <w:numPr>
                <w:ilvl w:val="0"/>
                <w:numId w:val="5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2CB434C6" w14:textId="77777777" w:rsidR="00BA4C5C" w:rsidRPr="003A6407" w:rsidRDefault="00BA4C5C">
            <w:pPr>
              <w:numPr>
                <w:ilvl w:val="0"/>
                <w:numId w:val="5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lastRenderedPageBreak/>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185962BA" w14:textId="77777777" w:rsidR="00BA4C5C" w:rsidRPr="003A6407" w:rsidRDefault="00BA4C5C">
            <w:pPr>
              <w:numPr>
                <w:ilvl w:val="0"/>
                <w:numId w:val="5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82D4865" w14:textId="77777777" w:rsidR="00BA4C5C" w:rsidRPr="003A6407" w:rsidRDefault="00BA4C5C">
            <w:pPr>
              <w:numPr>
                <w:ilvl w:val="0"/>
                <w:numId w:val="5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(istotność: niska)</w:t>
            </w:r>
          </w:p>
          <w:p w14:paraId="3C3F27D4" w14:textId="625852AD" w:rsidR="00BA4C5C" w:rsidRPr="003A6407" w:rsidRDefault="00BA4C5C">
            <w:pPr>
              <w:numPr>
                <w:ilvl w:val="0"/>
                <w:numId w:val="5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7168ACA2" w14:textId="57B3B15F" w:rsidR="00D423C6" w:rsidRPr="003A6407" w:rsidRDefault="00D423C6" w:rsidP="00D423C6">
            <w:pPr>
              <w:spacing w:beforeLines="60" w:before="144" w:afterLines="60" w:after="144" w:line="240" w:lineRule="auto"/>
              <w:contextualSpacing/>
              <w:jc w:val="both"/>
              <w:rPr>
                <w:rFonts w:asciiTheme="minorHAnsi" w:eastAsia="Calibri" w:hAnsiTheme="minorHAnsi" w:cstheme="minorHAnsi"/>
                <w:color w:val="000000"/>
              </w:rPr>
            </w:pPr>
          </w:p>
          <w:p w14:paraId="0D854A8B" w14:textId="77777777" w:rsidR="00D423C6" w:rsidRPr="003A6407" w:rsidRDefault="00D423C6" w:rsidP="00D423C6">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42334982" w14:textId="11BE835D" w:rsidR="00D423C6" w:rsidRPr="003A6407" w:rsidRDefault="00D423C6" w:rsidP="00D423C6">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9v), na podstawie Sprawozdania rocznego z 2021 r. dla projektów o podobnym zakresie wsparcia. </w:t>
            </w:r>
          </w:p>
          <w:p w14:paraId="4497CBAE" w14:textId="541DFDF7" w:rsidR="00D423C6" w:rsidRPr="003A6407" w:rsidRDefault="00D423C6" w:rsidP="00D423C6">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podmiotów ekonomii społecznej objętych wsparciem w 2016 r. osiągnął wartość 158, co wobec wartości z wykonania na </w:t>
            </w:r>
            <w:r w:rsidR="00AC0E11" w:rsidRPr="003A6407">
              <w:rPr>
                <w:rFonts w:asciiTheme="minorHAnsi" w:eastAsia="Calibri" w:hAnsiTheme="minorHAnsi" w:cstheme="minorHAnsi"/>
                <w:b/>
                <w:bCs/>
                <w:color w:val="000000"/>
              </w:rPr>
              <w:t xml:space="preserve">koniec </w:t>
            </w:r>
            <w:r w:rsidRPr="003A6407">
              <w:rPr>
                <w:rFonts w:asciiTheme="minorHAnsi" w:eastAsia="Calibri" w:hAnsiTheme="minorHAnsi" w:cstheme="minorHAnsi"/>
                <w:b/>
                <w:bCs/>
                <w:color w:val="000000"/>
              </w:rPr>
              <w:t xml:space="preserve">2021 r. (1 071) stanowi zaledwie 14,75 %. </w:t>
            </w:r>
          </w:p>
          <w:p w14:paraId="7176FA4F" w14:textId="6932A97F" w:rsidR="00285E10" w:rsidRPr="003A6407" w:rsidRDefault="00285E10" w:rsidP="00D423C6">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Wobec powyższego dla wartości pośredniej wskaźnika zastosowano tożsamy wskaźnik kompensacji w wysokości 27%. tj. wartość pośrednia będzie równa  3,98 % wartości docelowej i wyniesie 25.  </w:t>
            </w:r>
          </w:p>
          <w:p w14:paraId="5DE7C163" w14:textId="77777777" w:rsidR="00BA4C5C" w:rsidRPr="003A6407" w:rsidRDefault="00BA4C5C" w:rsidP="003B55F7">
            <w:pPr>
              <w:spacing w:beforeLines="60" w:before="144" w:afterLines="60" w:after="144" w:line="240" w:lineRule="auto"/>
              <w:contextualSpacing/>
              <w:jc w:val="both"/>
              <w:rPr>
                <w:rFonts w:asciiTheme="minorHAnsi" w:eastAsia="Calibri" w:hAnsiTheme="minorHAnsi" w:cstheme="minorHAnsi"/>
                <w:color w:val="000000"/>
              </w:rPr>
            </w:pPr>
          </w:p>
        </w:tc>
      </w:tr>
    </w:tbl>
    <w:p w14:paraId="6528FB2D" w14:textId="77777777" w:rsidR="00BA4C5C" w:rsidRPr="003A6407" w:rsidRDefault="00BA4C5C" w:rsidP="00AF5BCC">
      <w:pPr>
        <w:pStyle w:val="Nagwek2"/>
        <w:spacing w:after="200"/>
        <w:rPr>
          <w:rFonts w:asciiTheme="minorHAnsi" w:eastAsia="Times New Roman" w:hAnsiTheme="minorHAnsi" w:cstheme="minorHAnsi"/>
        </w:rPr>
      </w:pPr>
      <w:bookmarkStart w:id="292" w:name="_Toc97122031"/>
      <w:bookmarkStart w:id="293" w:name="_Toc98188993"/>
      <w:bookmarkStart w:id="294" w:name="_Toc120464482"/>
      <w:bookmarkStart w:id="295" w:name="_Hlk95398953"/>
      <w:bookmarkEnd w:id="288"/>
      <w:r w:rsidRPr="003A6407">
        <w:rPr>
          <w:rFonts w:asciiTheme="minorHAnsi" w:eastAsia="Times New Roman" w:hAnsiTheme="minorHAnsi" w:cstheme="minorHAnsi"/>
        </w:rPr>
        <w:t>Wskaźniki rezultatu</w:t>
      </w:r>
      <w:bookmarkEnd w:id="292"/>
      <w:bookmarkEnd w:id="293"/>
      <w:bookmarkEnd w:id="294"/>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930"/>
        <w:gridCol w:w="757"/>
        <w:gridCol w:w="739"/>
        <w:gridCol w:w="737"/>
        <w:gridCol w:w="737"/>
      </w:tblGrid>
      <w:tr w:rsidR="00191FE2" w:rsidRPr="003A6407" w14:paraId="7641767D" w14:textId="77777777" w:rsidTr="00270B09">
        <w:trPr>
          <w:cantSplit/>
          <w:trHeight w:val="1647"/>
        </w:trPr>
        <w:tc>
          <w:tcPr>
            <w:tcW w:w="338" w:type="pct"/>
            <w:shd w:val="clear" w:color="auto" w:fill="auto"/>
            <w:vAlign w:val="center"/>
          </w:tcPr>
          <w:p w14:paraId="7038DDF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CP 4</w:t>
            </w:r>
          </w:p>
          <w:p w14:paraId="50A826C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Cel szczegółowy</w:t>
            </w:r>
          </w:p>
        </w:tc>
        <w:tc>
          <w:tcPr>
            <w:tcW w:w="367" w:type="pct"/>
            <w:shd w:val="clear" w:color="auto" w:fill="auto"/>
            <w:vAlign w:val="center"/>
          </w:tcPr>
          <w:p w14:paraId="5DE5207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Fundusz</w:t>
            </w:r>
          </w:p>
        </w:tc>
        <w:tc>
          <w:tcPr>
            <w:tcW w:w="415" w:type="pct"/>
            <w:shd w:val="clear" w:color="auto" w:fill="auto"/>
            <w:vAlign w:val="center"/>
          </w:tcPr>
          <w:p w14:paraId="3A1B9CE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Kategoria regionu</w:t>
            </w:r>
          </w:p>
        </w:tc>
        <w:tc>
          <w:tcPr>
            <w:tcW w:w="268" w:type="pct"/>
            <w:shd w:val="clear" w:color="auto" w:fill="auto"/>
            <w:textDirection w:val="btLr"/>
            <w:vAlign w:val="center"/>
          </w:tcPr>
          <w:p w14:paraId="505FD0D7"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Nr identyfikacyjny [5]</w:t>
            </w:r>
          </w:p>
        </w:tc>
        <w:tc>
          <w:tcPr>
            <w:tcW w:w="1050" w:type="pct"/>
            <w:shd w:val="clear" w:color="auto" w:fill="auto"/>
            <w:vAlign w:val="center"/>
          </w:tcPr>
          <w:p w14:paraId="06DBB06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Wskaźnik [255]</w:t>
            </w:r>
          </w:p>
        </w:tc>
        <w:tc>
          <w:tcPr>
            <w:tcW w:w="409" w:type="pct"/>
            <w:shd w:val="clear" w:color="auto" w:fill="auto"/>
            <w:textDirection w:val="btLr"/>
            <w:vAlign w:val="center"/>
          </w:tcPr>
          <w:p w14:paraId="350B59A1"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Jednostka miary</w:t>
            </w:r>
          </w:p>
        </w:tc>
        <w:tc>
          <w:tcPr>
            <w:tcW w:w="513" w:type="pct"/>
            <w:textDirection w:val="btLr"/>
            <w:vAlign w:val="center"/>
          </w:tcPr>
          <w:p w14:paraId="0F7A32C8"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Wartość bazowa lub wartość odniesienia</w:t>
            </w:r>
          </w:p>
        </w:tc>
        <w:tc>
          <w:tcPr>
            <w:tcW w:w="418" w:type="pct"/>
            <w:shd w:val="clear" w:color="auto" w:fill="auto"/>
            <w:textDirection w:val="btLr"/>
            <w:vAlign w:val="center"/>
          </w:tcPr>
          <w:p w14:paraId="5DFAEC76"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Rok referencyjny</w:t>
            </w:r>
          </w:p>
        </w:tc>
        <w:tc>
          <w:tcPr>
            <w:tcW w:w="408" w:type="pct"/>
            <w:shd w:val="clear" w:color="auto" w:fill="auto"/>
            <w:vAlign w:val="center"/>
          </w:tcPr>
          <w:p w14:paraId="7E4E417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Cel (2029)</w:t>
            </w:r>
          </w:p>
          <w:p w14:paraId="1B330AF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p>
        </w:tc>
        <w:tc>
          <w:tcPr>
            <w:tcW w:w="407" w:type="pct"/>
            <w:vAlign w:val="center"/>
          </w:tcPr>
          <w:p w14:paraId="103956C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Zródło danych [200]</w:t>
            </w:r>
          </w:p>
        </w:tc>
        <w:tc>
          <w:tcPr>
            <w:tcW w:w="406" w:type="pct"/>
            <w:vAlign w:val="center"/>
          </w:tcPr>
          <w:p w14:paraId="02C2624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8"/>
                <w:szCs w:val="18"/>
              </w:rPr>
            </w:pPr>
            <w:r w:rsidRPr="003A6407">
              <w:rPr>
                <w:rFonts w:asciiTheme="minorHAnsi" w:eastAsia="Calibri" w:hAnsiTheme="minorHAnsi" w:cstheme="minorHAnsi"/>
                <w:b/>
                <w:noProof/>
                <w:sz w:val="18"/>
                <w:szCs w:val="18"/>
              </w:rPr>
              <w:t>Uwagi</w:t>
            </w:r>
          </w:p>
        </w:tc>
      </w:tr>
      <w:tr w:rsidR="00191FE2" w:rsidRPr="003A6407" w14:paraId="3B64975F" w14:textId="77777777" w:rsidTr="00270B09">
        <w:trPr>
          <w:trHeight w:val="340"/>
        </w:trPr>
        <w:tc>
          <w:tcPr>
            <w:tcW w:w="338" w:type="pct"/>
            <w:shd w:val="clear" w:color="auto" w:fill="auto"/>
            <w:vAlign w:val="center"/>
          </w:tcPr>
          <w:p w14:paraId="59452776"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4 (h)</w:t>
            </w:r>
          </w:p>
          <w:p w14:paraId="486B8FCD" w14:textId="28ABA067"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8"/>
                <w:szCs w:val="18"/>
              </w:rPr>
            </w:pPr>
            <w:r>
              <w:rPr>
                <w:rFonts w:asciiTheme="minorHAnsi" w:eastAsia="Calibri" w:hAnsiTheme="minorHAnsi" w:cstheme="minorHAnsi"/>
                <w:noProof/>
                <w:sz w:val="18"/>
                <w:szCs w:val="18"/>
              </w:rPr>
              <w:t>4.8</w:t>
            </w:r>
          </w:p>
        </w:tc>
        <w:tc>
          <w:tcPr>
            <w:tcW w:w="367" w:type="pct"/>
            <w:shd w:val="clear" w:color="auto" w:fill="auto"/>
            <w:vAlign w:val="center"/>
          </w:tcPr>
          <w:p w14:paraId="617875B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EFS</w:t>
            </w:r>
          </w:p>
        </w:tc>
        <w:tc>
          <w:tcPr>
            <w:tcW w:w="415" w:type="pct"/>
            <w:shd w:val="clear" w:color="auto" w:fill="auto"/>
            <w:vAlign w:val="center"/>
          </w:tcPr>
          <w:p w14:paraId="65493AA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przejściowy</w:t>
            </w:r>
          </w:p>
        </w:tc>
        <w:tc>
          <w:tcPr>
            <w:tcW w:w="268" w:type="pct"/>
            <w:shd w:val="clear" w:color="auto" w:fill="auto"/>
            <w:vAlign w:val="center"/>
          </w:tcPr>
          <w:p w14:paraId="455B3F6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PLHILCR01</w:t>
            </w:r>
          </w:p>
        </w:tc>
        <w:tc>
          <w:tcPr>
            <w:tcW w:w="1050" w:type="pct"/>
            <w:shd w:val="clear" w:color="auto" w:fill="auto"/>
            <w:vAlign w:val="center"/>
          </w:tcPr>
          <w:p w14:paraId="589D2BFC" w14:textId="77777777" w:rsidR="00BA4C5C" w:rsidRPr="003A6407" w:rsidRDefault="00BA4C5C" w:rsidP="00270B09">
            <w:pPr>
              <w:keepNext/>
              <w:keepLines/>
              <w:spacing w:before="200" w:after="0"/>
              <w:jc w:val="center"/>
              <w:outlineLvl w:val="2"/>
              <w:rPr>
                <w:rFonts w:asciiTheme="minorHAnsi" w:eastAsia="Times New Roman" w:hAnsiTheme="minorHAnsi" w:cstheme="minorHAnsi"/>
                <w:bCs/>
                <w:noProof/>
                <w:sz w:val="18"/>
                <w:szCs w:val="18"/>
              </w:rPr>
            </w:pPr>
            <w:bookmarkStart w:id="296" w:name="_Toc97122033"/>
            <w:bookmarkStart w:id="297" w:name="_Toc98188994"/>
            <w:bookmarkStart w:id="298" w:name="_Toc120464483"/>
            <w:r w:rsidRPr="003A6407">
              <w:rPr>
                <w:rFonts w:asciiTheme="minorHAnsi" w:eastAsia="Times New Roman" w:hAnsiTheme="minorHAnsi" w:cstheme="minorHAnsi"/>
                <w:bCs/>
                <w:noProof/>
                <w:sz w:val="18"/>
                <w:szCs w:val="18"/>
              </w:rPr>
              <w:t>Liczba osób, których sytuacja społeczna uległa poprawie po opuszczeniu programu</w:t>
            </w:r>
            <w:bookmarkEnd w:id="296"/>
            <w:bookmarkEnd w:id="297"/>
            <w:bookmarkEnd w:id="298"/>
          </w:p>
        </w:tc>
        <w:tc>
          <w:tcPr>
            <w:tcW w:w="409" w:type="pct"/>
            <w:shd w:val="clear" w:color="auto" w:fill="auto"/>
            <w:vAlign w:val="center"/>
          </w:tcPr>
          <w:p w14:paraId="20AD584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osoby</w:t>
            </w:r>
          </w:p>
        </w:tc>
        <w:tc>
          <w:tcPr>
            <w:tcW w:w="513" w:type="pct"/>
            <w:vAlign w:val="center"/>
          </w:tcPr>
          <w:p w14:paraId="351FC38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0,00</w:t>
            </w:r>
          </w:p>
        </w:tc>
        <w:tc>
          <w:tcPr>
            <w:tcW w:w="418" w:type="pct"/>
            <w:shd w:val="clear" w:color="auto" w:fill="auto"/>
            <w:vAlign w:val="center"/>
          </w:tcPr>
          <w:p w14:paraId="1E9CECE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2022</w:t>
            </w:r>
          </w:p>
        </w:tc>
        <w:tc>
          <w:tcPr>
            <w:tcW w:w="408" w:type="pct"/>
            <w:shd w:val="clear" w:color="auto" w:fill="auto"/>
            <w:vAlign w:val="center"/>
          </w:tcPr>
          <w:p w14:paraId="053A4CF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9 024</w:t>
            </w:r>
          </w:p>
        </w:tc>
        <w:tc>
          <w:tcPr>
            <w:tcW w:w="407" w:type="pct"/>
            <w:vAlign w:val="center"/>
          </w:tcPr>
          <w:p w14:paraId="28A765C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r w:rsidRPr="003A6407">
              <w:rPr>
                <w:rFonts w:asciiTheme="minorHAnsi" w:eastAsia="Calibri" w:hAnsiTheme="minorHAnsi" w:cstheme="minorHAnsi"/>
                <w:noProof/>
                <w:sz w:val="18"/>
                <w:szCs w:val="18"/>
              </w:rPr>
              <w:t>SL</w:t>
            </w:r>
          </w:p>
        </w:tc>
        <w:tc>
          <w:tcPr>
            <w:tcW w:w="406" w:type="pct"/>
            <w:vAlign w:val="center"/>
          </w:tcPr>
          <w:p w14:paraId="38F8C9D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8"/>
                <w:szCs w:val="18"/>
              </w:rPr>
            </w:pPr>
          </w:p>
        </w:tc>
      </w:tr>
      <w:tr w:rsidR="00BA4C5C" w:rsidRPr="003A6407" w14:paraId="4DF2569F" w14:textId="77777777" w:rsidTr="002B58A1">
        <w:trPr>
          <w:trHeight w:val="340"/>
        </w:trPr>
        <w:tc>
          <w:tcPr>
            <w:tcW w:w="5000" w:type="pct"/>
            <w:gridSpan w:val="11"/>
          </w:tcPr>
          <w:p w14:paraId="1D0FF5EC"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085A337B"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0775B9DF" w14:textId="24F38C37" w:rsidR="00BA4C5C" w:rsidRPr="003A6407" w:rsidRDefault="00BA4C5C" w:rsidP="00270B09">
            <w:pPr>
              <w:numPr>
                <w:ilvl w:val="0"/>
                <w:numId w:val="12"/>
              </w:numPr>
              <w:spacing w:after="0"/>
              <w:ind w:left="765" w:hanging="357"/>
              <w:contextualSpacing/>
              <w:jc w:val="both"/>
              <w:rPr>
                <w:rFonts w:asciiTheme="minorHAnsi" w:eastAsia="Calibri" w:hAnsiTheme="minorHAnsi" w:cstheme="minorHAnsi"/>
              </w:rPr>
            </w:pPr>
            <w:r w:rsidRPr="003A6407">
              <w:rPr>
                <w:rFonts w:asciiTheme="minorHAnsi" w:eastAsia="Calibri" w:hAnsiTheme="minorHAnsi" w:cstheme="minorHAnsi"/>
              </w:rPr>
              <w:t>163 Promowanie integracji społecznej osób zagrożonych ubóstwem lub wykluczeniem społecznym, w tym osób najbardziej potrzebujących i dzieci (</w:t>
            </w:r>
            <w:r w:rsidR="00404B9C">
              <w:rPr>
                <w:rFonts w:asciiTheme="minorHAnsi" w:eastAsia="Calibri" w:hAnsiTheme="minorHAnsi" w:cstheme="minorHAnsi"/>
              </w:rPr>
              <w:t>27</w:t>
            </w:r>
            <w:r w:rsidRPr="003A6407">
              <w:rPr>
                <w:rFonts w:asciiTheme="minorHAnsi" w:eastAsia="Calibri" w:hAnsiTheme="minorHAnsi" w:cstheme="minorHAnsi"/>
              </w:rPr>
              <w:t xml:space="preserve"> 389 819 EUR);</w:t>
            </w:r>
          </w:p>
          <w:p w14:paraId="4A685EBA" w14:textId="77777777" w:rsidR="00BA4C5C" w:rsidRPr="003A6407" w:rsidRDefault="00BA4C5C" w:rsidP="00270B09">
            <w:pPr>
              <w:pStyle w:val="Akapitzlist"/>
              <w:numPr>
                <w:ilvl w:val="0"/>
                <w:numId w:val="12"/>
              </w:numPr>
              <w:spacing w:after="0"/>
              <w:ind w:left="765" w:hanging="357"/>
              <w:jc w:val="both"/>
              <w:rPr>
                <w:rFonts w:asciiTheme="minorHAnsi" w:eastAsia="Calibri" w:hAnsiTheme="minorHAnsi" w:cstheme="minorHAnsi"/>
              </w:rPr>
            </w:pPr>
            <w:r w:rsidRPr="003A6407">
              <w:rPr>
                <w:rFonts w:asciiTheme="minorHAnsi" w:eastAsia="Calibri" w:hAnsiTheme="minorHAnsi" w:cstheme="minorHAnsi"/>
              </w:rPr>
              <w:t>138 Wsparcie na rzecz ekonomii społecznej i przedsiębiorstw społecznych (12 271 921,00 EUR);</w:t>
            </w:r>
          </w:p>
          <w:p w14:paraId="2106E0AF" w14:textId="465ED767" w:rsidR="00BA4C5C" w:rsidRDefault="00BA4C5C" w:rsidP="00270B09">
            <w:pPr>
              <w:numPr>
                <w:ilvl w:val="0"/>
                <w:numId w:val="12"/>
              </w:numPr>
              <w:spacing w:after="0"/>
              <w:ind w:left="765" w:hanging="357"/>
              <w:contextualSpacing/>
              <w:jc w:val="both"/>
              <w:rPr>
                <w:rFonts w:asciiTheme="minorHAnsi" w:eastAsia="Calibri" w:hAnsiTheme="minorHAnsi" w:cstheme="minorHAnsi"/>
              </w:rPr>
            </w:pPr>
            <w:r w:rsidRPr="003A6407">
              <w:rPr>
                <w:rFonts w:asciiTheme="minorHAnsi" w:eastAsia="Calibri" w:hAnsiTheme="minorHAnsi" w:cstheme="minorHAnsi"/>
              </w:rPr>
              <w:lastRenderedPageBreak/>
              <w:t>136 Wsparcie szczególne na rzecz zatrudnienia ludzi młodych i integracji społeczno-gospodarczej ludzi młodych (20 000 000 EUR);</w:t>
            </w:r>
          </w:p>
          <w:p w14:paraId="3F7A62D5" w14:textId="436253CE" w:rsidR="00404B9C" w:rsidRPr="003A6407" w:rsidRDefault="00404B9C" w:rsidP="00270B09">
            <w:pPr>
              <w:numPr>
                <w:ilvl w:val="0"/>
                <w:numId w:val="12"/>
              </w:numPr>
              <w:spacing w:after="0"/>
              <w:ind w:left="765" w:hanging="357"/>
              <w:contextualSpacing/>
              <w:jc w:val="both"/>
              <w:rPr>
                <w:rFonts w:asciiTheme="minorHAnsi" w:eastAsia="Calibri" w:hAnsiTheme="minorHAnsi" w:cstheme="minorHAnsi"/>
              </w:rPr>
            </w:pPr>
            <w:r w:rsidRPr="00404B9C">
              <w:rPr>
                <w:rFonts w:asciiTheme="minorHAnsi" w:eastAsia="Calibri" w:hAnsiTheme="minorHAnsi" w:cstheme="minorHAnsi"/>
              </w:rPr>
              <w:t>154. Działania na rzecz poprawy dostępu grup marginalizowanych, takich jak Romowie, do edukacji, zatrudnienia, a także na rzecz wspierania ich włączenia społecznego</w:t>
            </w:r>
            <w:r>
              <w:rPr>
                <w:rFonts w:asciiTheme="minorHAnsi" w:eastAsia="Calibri" w:hAnsiTheme="minorHAnsi" w:cstheme="minorHAnsi"/>
              </w:rPr>
              <w:t xml:space="preserve"> (3 000 000 EUR)</w:t>
            </w:r>
          </w:p>
          <w:p w14:paraId="1FE66E9F"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Punktem wyjścia dla wyliczeń wartości docelowej wskaźnika są założenia dotyczące wykonania wskaźnika produktu: Liczba osób niezatrudnionych objętych wsparciem w programie, przy założeniu, że wskaźnik ten obejmuje osoby należące do mniejszości, w tym społeczności marginalizowanych oraz osoby w wieku 18-29 lat. </w:t>
            </w:r>
          </w:p>
          <w:p w14:paraId="662E8374" w14:textId="77777777" w:rsidR="00BA4C5C" w:rsidRPr="003A6407" w:rsidRDefault="00BA4C5C" w:rsidP="000B32E2">
            <w:pPr>
              <w:jc w:val="both"/>
              <w:rPr>
                <w:rFonts w:asciiTheme="minorHAnsi" w:eastAsia="Calibri" w:hAnsiTheme="minorHAnsi" w:cstheme="minorHAnsi"/>
              </w:rPr>
            </w:pPr>
            <w:r w:rsidRPr="003A6407">
              <w:rPr>
                <w:rFonts w:asciiTheme="minorHAnsi" w:eastAsia="Calibri" w:hAnsiTheme="minorHAnsi" w:cstheme="minorHAnsi"/>
              </w:rPr>
              <w:t xml:space="preserve">Zgodnie z definicją zawartą w Liście Wskaźników Kluczowych 2021-2027 – EFS+ wskaźnik Liczba osób, których sytuacja społeczna uległa poprawie po opuszczeniu programu odnosi się do pomiaru </w:t>
            </w:r>
            <w:bookmarkStart w:id="299" w:name="_Hlk96947524"/>
            <w:r w:rsidRPr="003A6407">
              <w:rPr>
                <w:rFonts w:asciiTheme="minorHAnsi" w:eastAsia="Calibri" w:hAnsiTheme="minorHAnsi" w:cstheme="minorHAnsi"/>
              </w:rPr>
              <w:t>spełnienia kryterium efektywności społecznej</w:t>
            </w:r>
            <w:bookmarkEnd w:id="299"/>
            <w:r w:rsidRPr="003A6407">
              <w:rPr>
                <w:rFonts w:asciiTheme="minorHAnsi" w:eastAsia="Calibri" w:hAnsiTheme="minorHAnsi" w:cstheme="minorHAnsi"/>
              </w:rPr>
              <w:t>. Efektywność społeczną rozumie się jako odsetek osób zagrożonych ubóstwem lub wykluczeniem społecznym, które dokonały postępu w aktywizacji społecznej. Tak zdefiniowany wskaźnik można odnieść bezpośrednio do definicji efektywności społecznej, która funkcjonowała w perspektywie 2014-2020.</w:t>
            </w:r>
          </w:p>
          <w:p w14:paraId="2175F41A" w14:textId="77777777" w:rsidR="00BA4C5C" w:rsidRPr="003A6407" w:rsidRDefault="00BA4C5C" w:rsidP="000B32E2">
            <w:pPr>
              <w:jc w:val="both"/>
              <w:rPr>
                <w:rFonts w:asciiTheme="minorHAnsi" w:eastAsia="Calibri" w:hAnsiTheme="minorHAnsi" w:cstheme="minorHAnsi"/>
              </w:rPr>
            </w:pPr>
            <w:r w:rsidRPr="003A6407">
              <w:rPr>
                <w:rFonts w:asciiTheme="minorHAnsi" w:eastAsia="Calibri" w:hAnsiTheme="minorHAnsi" w:cstheme="minorHAnsi"/>
              </w:rPr>
              <w:t>W celu obliczenia wskaźnika odniesiono się do przedsięwzięć realizowanych w ramach Działania 9.1 RPO WD 2014-2020 i na tej podstawie oszacowano wartość wskaźnika rezultatu na poziomie 70% wykonania wskaźników produktu: Liczba osób niezatrudnionych objętych wsparciem w programie, którego wartość docelowa wynosi  12 891 osób.</w:t>
            </w:r>
          </w:p>
          <w:p w14:paraId="45223FB2"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Wyliczenie: 12 891* 70% = 9 024 osoby </w:t>
            </w:r>
          </w:p>
        </w:tc>
      </w:tr>
    </w:tbl>
    <w:p w14:paraId="64F1EC20" w14:textId="77777777" w:rsidR="00BA4C5C" w:rsidRPr="003A6407" w:rsidRDefault="00BA4C5C" w:rsidP="000B32E2">
      <w:pPr>
        <w:rPr>
          <w:rFonts w:asciiTheme="minorHAnsi" w:eastAsia="Calibri" w:hAnsiTheme="minorHAnsi" w:cstheme="minorHAns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071"/>
        <w:gridCol w:w="618"/>
        <w:gridCol w:w="741"/>
        <w:gridCol w:w="737"/>
        <w:gridCol w:w="734"/>
      </w:tblGrid>
      <w:tr w:rsidR="00191FE2" w:rsidRPr="003A6407" w14:paraId="5EEAD9BD" w14:textId="77777777" w:rsidTr="00270B09">
        <w:trPr>
          <w:cantSplit/>
          <w:trHeight w:val="1752"/>
        </w:trPr>
        <w:tc>
          <w:tcPr>
            <w:tcW w:w="338" w:type="pct"/>
            <w:shd w:val="clear" w:color="auto" w:fill="auto"/>
            <w:vAlign w:val="center"/>
          </w:tcPr>
          <w:bookmarkEnd w:id="295"/>
          <w:p w14:paraId="2FFC63B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08A200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4DFB570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3E46810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31D00A63"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152B379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36000AC6"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91" w:type="pct"/>
            <w:textDirection w:val="btLr"/>
            <w:vAlign w:val="center"/>
          </w:tcPr>
          <w:p w14:paraId="3AAA17E2"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341" w:type="pct"/>
            <w:shd w:val="clear" w:color="auto" w:fill="auto"/>
            <w:textDirection w:val="btLr"/>
            <w:vAlign w:val="center"/>
          </w:tcPr>
          <w:p w14:paraId="2A631DA8"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9" w:type="pct"/>
            <w:shd w:val="clear" w:color="auto" w:fill="auto"/>
            <w:vAlign w:val="center"/>
          </w:tcPr>
          <w:p w14:paraId="377586B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32BE7F7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512CAF4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5" w:type="pct"/>
            <w:vAlign w:val="center"/>
          </w:tcPr>
          <w:p w14:paraId="3A4E0A3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275C974C" w14:textId="77777777" w:rsidTr="00270B09">
        <w:trPr>
          <w:trHeight w:val="340"/>
        </w:trPr>
        <w:tc>
          <w:tcPr>
            <w:tcW w:w="338" w:type="pct"/>
            <w:shd w:val="clear" w:color="auto" w:fill="auto"/>
            <w:vAlign w:val="center"/>
          </w:tcPr>
          <w:p w14:paraId="128C76B8"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(h)</w:t>
            </w:r>
          </w:p>
          <w:p w14:paraId="72B007DE" w14:textId="63D09AFD"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4.8</w:t>
            </w:r>
          </w:p>
        </w:tc>
        <w:tc>
          <w:tcPr>
            <w:tcW w:w="367" w:type="pct"/>
            <w:shd w:val="clear" w:color="auto" w:fill="auto"/>
            <w:vAlign w:val="center"/>
          </w:tcPr>
          <w:p w14:paraId="662AB22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0F02632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69A2C43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PLHCR01</w:t>
            </w:r>
          </w:p>
        </w:tc>
        <w:tc>
          <w:tcPr>
            <w:tcW w:w="1050" w:type="pct"/>
            <w:shd w:val="clear" w:color="auto" w:fill="auto"/>
            <w:vAlign w:val="center"/>
          </w:tcPr>
          <w:p w14:paraId="244DF475"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300" w:name="_Toc97122034"/>
            <w:bookmarkStart w:id="301" w:name="_Toc98188995"/>
            <w:bookmarkStart w:id="302" w:name="_Toc120464484"/>
            <w:r w:rsidRPr="003A6407">
              <w:rPr>
                <w:rFonts w:asciiTheme="minorHAnsi" w:eastAsia="Times New Roman" w:hAnsiTheme="minorHAnsi" w:cstheme="minorHAnsi"/>
                <w:bCs/>
                <w:noProof/>
                <w:sz w:val="16"/>
                <w:szCs w:val="16"/>
              </w:rPr>
              <w:t>Liczba miejsc pracy utworzonych w przedsiębiorstwach społecznych</w:t>
            </w:r>
            <w:bookmarkEnd w:id="300"/>
            <w:bookmarkEnd w:id="301"/>
            <w:bookmarkEnd w:id="302"/>
          </w:p>
        </w:tc>
        <w:tc>
          <w:tcPr>
            <w:tcW w:w="409" w:type="pct"/>
            <w:shd w:val="clear" w:color="auto" w:fill="auto"/>
            <w:vAlign w:val="center"/>
          </w:tcPr>
          <w:p w14:paraId="5DA7DFC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szt</w:t>
            </w:r>
          </w:p>
        </w:tc>
        <w:tc>
          <w:tcPr>
            <w:tcW w:w="591" w:type="pct"/>
            <w:vAlign w:val="center"/>
          </w:tcPr>
          <w:p w14:paraId="0C3FD23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341" w:type="pct"/>
            <w:shd w:val="clear" w:color="auto" w:fill="auto"/>
            <w:vAlign w:val="center"/>
          </w:tcPr>
          <w:p w14:paraId="07717A4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9" w:type="pct"/>
            <w:shd w:val="clear" w:color="auto" w:fill="auto"/>
            <w:vAlign w:val="center"/>
          </w:tcPr>
          <w:p w14:paraId="276CC2E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387</w:t>
            </w:r>
          </w:p>
        </w:tc>
        <w:tc>
          <w:tcPr>
            <w:tcW w:w="407" w:type="pct"/>
            <w:vAlign w:val="center"/>
          </w:tcPr>
          <w:p w14:paraId="127DA18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5" w:type="pct"/>
            <w:vAlign w:val="center"/>
          </w:tcPr>
          <w:p w14:paraId="78A9DBA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569AD598" w14:textId="77777777" w:rsidTr="002B58A1">
        <w:trPr>
          <w:trHeight w:val="340"/>
        </w:trPr>
        <w:tc>
          <w:tcPr>
            <w:tcW w:w="5000" w:type="pct"/>
            <w:gridSpan w:val="11"/>
          </w:tcPr>
          <w:p w14:paraId="2624FB61"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3CC77A0"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06162898" w14:textId="77777777" w:rsidR="00BA4C5C" w:rsidRPr="003A6407" w:rsidRDefault="00BA4C5C" w:rsidP="000B32E2">
            <w:pPr>
              <w:numPr>
                <w:ilvl w:val="0"/>
                <w:numId w:val="12"/>
              </w:numPr>
              <w:spacing w:before="60" w:after="60"/>
              <w:ind w:left="765" w:hanging="357"/>
              <w:contextualSpacing/>
              <w:jc w:val="both"/>
              <w:rPr>
                <w:rFonts w:asciiTheme="minorHAnsi" w:eastAsia="Calibri" w:hAnsiTheme="minorHAnsi" w:cstheme="minorHAnsi"/>
              </w:rPr>
            </w:pPr>
            <w:r w:rsidRPr="003A6407">
              <w:rPr>
                <w:rFonts w:asciiTheme="minorHAnsi" w:eastAsia="Calibri" w:hAnsiTheme="minorHAnsi" w:cstheme="minorHAnsi"/>
              </w:rPr>
              <w:t>138 Wsparcie na rzecz ekonomii społecznej i przedsiębiorstw społecznych (12 271 921,00 EUR);</w:t>
            </w:r>
          </w:p>
          <w:p w14:paraId="1B1FFF40" w14:textId="77777777" w:rsidR="00BA4C5C" w:rsidRPr="003A6407" w:rsidRDefault="00BA4C5C" w:rsidP="000B32E2">
            <w:pPr>
              <w:spacing w:before="60" w:after="60"/>
              <w:jc w:val="both"/>
              <w:rPr>
                <w:rFonts w:asciiTheme="minorHAnsi" w:eastAsia="Calibri" w:hAnsiTheme="minorHAnsi" w:cstheme="minorHAnsi"/>
              </w:rPr>
            </w:pPr>
            <w:r w:rsidRPr="003A6407">
              <w:rPr>
                <w:rFonts w:asciiTheme="minorHAnsi" w:eastAsia="Calibri" w:hAnsiTheme="minorHAnsi" w:cstheme="minorHAnsi"/>
              </w:rPr>
              <w:t>Zgodnie z projektem „Krajowego Planu Rozwoju Ekonomii Społecznej do 2030 roku. Ekonomia Solidarności Społecznej” ok. 53% alokacji przeznaczonej na wsparcie OWES wydatkowana będzie na tworzenie miejsc pracy w przedsiębiorstwach społecznych. Szacuje się, że w projektach OWES poziom kosztów pośrednich będzie wynosił 10% kosztów bezpośrednich, tym samym alokacja z kodu 138 na realizację wskaźnika wynosi 5 853 706,3 EUR.</w:t>
            </w:r>
          </w:p>
          <w:p w14:paraId="358FFE49"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26 048 993,11 PLN.</w:t>
            </w:r>
          </w:p>
          <w:p w14:paraId="701B0DA9"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Szacuje się, że uśredniony koszt utworzenia miejsca pracy wynosi 61 000 PLN (średnia stawka jednostkowa po indeksacji zgodnie z zapisami Krajowego Programu Rozwoju Ekonomii Społecznej). Stawka  jednostkowa została skorygowana w oparciu o wartość inflacji na poziomie 15% i wynosi 70 150,00 PLN, a obniżona do wartości dofinansowania na poziomie 70% wynosi 49 105,00 PLN .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58E7EFC0"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R: [(3*3)+(6*25)+(2*68)]/11 = 26,8%. Wartość zaokrąglono do pełnej wartości 27%.</w:t>
            </w:r>
          </w:p>
          <w:p w14:paraId="54E56D31"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009AE5D8"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26 048 993,11 / 49 105 * (1-0,27) = 387 szt.</w:t>
            </w:r>
          </w:p>
          <w:p w14:paraId="5170384E"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592CE1F3" w14:textId="77777777" w:rsidR="00BA4C5C" w:rsidRPr="003A6407" w:rsidRDefault="00BA4C5C">
            <w:pPr>
              <w:numPr>
                <w:ilvl w:val="0"/>
                <w:numId w:val="5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29E515E0" w14:textId="77777777" w:rsidR="00BA4C5C" w:rsidRPr="003A6407" w:rsidRDefault="00BA4C5C">
            <w:pPr>
              <w:numPr>
                <w:ilvl w:val="0"/>
                <w:numId w:val="5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5484E9BF" w14:textId="77777777" w:rsidR="00BA4C5C" w:rsidRPr="003A6407" w:rsidRDefault="00BA4C5C">
            <w:pPr>
              <w:numPr>
                <w:ilvl w:val="0"/>
                <w:numId w:val="5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0A082725" w14:textId="77777777" w:rsidR="00BA4C5C" w:rsidRPr="003A6407" w:rsidRDefault="00BA4C5C">
            <w:pPr>
              <w:numPr>
                <w:ilvl w:val="0"/>
                <w:numId w:val="5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 )</w:t>
            </w:r>
          </w:p>
          <w:p w14:paraId="75D27959" w14:textId="77777777" w:rsidR="00BA4C5C" w:rsidRPr="003A6407" w:rsidRDefault="00BA4C5C">
            <w:pPr>
              <w:numPr>
                <w:ilvl w:val="0"/>
                <w:numId w:val="51"/>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26865367" w14:textId="77777777" w:rsidR="00BA4C5C" w:rsidRPr="003A6407" w:rsidRDefault="00BA4C5C">
            <w:pPr>
              <w:numPr>
                <w:ilvl w:val="0"/>
                <w:numId w:val="51"/>
              </w:numPr>
              <w:shd w:val="clear" w:color="auto" w:fill="FFFFFF"/>
              <w:spacing w:before="60" w:after="60" w:line="240" w:lineRule="auto"/>
              <w:ind w:left="714" w:hanging="357"/>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A3A6ADE"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7E226EF5" w14:textId="77777777" w:rsidR="00BA4C5C" w:rsidRPr="003A6407" w:rsidRDefault="00BA4C5C">
            <w:pPr>
              <w:numPr>
                <w:ilvl w:val="0"/>
                <w:numId w:val="52"/>
              </w:numPr>
              <w:spacing w:before="60" w:after="60" w:line="240" w:lineRule="auto"/>
              <w:ind w:left="714" w:hanging="357"/>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0A07A292" w14:textId="77777777" w:rsidR="00BA4C5C" w:rsidRPr="003A6407" w:rsidRDefault="00BA4C5C">
            <w:pPr>
              <w:numPr>
                <w:ilvl w:val="0"/>
                <w:numId w:val="5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61F46E5D" w14:textId="77777777" w:rsidR="00BA4C5C" w:rsidRPr="003A6407" w:rsidRDefault="00BA4C5C">
            <w:pPr>
              <w:numPr>
                <w:ilvl w:val="0"/>
                <w:numId w:val="5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793ACFE1" w14:textId="77777777" w:rsidR="00BA4C5C" w:rsidRPr="003A6407" w:rsidRDefault="00BA4C5C">
            <w:pPr>
              <w:numPr>
                <w:ilvl w:val="0"/>
                <w:numId w:val="5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niska)</w:t>
            </w:r>
          </w:p>
          <w:p w14:paraId="6045F2BB" w14:textId="77777777" w:rsidR="00BA4C5C" w:rsidRPr="003A6407" w:rsidRDefault="00BA4C5C">
            <w:pPr>
              <w:numPr>
                <w:ilvl w:val="0"/>
                <w:numId w:val="5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767DE3D8"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p>
        </w:tc>
      </w:tr>
    </w:tbl>
    <w:p w14:paraId="0D011970" w14:textId="0431E8F0" w:rsidR="00BA4C5C" w:rsidRPr="003A6407" w:rsidRDefault="00BA4C5C" w:rsidP="009D5B48">
      <w:pPr>
        <w:pStyle w:val="Nagwek2"/>
        <w:spacing w:after="200"/>
        <w:rPr>
          <w:rFonts w:asciiTheme="minorHAnsi" w:eastAsia="Times New Roman" w:hAnsiTheme="minorHAnsi" w:cstheme="minorHAnsi"/>
        </w:rPr>
      </w:pPr>
      <w:bookmarkStart w:id="303" w:name="_Toc98188996"/>
      <w:bookmarkStart w:id="304" w:name="_Toc120464485"/>
      <w:r w:rsidRPr="003A6407">
        <w:rPr>
          <w:rFonts w:asciiTheme="minorHAnsi" w:eastAsia="Calibri" w:hAnsiTheme="minorHAnsi" w:cstheme="minorHAnsi"/>
        </w:rPr>
        <w:lastRenderedPageBreak/>
        <w:t xml:space="preserve">CEL SZCZEGÓŁOWY: </w:t>
      </w:r>
      <w:r w:rsidR="00637C8C" w:rsidRPr="00637C8C">
        <w:rPr>
          <w:rFonts w:asciiTheme="minorHAnsi" w:eastAsia="Times New Roman" w:hAnsiTheme="minorHAnsi" w:cstheme="minorHAnsi"/>
        </w:rPr>
        <w:t>ESO4.9. Wspieranie integracji społeczno-gospodarczej obywateli państw trzecich, w tym migrantów (EFS+)</w:t>
      </w:r>
      <w:bookmarkEnd w:id="303"/>
      <w:bookmarkEnd w:id="304"/>
    </w:p>
    <w:p w14:paraId="7E39A2C5" w14:textId="77777777" w:rsidR="00BA4C5C" w:rsidRPr="003A6407" w:rsidRDefault="00BA4C5C" w:rsidP="009D5B48">
      <w:pPr>
        <w:pStyle w:val="Nagwek2"/>
        <w:spacing w:after="200"/>
        <w:rPr>
          <w:rFonts w:asciiTheme="minorHAnsi" w:eastAsia="Times New Roman" w:hAnsiTheme="minorHAnsi" w:cstheme="minorHAnsi"/>
        </w:rPr>
      </w:pPr>
      <w:bookmarkStart w:id="305" w:name="_Toc97122035"/>
      <w:bookmarkStart w:id="306" w:name="_Toc98188997"/>
      <w:bookmarkStart w:id="307" w:name="_Toc120464486"/>
      <w:r w:rsidRPr="003A6407">
        <w:rPr>
          <w:rFonts w:asciiTheme="minorHAnsi" w:eastAsia="Times New Roman" w:hAnsiTheme="minorHAnsi" w:cstheme="minorHAnsi"/>
        </w:rPr>
        <w:t>Wskaźniki produktu</w:t>
      </w:r>
      <w:bookmarkEnd w:id="305"/>
      <w:bookmarkEnd w:id="306"/>
      <w:bookmarkEnd w:id="307"/>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1B3BC18" w14:textId="77777777" w:rsidTr="00270B09">
        <w:trPr>
          <w:cantSplit/>
          <w:trHeight w:val="1647"/>
        </w:trPr>
        <w:tc>
          <w:tcPr>
            <w:tcW w:w="451" w:type="pct"/>
            <w:shd w:val="clear" w:color="auto" w:fill="auto"/>
            <w:vAlign w:val="center"/>
          </w:tcPr>
          <w:p w14:paraId="04264B8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4C2CBD3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6B6460F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04E7D59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4CF9EC2E"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2AE670E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6585759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4BFC82A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312E5E3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5AE0903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4093E9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48F6D05F" w14:textId="77777777" w:rsidTr="00270B09">
        <w:trPr>
          <w:trHeight w:val="340"/>
        </w:trPr>
        <w:tc>
          <w:tcPr>
            <w:tcW w:w="451" w:type="pct"/>
            <w:shd w:val="clear" w:color="auto" w:fill="auto"/>
            <w:vAlign w:val="center"/>
          </w:tcPr>
          <w:p w14:paraId="420BA48A"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(i)</w:t>
            </w:r>
          </w:p>
          <w:p w14:paraId="07439AE5" w14:textId="430E1C2C"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4.9</w:t>
            </w:r>
          </w:p>
        </w:tc>
        <w:tc>
          <w:tcPr>
            <w:tcW w:w="494" w:type="pct"/>
            <w:shd w:val="clear" w:color="auto" w:fill="auto"/>
            <w:vAlign w:val="center"/>
          </w:tcPr>
          <w:p w14:paraId="479A032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7A78DA3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9578BE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EECO13</w:t>
            </w:r>
          </w:p>
        </w:tc>
        <w:tc>
          <w:tcPr>
            <w:tcW w:w="1411" w:type="pct"/>
            <w:shd w:val="clear" w:color="auto" w:fill="auto"/>
            <w:vAlign w:val="center"/>
          </w:tcPr>
          <w:p w14:paraId="7E9DF6CC" w14:textId="20D54182" w:rsidR="00BA4C5C" w:rsidRPr="003A6407" w:rsidRDefault="00235D55" w:rsidP="00270B09">
            <w:pPr>
              <w:keepNext/>
              <w:keepLines/>
              <w:spacing w:before="200" w:after="0"/>
              <w:jc w:val="center"/>
              <w:outlineLvl w:val="2"/>
              <w:rPr>
                <w:rFonts w:asciiTheme="minorHAnsi" w:eastAsia="Times New Roman" w:hAnsiTheme="minorHAnsi" w:cstheme="minorHAnsi"/>
                <w:b/>
                <w:bCs/>
                <w:noProof/>
                <w:sz w:val="16"/>
                <w:szCs w:val="16"/>
              </w:rPr>
            </w:pPr>
            <w:bookmarkStart w:id="308" w:name="_Toc97122037"/>
            <w:bookmarkStart w:id="309" w:name="_Toc98188998"/>
            <w:bookmarkStart w:id="310" w:name="_Toc120464487"/>
            <w:r w:rsidRPr="00235D55">
              <w:rPr>
                <w:rFonts w:asciiTheme="minorHAnsi" w:eastAsia="Times New Roman" w:hAnsiTheme="minorHAnsi" w:cstheme="minorHAnsi"/>
                <w:bCs/>
                <w:noProof/>
                <w:sz w:val="16"/>
                <w:szCs w:val="16"/>
              </w:rPr>
              <w:t>Obywatele państw trzecich</w:t>
            </w:r>
            <w:bookmarkEnd w:id="308"/>
            <w:bookmarkEnd w:id="309"/>
            <w:bookmarkEnd w:id="310"/>
          </w:p>
        </w:tc>
        <w:tc>
          <w:tcPr>
            <w:tcW w:w="549" w:type="pct"/>
            <w:shd w:val="clear" w:color="auto" w:fill="auto"/>
            <w:vAlign w:val="center"/>
          </w:tcPr>
          <w:p w14:paraId="0D11FBE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05FA8AD8" w14:textId="303EE40E"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474</w:t>
            </w:r>
            <w:r w:rsidR="001B0178">
              <w:rPr>
                <w:rFonts w:asciiTheme="minorHAnsi" w:eastAsia="Calibri" w:hAnsiTheme="minorHAnsi" w:cstheme="minorHAnsi"/>
                <w:noProof/>
                <w:sz w:val="16"/>
                <w:szCs w:val="16"/>
              </w:rPr>
              <w:t>,00</w:t>
            </w:r>
          </w:p>
        </w:tc>
        <w:tc>
          <w:tcPr>
            <w:tcW w:w="550" w:type="pct"/>
            <w:shd w:val="clear" w:color="auto" w:fill="auto"/>
            <w:vAlign w:val="center"/>
          </w:tcPr>
          <w:p w14:paraId="77AD287A" w14:textId="65236358"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15 787</w:t>
            </w:r>
          </w:p>
        </w:tc>
      </w:tr>
      <w:tr w:rsidR="00BA4C5C" w:rsidRPr="003A6407" w14:paraId="548843B7" w14:textId="77777777" w:rsidTr="00270B09">
        <w:trPr>
          <w:trHeight w:val="340"/>
        </w:trPr>
        <w:tc>
          <w:tcPr>
            <w:tcW w:w="5000" w:type="pct"/>
            <w:gridSpan w:val="8"/>
            <w:shd w:val="clear" w:color="auto" w:fill="auto"/>
          </w:tcPr>
          <w:p w14:paraId="3FA4B6AF"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2D01402D"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2407C7B4" w14:textId="77777777" w:rsidR="00BA4C5C" w:rsidRPr="003A6407" w:rsidRDefault="00BA4C5C" w:rsidP="000B32E2">
            <w:pPr>
              <w:numPr>
                <w:ilvl w:val="0"/>
                <w:numId w:val="12"/>
              </w:numPr>
              <w:shd w:val="clear" w:color="auto" w:fill="FFFFFF"/>
              <w:spacing w:after="0" w:line="240" w:lineRule="auto"/>
              <w:ind w:left="765" w:hanging="357"/>
              <w:contextualSpacing/>
              <w:jc w:val="both"/>
              <w:rPr>
                <w:rFonts w:asciiTheme="minorHAnsi" w:eastAsia="Calibri" w:hAnsiTheme="minorHAnsi" w:cstheme="minorHAnsi"/>
              </w:rPr>
            </w:pPr>
            <w:bookmarkStart w:id="311" w:name="_Hlk97631622"/>
            <w:r w:rsidRPr="003A6407">
              <w:rPr>
                <w:rFonts w:asciiTheme="minorHAnsi" w:eastAsia="Calibri" w:hAnsiTheme="minorHAnsi" w:cstheme="minorHAnsi"/>
              </w:rPr>
              <w:t>157 Działania na rzecz integracji społecznej obywateli państw trzecich (29 341 403 EUR)</w:t>
            </w:r>
            <w:bookmarkEnd w:id="311"/>
            <w:r w:rsidRPr="003A6407">
              <w:rPr>
                <w:rFonts w:asciiTheme="minorHAnsi" w:eastAsia="Calibri" w:hAnsiTheme="minorHAnsi" w:cstheme="minorHAnsi"/>
              </w:rPr>
              <w:t>;</w:t>
            </w:r>
          </w:p>
          <w:p w14:paraId="5985178F"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Alokacja kodu 157 przeznaczona będzie na realizację wsparcia kierowanego bezpośrednio do obywateli państw trzecich (OPT) – ok. 80% oraz na realizację wsparcia kierowanego m.in. do pracowników placówek edukacyjnych, rynku pracy, pomocy społecznej oraz otoczenia i środowisk lokalnych OPT – ok. 20%. Tym samym alokacja na realizację wskaźnika wynosi 23 473 122,4 EUR.</w:t>
            </w:r>
          </w:p>
          <w:p w14:paraId="61E5BA9D"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104 455 394,68</w:t>
            </w:r>
            <w:r w:rsidRPr="003A6407" w:rsidDel="00354FD0">
              <w:rPr>
                <w:rFonts w:asciiTheme="minorHAnsi" w:eastAsia="Calibri" w:hAnsiTheme="minorHAnsi" w:cstheme="minorHAnsi"/>
              </w:rPr>
              <w:t xml:space="preserve"> </w:t>
            </w:r>
            <w:r w:rsidRPr="003A6407">
              <w:rPr>
                <w:rFonts w:asciiTheme="minorHAnsi" w:eastAsia="Calibri" w:hAnsiTheme="minorHAnsi" w:cstheme="minorHAnsi"/>
              </w:rPr>
              <w:t xml:space="preserve"> PLN.</w:t>
            </w:r>
          </w:p>
          <w:p w14:paraId="453507EE"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Koszt jednostkowy oszacowany został na podstawie danych uzyskanych z fundacji zajmujących się kompleksowym wsparciem migrantów. W jego skład wchodzą szacunkowe koszty roczne m.in. w zakresie: kursów językowych, doradztwa, szkoleń, wsparcia tłumaczeń. Szacunkowy koszt jednostkowy wynosi 6 000 PLN.  Koszt jednostkowy został skorygowany w oparciu o wartość inflacji na poziomie 15% i wynosi  6 900,00  PLN, a obniżony do wartości dofinansowania na poziomie 70% wynosi 4 830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1E7E08B5"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[(3*3)+(7*25)+(2*68)]/12 = 26,7 %. Wartość zaokrąglono do pełnej wartości 27%.</w:t>
            </w:r>
          </w:p>
          <w:p w14:paraId="6420DA06"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5B5902F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104 455 394,68</w:t>
            </w:r>
            <w:r w:rsidRPr="003A6407" w:rsidDel="00354FD0">
              <w:rPr>
                <w:rFonts w:asciiTheme="minorHAnsi" w:eastAsia="Calibri" w:hAnsiTheme="minorHAnsi" w:cstheme="minorHAnsi"/>
              </w:rPr>
              <w:t xml:space="preserve"> </w:t>
            </w:r>
            <w:r w:rsidRPr="003A6407">
              <w:rPr>
                <w:rFonts w:asciiTheme="minorHAnsi" w:eastAsia="Calibri" w:hAnsiTheme="minorHAnsi" w:cstheme="minorHAnsi"/>
              </w:rPr>
              <w:t>/ 4 830 * (1-0,27) = 15 787 osób.</w:t>
            </w:r>
          </w:p>
          <w:p w14:paraId="00D31E4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3E3CBF17" w14:textId="77777777" w:rsidR="00BA4C5C" w:rsidRPr="003A6407" w:rsidRDefault="00BA4C5C">
            <w:pPr>
              <w:numPr>
                <w:ilvl w:val="0"/>
                <w:numId w:val="5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3B7BAB86" w14:textId="77777777" w:rsidR="00BA4C5C" w:rsidRPr="003A6407" w:rsidRDefault="00BA4C5C">
            <w:pPr>
              <w:numPr>
                <w:ilvl w:val="0"/>
                <w:numId w:val="5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127014A4" w14:textId="77777777" w:rsidR="00BA4C5C" w:rsidRPr="003A6407" w:rsidRDefault="00BA4C5C">
            <w:pPr>
              <w:numPr>
                <w:ilvl w:val="0"/>
                <w:numId w:val="5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70D48CB3" w14:textId="77777777" w:rsidR="00BA4C5C" w:rsidRPr="003A6407" w:rsidRDefault="00BA4C5C">
            <w:pPr>
              <w:numPr>
                <w:ilvl w:val="0"/>
                <w:numId w:val="53"/>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2526A6EA" w14:textId="77777777" w:rsidR="00BA4C5C" w:rsidRPr="003A6407" w:rsidRDefault="00BA4C5C">
            <w:pPr>
              <w:numPr>
                <w:ilvl w:val="0"/>
                <w:numId w:val="53"/>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56DE2A76" w14:textId="77777777" w:rsidR="00BA4C5C" w:rsidRPr="003A6407" w:rsidRDefault="00BA4C5C">
            <w:pPr>
              <w:numPr>
                <w:ilvl w:val="0"/>
                <w:numId w:val="53"/>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lastRenderedPageBreak/>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40FC756"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0C5EF940" w14:textId="77777777" w:rsidR="00BA4C5C" w:rsidRPr="003A6407" w:rsidRDefault="00BA4C5C">
            <w:pPr>
              <w:numPr>
                <w:ilvl w:val="0"/>
                <w:numId w:val="5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328CB8E9" w14:textId="77777777" w:rsidR="00BA4C5C" w:rsidRPr="003A6407" w:rsidRDefault="00BA4C5C">
            <w:pPr>
              <w:numPr>
                <w:ilvl w:val="0"/>
                <w:numId w:val="5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B9E8002" w14:textId="77777777" w:rsidR="00BA4C5C" w:rsidRPr="003A6407" w:rsidRDefault="00BA4C5C">
            <w:pPr>
              <w:numPr>
                <w:ilvl w:val="0"/>
                <w:numId w:val="5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6AA1C3DC" w14:textId="77777777" w:rsidR="00BA4C5C" w:rsidRPr="003A6407" w:rsidRDefault="00BA4C5C">
            <w:pPr>
              <w:numPr>
                <w:ilvl w:val="0"/>
                <w:numId w:val="5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 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niska)</w:t>
            </w:r>
          </w:p>
          <w:p w14:paraId="5AE3C7C8" w14:textId="77777777" w:rsidR="00BA4C5C" w:rsidRPr="003A6407" w:rsidRDefault="00BA4C5C">
            <w:pPr>
              <w:numPr>
                <w:ilvl w:val="0"/>
                <w:numId w:val="5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w:t>
            </w:r>
            <w:r w:rsidRPr="003A6407">
              <w:rPr>
                <w:rFonts w:asciiTheme="minorHAnsi" w:eastAsia="Calibri" w:hAnsiTheme="minorHAnsi" w:cstheme="minorHAnsi"/>
                <w:b/>
                <w:bCs/>
                <w:color w:val="000000"/>
              </w:rPr>
              <w:t>ryzyko związane z nowym obszarem wsparcia</w:t>
            </w:r>
            <w:r w:rsidRPr="003A6407">
              <w:rPr>
                <w:rFonts w:asciiTheme="minorHAnsi" w:eastAsia="Calibri" w:hAnsiTheme="minorHAnsi" w:cstheme="minorHAnsi"/>
                <w:color w:val="000000"/>
              </w:rPr>
              <w:t xml:space="preserve"> - nie jest znane zainteresowanie grupy docelowej (czy będzie miała zaufanie do współpracy); do efektywnego wydatkowania środków potrzebne są wyspecjalizowane podmioty, które mogą nie być zainteresowane podjęciem realizacji projektów EFS+; (istotność: umiarkowana)</w:t>
            </w:r>
          </w:p>
          <w:p w14:paraId="37DCB5F9" w14:textId="77777777" w:rsidR="00BA4C5C" w:rsidRPr="003A6407" w:rsidRDefault="00BA4C5C">
            <w:pPr>
              <w:numPr>
                <w:ilvl w:val="0"/>
                <w:numId w:val="54"/>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44B2943A" w14:textId="77777777" w:rsidR="007A4372" w:rsidRPr="003A6407" w:rsidRDefault="007A4372" w:rsidP="007A4372">
            <w:pPr>
              <w:spacing w:beforeLines="60" w:before="144" w:afterLines="60" w:after="144" w:line="240" w:lineRule="auto"/>
              <w:contextualSpacing/>
              <w:jc w:val="both"/>
              <w:rPr>
                <w:rFonts w:asciiTheme="minorHAnsi" w:eastAsia="Calibri" w:hAnsiTheme="minorHAnsi" w:cstheme="minorHAnsi"/>
                <w:color w:val="000000"/>
              </w:rPr>
            </w:pPr>
          </w:p>
          <w:p w14:paraId="7A0E73A7" w14:textId="77777777" w:rsidR="007A4372" w:rsidRPr="003A6407" w:rsidRDefault="007A4372" w:rsidP="007A4372">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6F741CF8" w14:textId="1236CFAC" w:rsidR="007A4372" w:rsidRPr="003A6407" w:rsidRDefault="001B0178" w:rsidP="000F05A2">
            <w:pPr>
              <w:spacing w:beforeLines="60" w:before="144" w:afterLines="60" w:after="144" w:line="240" w:lineRule="auto"/>
              <w:contextualSpacing/>
              <w:jc w:val="both"/>
              <w:rPr>
                <w:rFonts w:asciiTheme="minorHAnsi" w:eastAsia="Calibri" w:hAnsiTheme="minorHAnsi" w:cstheme="minorHAnsi"/>
                <w:color w:val="000000"/>
              </w:rPr>
            </w:pPr>
            <w:r w:rsidRPr="001B0178">
              <w:rPr>
                <w:rFonts w:asciiTheme="minorHAnsi" w:eastAsia="Calibri" w:hAnsiTheme="minorHAnsi" w:cstheme="minorHAnsi"/>
                <w:b/>
                <w:bCs/>
                <w:color w:val="000000"/>
              </w:rPr>
              <w:t xml:space="preserve">Zaplanowany w ramach FEDS 2021-2027 zakres wsparcia w tym celu szczegółowym jest nowym zakresem, który wcześniej, w poprzednich perspektywach nie był realizowany. Wobec powyższego </w:t>
            </w:r>
            <w:r w:rsidR="0036719D">
              <w:rPr>
                <w:rFonts w:asciiTheme="minorHAnsi" w:eastAsia="Calibri" w:hAnsiTheme="minorHAnsi" w:cstheme="minorHAnsi"/>
                <w:b/>
                <w:bCs/>
                <w:color w:val="000000"/>
              </w:rPr>
              <w:t>ustanawia się wartość celu pośredniego na poziomie 3% wartości docelowej.</w:t>
            </w:r>
          </w:p>
        </w:tc>
      </w:tr>
    </w:tbl>
    <w:p w14:paraId="0A9A936F" w14:textId="77777777" w:rsidR="00BA4C5C" w:rsidRPr="003A6407" w:rsidRDefault="00BA4C5C" w:rsidP="00954DCD">
      <w:pPr>
        <w:pStyle w:val="Nagwek2"/>
        <w:spacing w:after="200"/>
        <w:rPr>
          <w:rFonts w:asciiTheme="minorHAnsi" w:eastAsia="Times New Roman" w:hAnsiTheme="minorHAnsi" w:cstheme="minorHAnsi"/>
        </w:rPr>
      </w:pPr>
      <w:bookmarkStart w:id="312" w:name="_Toc97122038"/>
    </w:p>
    <w:p w14:paraId="6716B588" w14:textId="77777777" w:rsidR="00BA4C5C" w:rsidRPr="003A6407" w:rsidRDefault="00BA4C5C" w:rsidP="00954DCD">
      <w:pPr>
        <w:pStyle w:val="Nagwek2"/>
        <w:spacing w:after="200"/>
        <w:rPr>
          <w:rFonts w:asciiTheme="minorHAnsi" w:eastAsia="Times New Roman" w:hAnsiTheme="minorHAnsi" w:cstheme="minorHAnsi"/>
        </w:rPr>
      </w:pPr>
      <w:bookmarkStart w:id="313" w:name="_Toc98188999"/>
      <w:bookmarkStart w:id="314" w:name="_Toc120464488"/>
      <w:r w:rsidRPr="003A6407">
        <w:rPr>
          <w:rFonts w:asciiTheme="minorHAnsi" w:eastAsia="Times New Roman" w:hAnsiTheme="minorHAnsi" w:cstheme="minorHAnsi"/>
        </w:rPr>
        <w:t>Wskaźniki rezultatu</w:t>
      </w:r>
      <w:bookmarkEnd w:id="312"/>
      <w:bookmarkEnd w:id="313"/>
      <w:bookmarkEnd w:id="314"/>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665"/>
        <w:gridCol w:w="752"/>
        <w:gridCol w:w="486"/>
        <w:gridCol w:w="1903"/>
        <w:gridCol w:w="678"/>
        <w:gridCol w:w="995"/>
        <w:gridCol w:w="708"/>
        <w:gridCol w:w="788"/>
        <w:gridCol w:w="737"/>
        <w:gridCol w:w="737"/>
      </w:tblGrid>
      <w:tr w:rsidR="00191FE2" w:rsidRPr="003A6407" w14:paraId="12144FFF" w14:textId="77777777" w:rsidTr="00270B09">
        <w:trPr>
          <w:cantSplit/>
          <w:trHeight w:val="1647"/>
        </w:trPr>
        <w:tc>
          <w:tcPr>
            <w:tcW w:w="337" w:type="pct"/>
            <w:shd w:val="clear" w:color="auto" w:fill="auto"/>
            <w:vAlign w:val="center"/>
          </w:tcPr>
          <w:p w14:paraId="6D3F02B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2557037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162BAFF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2509524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71A5F0DD"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061639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374" w:type="pct"/>
            <w:shd w:val="clear" w:color="auto" w:fill="auto"/>
            <w:textDirection w:val="btLr"/>
            <w:vAlign w:val="center"/>
          </w:tcPr>
          <w:p w14:paraId="1DA067AF"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49" w:type="pct"/>
            <w:textDirection w:val="btLr"/>
            <w:vAlign w:val="center"/>
          </w:tcPr>
          <w:p w14:paraId="2DB666F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391" w:type="pct"/>
            <w:shd w:val="clear" w:color="auto" w:fill="auto"/>
            <w:textDirection w:val="btLr"/>
            <w:vAlign w:val="center"/>
          </w:tcPr>
          <w:p w14:paraId="4998C2A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35" w:type="pct"/>
            <w:shd w:val="clear" w:color="auto" w:fill="auto"/>
            <w:vAlign w:val="center"/>
          </w:tcPr>
          <w:p w14:paraId="0470985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6E90743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36C6D6B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7" w:type="pct"/>
            <w:vAlign w:val="center"/>
          </w:tcPr>
          <w:p w14:paraId="0529079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00738FAD" w14:textId="77777777" w:rsidTr="00270B09">
        <w:trPr>
          <w:trHeight w:val="340"/>
        </w:trPr>
        <w:tc>
          <w:tcPr>
            <w:tcW w:w="337" w:type="pct"/>
            <w:shd w:val="clear" w:color="auto" w:fill="auto"/>
            <w:vAlign w:val="center"/>
          </w:tcPr>
          <w:p w14:paraId="26493AC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(i)</w:t>
            </w:r>
          </w:p>
          <w:p w14:paraId="304DA8F4" w14:textId="4F459CDB"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4.9</w:t>
            </w:r>
          </w:p>
        </w:tc>
        <w:tc>
          <w:tcPr>
            <w:tcW w:w="367" w:type="pct"/>
            <w:shd w:val="clear" w:color="auto" w:fill="auto"/>
            <w:vAlign w:val="center"/>
          </w:tcPr>
          <w:p w14:paraId="2E575EC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68DBAC5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4E70753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PLHILCR01</w:t>
            </w:r>
          </w:p>
        </w:tc>
        <w:tc>
          <w:tcPr>
            <w:tcW w:w="1050" w:type="pct"/>
            <w:shd w:val="clear" w:color="auto" w:fill="auto"/>
            <w:vAlign w:val="center"/>
          </w:tcPr>
          <w:p w14:paraId="4B4D2AAD"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315" w:name="_Toc97122040"/>
            <w:bookmarkStart w:id="316" w:name="_Toc98189000"/>
            <w:bookmarkStart w:id="317" w:name="_Toc120464489"/>
            <w:r w:rsidRPr="003A6407">
              <w:rPr>
                <w:rFonts w:asciiTheme="minorHAnsi" w:eastAsia="Times New Roman" w:hAnsiTheme="minorHAnsi" w:cstheme="minorHAnsi"/>
                <w:bCs/>
                <w:noProof/>
                <w:sz w:val="16"/>
                <w:szCs w:val="16"/>
              </w:rPr>
              <w:t>Liczba osób, których sytuacja społeczna uległa poprawie po opuszczeniu programu</w:t>
            </w:r>
            <w:bookmarkEnd w:id="315"/>
            <w:bookmarkEnd w:id="316"/>
            <w:bookmarkEnd w:id="317"/>
          </w:p>
        </w:tc>
        <w:tc>
          <w:tcPr>
            <w:tcW w:w="374" w:type="pct"/>
            <w:shd w:val="clear" w:color="auto" w:fill="auto"/>
            <w:vAlign w:val="center"/>
          </w:tcPr>
          <w:p w14:paraId="6A6B001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549" w:type="pct"/>
            <w:vAlign w:val="center"/>
          </w:tcPr>
          <w:p w14:paraId="25EE887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391" w:type="pct"/>
            <w:shd w:val="clear" w:color="auto" w:fill="auto"/>
            <w:vAlign w:val="center"/>
          </w:tcPr>
          <w:p w14:paraId="4AF6BDA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35" w:type="pct"/>
            <w:shd w:val="clear" w:color="auto" w:fill="auto"/>
            <w:vAlign w:val="center"/>
          </w:tcPr>
          <w:p w14:paraId="76D5DFB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11 051</w:t>
            </w:r>
          </w:p>
        </w:tc>
        <w:tc>
          <w:tcPr>
            <w:tcW w:w="407" w:type="pct"/>
            <w:vAlign w:val="center"/>
          </w:tcPr>
          <w:p w14:paraId="05F476F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7" w:type="pct"/>
            <w:vAlign w:val="center"/>
          </w:tcPr>
          <w:p w14:paraId="0E8431B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46CE664C" w14:textId="77777777" w:rsidTr="002B58A1">
        <w:trPr>
          <w:trHeight w:val="340"/>
        </w:trPr>
        <w:tc>
          <w:tcPr>
            <w:tcW w:w="5000" w:type="pct"/>
            <w:gridSpan w:val="11"/>
          </w:tcPr>
          <w:p w14:paraId="6C5B85AF"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0E24805E"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295D437B" w14:textId="77777777" w:rsidR="00BA4C5C" w:rsidRPr="003A6407" w:rsidRDefault="00BA4C5C" w:rsidP="00AD7D31">
            <w:pPr>
              <w:numPr>
                <w:ilvl w:val="0"/>
                <w:numId w:val="12"/>
              </w:numPr>
              <w:shd w:val="clear" w:color="auto" w:fill="FFFFFF"/>
              <w:spacing w:before="60" w:after="60" w:line="240" w:lineRule="auto"/>
              <w:ind w:left="765" w:hanging="357"/>
              <w:contextualSpacing/>
              <w:jc w:val="both"/>
              <w:rPr>
                <w:rFonts w:asciiTheme="minorHAnsi" w:eastAsia="Calibri" w:hAnsiTheme="minorHAnsi" w:cstheme="minorHAnsi"/>
              </w:rPr>
            </w:pPr>
            <w:r w:rsidRPr="003A6407">
              <w:rPr>
                <w:rFonts w:asciiTheme="minorHAnsi" w:eastAsia="Calibri" w:hAnsiTheme="minorHAnsi" w:cstheme="minorHAnsi"/>
              </w:rPr>
              <w:t>157 Działania na rzecz integracji społecznej obywateli państw trzecich (29 341 403 EUR);</w:t>
            </w:r>
          </w:p>
          <w:p w14:paraId="79F29B66"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Punktem wyjścia dla wyliczeń wartości docelowej wskaźnika są założenia dotyczące wykonania wskaźnika produktu: Liczba osób z krajów trzecich objętych wsparciem w programie. Tym samym wartość alokacji na realizację wskaźnika rezultatu wynosi 80% alokacji z kodu 157, tj.  23 473 122,4  EUR. </w:t>
            </w:r>
          </w:p>
          <w:p w14:paraId="6B409076"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104 455 394,68 PLN.</w:t>
            </w:r>
          </w:p>
          <w:p w14:paraId="26F2FB2D"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Dla wyliczeń wskaźnika przyjmuje się założenie, że poprawa sytuacji społecznej odnosi się wyłącznie do osób dorosłych, w związku z tym we wskaźniku uwzględnieni zostaną wyłącznie obywatele państw trzecich w wieku 18+. Ponadto szacuje się, że liczba dzieci objętych wsparciem wyniesie ok. 30% wszystkich wspartych osób. Tym samym szacuje się wartość wskaźnika rezultatu na poziomie 70% wykonania wskaźnika produktu: Liczba osób z krajów trzecich objętych wsparciem w programie, którego docelowa wartość wynosi 15 787osób.</w:t>
            </w:r>
          </w:p>
          <w:p w14:paraId="529AAE03"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13127991" w14:textId="77777777" w:rsidR="00BA4C5C" w:rsidRPr="003A6407" w:rsidRDefault="00BA4C5C" w:rsidP="00AD7D31">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15 787* 70% = 11 051 osób.</w:t>
            </w:r>
          </w:p>
        </w:tc>
      </w:tr>
    </w:tbl>
    <w:p w14:paraId="77375B68" w14:textId="42DB1A60" w:rsidR="00BA4C5C" w:rsidRPr="003A6407" w:rsidRDefault="00BA4C5C" w:rsidP="00005AC9">
      <w:pPr>
        <w:pStyle w:val="Nagwek2"/>
        <w:spacing w:before="360" w:after="200"/>
        <w:rPr>
          <w:rFonts w:asciiTheme="minorHAnsi" w:eastAsia="Times New Roman" w:hAnsiTheme="minorHAnsi" w:cstheme="minorHAnsi"/>
        </w:rPr>
      </w:pPr>
      <w:bookmarkStart w:id="318" w:name="_Toc98189001"/>
      <w:bookmarkStart w:id="319" w:name="_Toc120464490"/>
      <w:bookmarkStart w:id="320" w:name="_Hlk95413806"/>
      <w:r w:rsidRPr="003A6407">
        <w:rPr>
          <w:rFonts w:asciiTheme="minorHAnsi" w:eastAsia="Calibri" w:hAnsiTheme="minorHAnsi" w:cstheme="minorHAnsi"/>
        </w:rPr>
        <w:t xml:space="preserve">CEL SZCZEGÓŁOWY: </w:t>
      </w:r>
      <w:r w:rsidR="00637C8C" w:rsidRPr="00637C8C">
        <w:rPr>
          <w:rFonts w:asciiTheme="minorHAnsi" w:eastAsia="Times New Roman" w:hAnsiTheme="minorHAnsi" w:cstheme="minorHAnsi"/>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318"/>
      <w:bookmarkEnd w:id="319"/>
    </w:p>
    <w:p w14:paraId="21BA90E8" w14:textId="55311347" w:rsidR="00BA4C5C" w:rsidRDefault="00BA4C5C" w:rsidP="00954DCD">
      <w:pPr>
        <w:pStyle w:val="Nagwek2"/>
        <w:spacing w:after="200"/>
        <w:rPr>
          <w:rFonts w:asciiTheme="minorHAnsi" w:eastAsia="Times New Roman" w:hAnsiTheme="minorHAnsi" w:cstheme="minorHAnsi"/>
        </w:rPr>
      </w:pPr>
      <w:bookmarkStart w:id="321" w:name="_Toc97122041"/>
      <w:bookmarkStart w:id="322" w:name="_Toc98189002"/>
      <w:bookmarkStart w:id="323" w:name="_Toc120464491"/>
      <w:r w:rsidRPr="003A6407">
        <w:rPr>
          <w:rFonts w:asciiTheme="minorHAnsi" w:eastAsia="Times New Roman" w:hAnsiTheme="minorHAnsi" w:cstheme="minorHAnsi"/>
        </w:rPr>
        <w:t>Wskaźniki produktu</w:t>
      </w:r>
      <w:bookmarkEnd w:id="321"/>
      <w:bookmarkEnd w:id="322"/>
      <w:bookmarkEnd w:id="323"/>
    </w:p>
    <w:p w14:paraId="0CFF3377"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435027BC"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5660870" w14:textId="3FBC31B5"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lastRenderedPageBreak/>
              <w:t xml:space="preserve">CP </w:t>
            </w:r>
            <w:r>
              <w:rPr>
                <w:rFonts w:eastAsia="Calibri" w:cs="Times New Roman"/>
                <w:b/>
                <w:noProof/>
                <w:sz w:val="16"/>
                <w:szCs w:val="16"/>
              </w:rPr>
              <w:t>4</w:t>
            </w:r>
          </w:p>
          <w:p w14:paraId="265E90F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4EC639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BB58E7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2759AE"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3A811A5"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1B9D1F1"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0B7CCB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46354AD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585FDF2"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006BD17C"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1A2856D5"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1B070AB" w14:textId="1ECD9454" w:rsidR="00EE0C5C" w:rsidRPr="00B44649" w:rsidRDefault="00EE0C5C" w:rsidP="00EE0C5C">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4.11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8DF1E45" w14:textId="47B28E51"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EFS+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02992838"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A89614" w14:textId="62453350" w:rsidR="00EE0C5C" w:rsidRPr="00B44649" w:rsidRDefault="007C66FB" w:rsidP="002A48C3">
            <w:pPr>
              <w:shd w:val="clear" w:color="auto" w:fill="FFFFFF"/>
              <w:spacing w:before="120" w:after="120" w:line="240" w:lineRule="auto"/>
              <w:ind w:left="113" w:right="113"/>
              <w:jc w:val="center"/>
              <w:rPr>
                <w:rFonts w:eastAsia="Calibri" w:cs="Times New Roman"/>
                <w:b/>
                <w:noProof/>
                <w:sz w:val="16"/>
                <w:szCs w:val="16"/>
              </w:rPr>
            </w:pPr>
            <w:r>
              <w:rPr>
                <w:rFonts w:eastAsia="Calibri" w:cs="Times New Roman"/>
                <w:b/>
                <w:noProof/>
                <w:sz w:val="16"/>
                <w:szCs w:val="16"/>
              </w:rPr>
              <w:t>DOL3P</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06925DC8"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82463F9"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71C28A3" w14:textId="6A947CA9" w:rsidR="00EE0C5C" w:rsidRPr="00B44649" w:rsidRDefault="007655CA"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7D1D83"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E4FE59C" w14:textId="29ED36BE" w:rsidR="00EE0C5C" w:rsidRPr="00B44649" w:rsidRDefault="00D30AFB"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2</w:t>
            </w:r>
            <w:r w:rsidR="00EE0C5C" w:rsidRPr="00EE0C5C">
              <w:rPr>
                <w:rFonts w:eastAsia="Calibri" w:cs="Times New Roman"/>
                <w:b/>
                <w:noProof/>
                <w:sz w:val="16"/>
                <w:szCs w:val="16"/>
              </w:rPr>
              <w:t>88</w:t>
            </w:r>
            <w:r>
              <w:rPr>
                <w:rFonts w:eastAsia="Calibri" w:cs="Times New Roman"/>
                <w:b/>
                <w:noProof/>
                <w:sz w:val="16"/>
                <w:szCs w:val="16"/>
              </w:rPr>
              <w:t xml:space="preserve"> </w:t>
            </w:r>
            <w:r w:rsidR="00EE0C5C" w:rsidRPr="00EE0C5C">
              <w:rPr>
                <w:rFonts w:eastAsia="Calibri" w:cs="Times New Roman"/>
                <w:b/>
                <w:noProof/>
                <w:sz w:val="16"/>
                <w:szCs w:val="16"/>
              </w:rPr>
              <w:t>043</w:t>
            </w:r>
            <w:r w:rsidR="00EE0C5C">
              <w:rPr>
                <w:rFonts w:eastAsia="Calibri" w:cs="Times New Roman"/>
                <w:b/>
                <w:noProof/>
                <w:sz w:val="16"/>
                <w:szCs w:val="16"/>
              </w:rPr>
              <w:t>,00</w:t>
            </w:r>
          </w:p>
        </w:tc>
      </w:tr>
      <w:tr w:rsidR="00EE0C5C" w:rsidRPr="003A6407" w14:paraId="4807FD60" w14:textId="77777777" w:rsidTr="002A48C3">
        <w:trPr>
          <w:trHeight w:val="340"/>
        </w:trPr>
        <w:tc>
          <w:tcPr>
            <w:tcW w:w="5000" w:type="pct"/>
            <w:gridSpan w:val="8"/>
            <w:shd w:val="clear" w:color="auto" w:fill="auto"/>
          </w:tcPr>
          <w:p w14:paraId="1897F5F5"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18C383E9" w14:textId="6F085CFA"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1FA83533"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130D97CF" w14:textId="77777777" w:rsidR="00EE0C5C" w:rsidRPr="003A6407" w:rsidRDefault="00EE0C5C" w:rsidP="002A48C3">
            <w:pPr>
              <w:rPr>
                <w:rFonts w:eastAsia="Calibri"/>
              </w:rPr>
            </w:pPr>
            <w:r w:rsidRPr="003A6407">
              <w:rPr>
                <w:rFonts w:eastAsia="Calibri"/>
              </w:rPr>
              <w:t>- 6 Zintegrowanych Inwestycji Terytorialnych;</w:t>
            </w:r>
          </w:p>
          <w:p w14:paraId="0B858F1C" w14:textId="77777777" w:rsidR="00EE0C5C" w:rsidRPr="003A6407" w:rsidRDefault="00EE0C5C" w:rsidP="002A48C3">
            <w:pPr>
              <w:rPr>
                <w:rFonts w:eastAsia="Calibri"/>
              </w:rPr>
            </w:pPr>
            <w:r w:rsidRPr="003A6407">
              <w:rPr>
                <w:rFonts w:eastAsia="Calibri"/>
              </w:rPr>
              <w:t>- 1 Inny Instrument Terytorialny;</w:t>
            </w:r>
          </w:p>
          <w:p w14:paraId="27AC5114" w14:textId="77777777" w:rsidR="00D30AFB" w:rsidRPr="00D30AFB" w:rsidRDefault="00D30AFB" w:rsidP="00D30AFB">
            <w:pPr>
              <w:rPr>
                <w:rFonts w:eastAsia="Calibri"/>
              </w:rPr>
            </w:pPr>
            <w:r w:rsidRPr="00D30AFB">
              <w:rPr>
                <w:rFonts w:eastAsia="Calibri"/>
              </w:rPr>
              <w:t>Wobec powyższego a także biorąc uwagę definicję składnika, która odnosi się do projektów zintegrowanych, zakłada się w ramach metodologii, że wartość docelowa wskaźnika będzie równa 10% liczbie osób zamieszkujących objęte wsparciem instrumenty rozwoju terytorialnego (7).</w:t>
            </w:r>
          </w:p>
          <w:p w14:paraId="3E521DA5" w14:textId="77777777" w:rsidR="00EE0C5C" w:rsidRDefault="00D30AFB" w:rsidP="00D30AFB">
            <w:pPr>
              <w:rPr>
                <w:rFonts w:eastAsia="Calibri"/>
              </w:rPr>
            </w:pPr>
            <w:r w:rsidRPr="00D30AFB">
              <w:rPr>
                <w:rFonts w:eastAsia="Calibri"/>
              </w:rPr>
              <w:t>Ponadto wartość wskaźnika zostanie zrewidowana po zatwierdzeniu poszczególnych strategii ZIT/IIT.</w:t>
            </w:r>
          </w:p>
          <w:p w14:paraId="7A60D7F3" w14:textId="1CFE1DB3" w:rsidR="00FD3DE2" w:rsidRDefault="00FD3DE2" w:rsidP="00D30AFB">
            <w:pPr>
              <w:rPr>
                <w:rFonts w:eastAsia="Calibri" w:cs="Times New Roman"/>
                <w:color w:val="000000"/>
              </w:rPr>
            </w:pPr>
          </w:p>
          <w:p w14:paraId="63B6A7B5" w14:textId="77777777" w:rsidR="00882F3A" w:rsidRPr="00882F3A" w:rsidRDefault="00882F3A" w:rsidP="00882F3A">
            <w:pPr>
              <w:rPr>
                <w:rFonts w:eastAsia="Calibri" w:cs="Times New Roman"/>
                <w:color w:val="000000"/>
              </w:rPr>
            </w:pPr>
            <w:r w:rsidRPr="00882F3A">
              <w:rPr>
                <w:rFonts w:eastAsia="Calibri" w:cs="Times New Roman"/>
                <w:color w:val="000000"/>
              </w:rPr>
              <w:t>Metodologia pomiaru wskaźnika</w:t>
            </w:r>
          </w:p>
          <w:p w14:paraId="714CA3D7" w14:textId="77777777" w:rsidR="00882F3A" w:rsidRPr="00882F3A" w:rsidRDefault="00882F3A" w:rsidP="00882F3A">
            <w:pPr>
              <w:rPr>
                <w:rFonts w:eastAsia="Calibri" w:cs="Times New Roman"/>
                <w:color w:val="000000"/>
              </w:rPr>
            </w:pPr>
            <w:r w:rsidRPr="00882F3A">
              <w:rPr>
                <w:rFonts w:eastAsia="Calibri" w:cs="Times New Roman"/>
                <w:color w:val="000000"/>
              </w:rPr>
              <w:t>Liczba osób objętych projektami wspieranymi przez fundusze w ramach strategii zintegrowanego rozwoju terytorialnego.</w:t>
            </w:r>
          </w:p>
          <w:p w14:paraId="1DCFCD69" w14:textId="24366E30" w:rsidR="00882F3A" w:rsidRPr="003A6407" w:rsidRDefault="00882F3A" w:rsidP="00882F3A">
            <w:pPr>
              <w:rPr>
                <w:rFonts w:eastAsia="Calibri" w:cs="Times New Roman"/>
                <w:color w:val="000000"/>
              </w:rPr>
            </w:pPr>
            <w:r w:rsidRPr="00882F3A">
              <w:rPr>
                <w:rFonts w:eastAsia="Calibri" w:cs="Times New Roman"/>
                <w:color w:val="000000"/>
              </w:rPr>
              <w:t>Na poziomie celu szczegółowego należy usunąć podwójne liczenie ludności objętej kilkoma projektami realizowanymi w ramach tej samej strategii ZIT/IIT w ramach tego samego celu szczegółowego.</w:t>
            </w:r>
          </w:p>
        </w:tc>
      </w:tr>
    </w:tbl>
    <w:p w14:paraId="7590299B" w14:textId="77777777" w:rsidR="00EE0C5C" w:rsidRDefault="00EE0C5C" w:rsidP="00EE0C5C"/>
    <w:p w14:paraId="3699286E" w14:textId="77777777" w:rsid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2DB28FE7" w14:textId="77777777" w:rsidTr="002A48C3">
        <w:trPr>
          <w:cantSplit/>
          <w:trHeight w:val="1647"/>
        </w:trPr>
        <w:tc>
          <w:tcPr>
            <w:tcW w:w="451" w:type="pct"/>
            <w:shd w:val="clear" w:color="auto" w:fill="auto"/>
            <w:vAlign w:val="center"/>
          </w:tcPr>
          <w:p w14:paraId="2CB0C706" w14:textId="5FDF46AF"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lastRenderedPageBreak/>
              <w:t xml:space="preserve">CP </w:t>
            </w:r>
            <w:r>
              <w:rPr>
                <w:rFonts w:eastAsia="Calibri" w:cs="Times New Roman"/>
                <w:b/>
                <w:noProof/>
                <w:sz w:val="16"/>
                <w:szCs w:val="16"/>
              </w:rPr>
              <w:t>4</w:t>
            </w:r>
          </w:p>
          <w:p w14:paraId="14CFFA7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09C84D1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64417AF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3F171DE3"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74E2643B"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2C2C1250"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31C749A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456237AE"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63FEF32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46C27941"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724DE091" w14:textId="77777777" w:rsidTr="002A48C3">
        <w:trPr>
          <w:trHeight w:val="340"/>
        </w:trPr>
        <w:tc>
          <w:tcPr>
            <w:tcW w:w="451" w:type="pct"/>
            <w:shd w:val="clear" w:color="auto" w:fill="auto"/>
            <w:vAlign w:val="center"/>
          </w:tcPr>
          <w:p w14:paraId="67E97EEC" w14:textId="3AE5DB58"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4.11</w:t>
            </w:r>
          </w:p>
        </w:tc>
        <w:tc>
          <w:tcPr>
            <w:tcW w:w="494" w:type="pct"/>
            <w:shd w:val="clear" w:color="auto" w:fill="auto"/>
            <w:vAlign w:val="center"/>
          </w:tcPr>
          <w:p w14:paraId="03B70332" w14:textId="7F6D0154"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EFS+</w:t>
            </w:r>
          </w:p>
        </w:tc>
        <w:tc>
          <w:tcPr>
            <w:tcW w:w="558" w:type="pct"/>
            <w:shd w:val="clear" w:color="auto" w:fill="auto"/>
            <w:vAlign w:val="center"/>
          </w:tcPr>
          <w:p w14:paraId="1F025861"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38053218" w14:textId="13CE7F06" w:rsidR="00EE0C5C" w:rsidRPr="003A6407" w:rsidRDefault="007C66FB"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DOL4P</w:t>
            </w:r>
          </w:p>
        </w:tc>
        <w:tc>
          <w:tcPr>
            <w:tcW w:w="1348" w:type="pct"/>
            <w:shd w:val="clear" w:color="auto" w:fill="auto"/>
            <w:vAlign w:val="center"/>
          </w:tcPr>
          <w:p w14:paraId="3A5F86AE" w14:textId="77777777" w:rsidR="00EE0C5C" w:rsidRPr="003A6407" w:rsidRDefault="00EE0C5C" w:rsidP="002A48C3">
            <w:pPr>
              <w:keepNext/>
              <w:keepLines/>
              <w:spacing w:before="200" w:after="0"/>
              <w:jc w:val="center"/>
              <w:outlineLvl w:val="2"/>
              <w:rPr>
                <w:rFonts w:eastAsia="Calibri" w:cs="Times New Roman"/>
                <w:noProof/>
                <w:sz w:val="16"/>
                <w:szCs w:val="16"/>
              </w:rPr>
            </w:pPr>
            <w:bookmarkStart w:id="324" w:name="_Toc120464492"/>
            <w:r w:rsidRPr="003A6407">
              <w:rPr>
                <w:rFonts w:eastAsia="Times New Roman" w:cs="Calibri"/>
                <w:bCs/>
                <w:noProof/>
                <w:sz w:val="16"/>
                <w:szCs w:val="16"/>
              </w:rPr>
              <w:t>Wspierane strategie zintegrowanego rozwoju terytorialnego</w:t>
            </w:r>
            <w:bookmarkEnd w:id="324"/>
          </w:p>
        </w:tc>
        <w:tc>
          <w:tcPr>
            <w:tcW w:w="549" w:type="pct"/>
            <w:shd w:val="clear" w:color="auto" w:fill="auto"/>
            <w:vAlign w:val="center"/>
          </w:tcPr>
          <w:p w14:paraId="7DBE9161"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627" w:type="pct"/>
            <w:shd w:val="clear" w:color="auto" w:fill="auto"/>
            <w:vAlign w:val="center"/>
          </w:tcPr>
          <w:p w14:paraId="12DC4415" w14:textId="77E46FF8" w:rsidR="00EE0C5C" w:rsidRPr="003A6407" w:rsidRDefault="00D30AFB"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EE0C5C" w:rsidRPr="003A6407">
              <w:rPr>
                <w:rFonts w:eastAsia="Calibri" w:cs="Times New Roman"/>
                <w:noProof/>
                <w:sz w:val="16"/>
                <w:szCs w:val="16"/>
              </w:rPr>
              <w:t>,00</w:t>
            </w:r>
          </w:p>
        </w:tc>
        <w:tc>
          <w:tcPr>
            <w:tcW w:w="550" w:type="pct"/>
            <w:shd w:val="clear" w:color="auto" w:fill="auto"/>
            <w:vAlign w:val="center"/>
          </w:tcPr>
          <w:p w14:paraId="272C8743"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7,00</w:t>
            </w:r>
          </w:p>
        </w:tc>
      </w:tr>
      <w:tr w:rsidR="00EE0C5C" w:rsidRPr="003A6407" w14:paraId="5E37E93A" w14:textId="77777777" w:rsidTr="002A48C3">
        <w:trPr>
          <w:trHeight w:val="340"/>
        </w:trPr>
        <w:tc>
          <w:tcPr>
            <w:tcW w:w="5000" w:type="pct"/>
            <w:gridSpan w:val="8"/>
            <w:shd w:val="clear" w:color="auto" w:fill="auto"/>
          </w:tcPr>
          <w:p w14:paraId="30AD029A"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7849A562" w14:textId="73505F8D"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3C5A9FD5"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7BB27256" w14:textId="77777777" w:rsidR="00EE0C5C" w:rsidRPr="003A6407" w:rsidRDefault="00EE0C5C" w:rsidP="002A48C3">
            <w:pPr>
              <w:rPr>
                <w:rFonts w:eastAsia="Calibri"/>
              </w:rPr>
            </w:pPr>
            <w:r w:rsidRPr="003A6407">
              <w:rPr>
                <w:rFonts w:eastAsia="Calibri"/>
              </w:rPr>
              <w:t>- 6 Zintegrowanych Inwestycji Terytorialnych;</w:t>
            </w:r>
          </w:p>
          <w:p w14:paraId="07D943C8" w14:textId="77777777" w:rsidR="00EE0C5C" w:rsidRPr="003A6407" w:rsidRDefault="00EE0C5C" w:rsidP="002A48C3">
            <w:pPr>
              <w:rPr>
                <w:rFonts w:eastAsia="Calibri"/>
              </w:rPr>
            </w:pPr>
            <w:r w:rsidRPr="003A6407">
              <w:rPr>
                <w:rFonts w:eastAsia="Calibri"/>
              </w:rPr>
              <w:t>- 1 Inny Instrument Terytorialny;</w:t>
            </w:r>
          </w:p>
          <w:p w14:paraId="7A309AC3" w14:textId="77777777" w:rsidR="00EE0C5C" w:rsidRDefault="00EE0C5C" w:rsidP="002A48C3">
            <w:pPr>
              <w:rPr>
                <w:rFonts w:eastAsia="Calibri"/>
              </w:rPr>
            </w:pPr>
            <w:r w:rsidRPr="003A6407">
              <w:rPr>
                <w:rFonts w:eastAsia="Calibri"/>
              </w:rPr>
              <w:t>Wobec powyższego zakłada się w ramach metodologii, że wartość docelowa wskaźnika będzie równa liczbie utworzonych instrumentów rozwoju terytorialnego (7).</w:t>
            </w:r>
          </w:p>
          <w:p w14:paraId="281A1BA7" w14:textId="77777777" w:rsidR="00D30AFB"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p w14:paraId="71617855" w14:textId="77777777" w:rsidR="00882F3A" w:rsidRPr="00882F3A" w:rsidRDefault="00882F3A" w:rsidP="00882F3A">
            <w:pPr>
              <w:rPr>
                <w:rFonts w:eastAsia="Calibri" w:cs="Times New Roman"/>
                <w:color w:val="000000"/>
              </w:rPr>
            </w:pPr>
            <w:r w:rsidRPr="00882F3A">
              <w:rPr>
                <w:rFonts w:eastAsia="Calibri" w:cs="Times New Roman"/>
                <w:color w:val="000000"/>
              </w:rPr>
              <w:t>Metodologia pomiaru wskaźnika</w:t>
            </w:r>
          </w:p>
          <w:p w14:paraId="435258E7" w14:textId="77777777" w:rsidR="00882F3A" w:rsidRPr="00882F3A" w:rsidRDefault="00882F3A" w:rsidP="00882F3A">
            <w:pPr>
              <w:rPr>
                <w:rFonts w:eastAsia="Calibri" w:cs="Times New Roman"/>
                <w:color w:val="000000"/>
              </w:rPr>
            </w:pPr>
            <w:r w:rsidRPr="00882F3A">
              <w:rPr>
                <w:rFonts w:eastAsia="Calibri" w:cs="Times New Roman"/>
                <w:color w:val="000000"/>
              </w:rPr>
              <w:t xml:space="preserve">Liczba wkładów w strategie ZIT/IIT według każdego celu szczegółowego wnoszonych z funduszy zgodnie z art. 28 lit. a) i c) CPR. Wartości wskaźnika uwzględniają zatem, na poziomie celu szczegółowego, oddzielną liczbę wkładów finansowych w strategie ZIT. </w:t>
            </w:r>
          </w:p>
          <w:p w14:paraId="492971DB" w14:textId="77777777" w:rsidR="00882F3A" w:rsidRPr="00882F3A" w:rsidRDefault="00882F3A" w:rsidP="00882F3A">
            <w:pPr>
              <w:rPr>
                <w:rFonts w:eastAsia="Calibri" w:cs="Times New Roman"/>
                <w:color w:val="000000"/>
              </w:rPr>
            </w:pPr>
            <w:r w:rsidRPr="00882F3A">
              <w:rPr>
                <w:rFonts w:eastAsia="Calibri" w:cs="Times New Roman"/>
                <w:color w:val="000000"/>
              </w:rPr>
              <w:t>Na poziomie celu szczegółowego strategię objętą wsparciem w ramach kilku projektów w ramach tego samego celu szczegółowego liczy się tylko raz.</w:t>
            </w:r>
          </w:p>
          <w:p w14:paraId="350A10EB" w14:textId="5601B387" w:rsidR="00882F3A" w:rsidRPr="003A6407" w:rsidRDefault="00882F3A" w:rsidP="00882F3A">
            <w:pPr>
              <w:rPr>
                <w:rFonts w:eastAsia="Calibri" w:cs="Times New Roman"/>
                <w:color w:val="000000"/>
              </w:rPr>
            </w:pPr>
            <w:r w:rsidRPr="00882F3A">
              <w:rPr>
                <w:rFonts w:eastAsia="Calibri" w:cs="Times New Roman"/>
                <w:color w:val="000000"/>
              </w:rPr>
              <w:t>Wartość wskaźnika do sprawozdawczości wyliczana przez Instytucję Zarządzającą na poziomie celu szczegółowego.</w:t>
            </w:r>
          </w:p>
        </w:tc>
      </w:tr>
    </w:tbl>
    <w:p w14:paraId="56BD6CB9"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5C81861" w14:textId="77777777" w:rsidTr="00270B09">
        <w:trPr>
          <w:cantSplit/>
          <w:trHeight w:val="1647"/>
        </w:trPr>
        <w:tc>
          <w:tcPr>
            <w:tcW w:w="451" w:type="pct"/>
            <w:shd w:val="clear" w:color="auto" w:fill="auto"/>
            <w:vAlign w:val="center"/>
          </w:tcPr>
          <w:p w14:paraId="0D55CBF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2F7E27E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15CDC81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12813DB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032A8EC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12B2FE5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77D532D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490C590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79BFD27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4EFAA55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00A5700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56981899" w14:textId="77777777" w:rsidTr="00270B09">
        <w:trPr>
          <w:trHeight w:val="340"/>
        </w:trPr>
        <w:tc>
          <w:tcPr>
            <w:tcW w:w="451" w:type="pct"/>
            <w:shd w:val="clear" w:color="auto" w:fill="auto"/>
            <w:vAlign w:val="center"/>
          </w:tcPr>
          <w:p w14:paraId="32C7FE07"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lastRenderedPageBreak/>
              <w:t>4 (k)</w:t>
            </w:r>
          </w:p>
          <w:p w14:paraId="485C3EE5" w14:textId="18208ADD"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4.11</w:t>
            </w:r>
          </w:p>
        </w:tc>
        <w:tc>
          <w:tcPr>
            <w:tcW w:w="494" w:type="pct"/>
            <w:shd w:val="clear" w:color="auto" w:fill="auto"/>
            <w:vAlign w:val="center"/>
          </w:tcPr>
          <w:p w14:paraId="15E5AD9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2741178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7306D30" w14:textId="424D086F"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PLK</w:t>
            </w:r>
            <w:r w:rsidR="001B0178">
              <w:rPr>
                <w:rFonts w:asciiTheme="minorHAnsi" w:eastAsia="Calibri" w:hAnsiTheme="minorHAnsi" w:cstheme="minorHAnsi"/>
                <w:noProof/>
                <w:sz w:val="16"/>
                <w:szCs w:val="16"/>
              </w:rPr>
              <w:t>L</w:t>
            </w:r>
            <w:r w:rsidRPr="003A6407">
              <w:rPr>
                <w:rFonts w:asciiTheme="minorHAnsi" w:eastAsia="Calibri" w:hAnsiTheme="minorHAnsi" w:cstheme="minorHAnsi"/>
                <w:noProof/>
                <w:sz w:val="16"/>
                <w:szCs w:val="16"/>
              </w:rPr>
              <w:t>CO02</w:t>
            </w:r>
          </w:p>
        </w:tc>
        <w:tc>
          <w:tcPr>
            <w:tcW w:w="1411" w:type="pct"/>
            <w:shd w:val="clear" w:color="auto" w:fill="auto"/>
            <w:vAlign w:val="center"/>
          </w:tcPr>
          <w:p w14:paraId="67D9876D"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325" w:name="_Toc97122043"/>
            <w:bookmarkStart w:id="326" w:name="_Toc98189003"/>
            <w:bookmarkStart w:id="327" w:name="_Toc120464493"/>
            <w:r w:rsidRPr="003A6407">
              <w:rPr>
                <w:rFonts w:asciiTheme="minorHAnsi" w:eastAsia="Times New Roman" w:hAnsiTheme="minorHAnsi" w:cstheme="minorHAnsi"/>
                <w:bCs/>
                <w:noProof/>
                <w:sz w:val="16"/>
                <w:szCs w:val="16"/>
              </w:rPr>
              <w:t>Liczba osób objętych usługami świadczonymi w społeczności lokalnej w programie</w:t>
            </w:r>
            <w:bookmarkEnd w:id="325"/>
            <w:bookmarkEnd w:id="326"/>
            <w:bookmarkEnd w:id="327"/>
          </w:p>
        </w:tc>
        <w:tc>
          <w:tcPr>
            <w:tcW w:w="549" w:type="pct"/>
            <w:shd w:val="clear" w:color="auto" w:fill="auto"/>
            <w:vAlign w:val="center"/>
          </w:tcPr>
          <w:p w14:paraId="1F2D5B4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2A12B3B7" w14:textId="73EBBF6D"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273</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2A854AE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9 096,00</w:t>
            </w:r>
          </w:p>
        </w:tc>
      </w:tr>
      <w:tr w:rsidR="00BA4C5C" w:rsidRPr="003A6407" w14:paraId="4373A9BA" w14:textId="77777777" w:rsidTr="00270B09">
        <w:trPr>
          <w:trHeight w:val="340"/>
        </w:trPr>
        <w:tc>
          <w:tcPr>
            <w:tcW w:w="5000" w:type="pct"/>
            <w:gridSpan w:val="8"/>
            <w:shd w:val="clear" w:color="auto" w:fill="auto"/>
          </w:tcPr>
          <w:p w14:paraId="23F48FC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83BC7B6"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286980D6" w14:textId="13E46BAB" w:rsidR="00BA4C5C" w:rsidRPr="003A6407" w:rsidRDefault="00BA4C5C" w:rsidP="000B32E2">
            <w:pPr>
              <w:numPr>
                <w:ilvl w:val="0"/>
                <w:numId w:val="12"/>
              </w:numPr>
              <w:shd w:val="clear" w:color="auto" w:fill="FFFFFF"/>
              <w:spacing w:beforeLines="60" w:before="144" w:afterLines="60" w:after="144" w:line="240" w:lineRule="auto"/>
              <w:contextualSpacing/>
              <w:jc w:val="both"/>
              <w:rPr>
                <w:rFonts w:asciiTheme="minorHAnsi" w:eastAsia="Calibri" w:hAnsiTheme="minorHAnsi" w:cstheme="minorHAnsi"/>
              </w:rPr>
            </w:pPr>
            <w:bookmarkStart w:id="328" w:name="_Hlk97631767"/>
            <w:r w:rsidRPr="003A6407">
              <w:rPr>
                <w:rFonts w:asciiTheme="minorHAnsi" w:eastAsia="Calibri" w:hAnsiTheme="minorHAnsi" w:cstheme="minorHAnsi"/>
              </w:rPr>
              <w:t>158 Działania w celu zwiększenia równego i szybkiego dostępu do dobrej jakości trwałych i przystępnych cenowo usług społecznych (</w:t>
            </w:r>
            <w:bookmarkStart w:id="329" w:name="_Hlk97632067"/>
            <w:r w:rsidRPr="003A6407">
              <w:rPr>
                <w:rFonts w:asciiTheme="minorHAnsi" w:eastAsia="Calibri" w:hAnsiTheme="minorHAnsi" w:cstheme="minorHAnsi"/>
              </w:rPr>
              <w:t>75 318 614</w:t>
            </w:r>
            <w:bookmarkEnd w:id="329"/>
            <w:r w:rsidR="00126061" w:rsidRPr="003A6407">
              <w:rPr>
                <w:rFonts w:asciiTheme="minorHAnsi" w:eastAsia="Calibri" w:hAnsiTheme="minorHAnsi" w:cstheme="minorHAnsi"/>
              </w:rPr>
              <w:t xml:space="preserve"> </w:t>
            </w:r>
            <w:r w:rsidRPr="003A6407">
              <w:rPr>
                <w:rFonts w:asciiTheme="minorHAnsi" w:eastAsia="Calibri" w:hAnsiTheme="minorHAnsi" w:cstheme="minorHAnsi"/>
              </w:rPr>
              <w:t>EUR);</w:t>
            </w:r>
          </w:p>
          <w:bookmarkEnd w:id="328"/>
          <w:p w14:paraId="728064FC" w14:textId="77777777" w:rsidR="00BA4C5C" w:rsidRPr="003A6407" w:rsidRDefault="00BA4C5C" w:rsidP="000B32E2">
            <w:pPr>
              <w:numPr>
                <w:ilvl w:val="0"/>
                <w:numId w:val="12"/>
              </w:numPr>
              <w:shd w:val="clear" w:color="auto" w:fill="FFFFFF"/>
              <w:spacing w:beforeLines="60" w:before="144" w:afterLines="60" w:after="144" w:line="240" w:lineRule="auto"/>
              <w:ind w:left="765" w:hanging="357"/>
              <w:jc w:val="both"/>
              <w:rPr>
                <w:rFonts w:asciiTheme="minorHAnsi" w:eastAsia="Calibri" w:hAnsiTheme="minorHAnsi" w:cstheme="minorHAnsi"/>
              </w:rPr>
            </w:pPr>
            <w:r w:rsidRPr="003A6407">
              <w:rPr>
                <w:rFonts w:asciiTheme="minorHAnsi" w:eastAsia="Calibri" w:hAnsiTheme="minorHAnsi" w:cstheme="minorHAnsi"/>
              </w:rPr>
              <w:t>160 Działania na rzecz poprawy dostępności, efektywności i odporności systemów opieki zdrowotnej (z wyłączeniem infrastruktury) (4 387 500 EUR).</w:t>
            </w:r>
          </w:p>
          <w:p w14:paraId="42AF102E" w14:textId="3D034CF9"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W celu oszacowania wskaźnika przyjmuje się, że wsparcie będzie realizować ok.  95,4 % alokacji z kodu 158, tj. 71 858 885 EUR przeznaczone będzie na realizację działań z zakresu zwiększenia dostępności do usług społecznych, w tym wsparcia procesu </w:t>
            </w:r>
            <w:proofErr w:type="spellStart"/>
            <w:r w:rsidRPr="003A6407">
              <w:rPr>
                <w:rFonts w:asciiTheme="minorHAnsi" w:eastAsia="Calibri" w:hAnsiTheme="minorHAnsi" w:cstheme="minorHAnsi"/>
              </w:rPr>
              <w:t>deinstytucjonalizacji</w:t>
            </w:r>
            <w:proofErr w:type="spellEnd"/>
            <w:r w:rsidRPr="003A6407">
              <w:rPr>
                <w:rFonts w:asciiTheme="minorHAnsi" w:eastAsia="Calibri" w:hAnsiTheme="minorHAnsi" w:cstheme="minorHAnsi"/>
              </w:rPr>
              <w:t xml:space="preserve">, które będą realizowały wskaźnik, natomiast 4,6 %, tj. 3 459 729EUR - na wsparcie dialogu społecznego i obywatelskiego. </w:t>
            </w:r>
            <w:r w:rsidRPr="003A6407">
              <w:rPr>
                <w:rFonts w:asciiTheme="minorHAnsi" w:hAnsiTheme="minorHAnsi"/>
              </w:rPr>
              <w:t>Alokacja z kodu 160 przeznaczona</w:t>
            </w:r>
            <w:r w:rsidRPr="003A6407">
              <w:rPr>
                <w:rFonts w:asciiTheme="minorHAnsi" w:eastAsia="Calibri" w:hAnsiTheme="minorHAnsi" w:cstheme="minorHAnsi"/>
              </w:rPr>
              <w:t xml:space="preserve"> będzie na realizację programów profilaktycznych, z czego ok. 20,49 %, tj. 898 876,40 EUR przeznaczona będzie na realizację programu z zakresu środowiskowej opieki psychiatrycznej dla osób dorosłych, który będzie realizował wskaźnik. Tym samym suma alokacji na realizację wskaźnika wynosi 72 757 761,4</w:t>
            </w:r>
            <w:r w:rsidR="00126061" w:rsidRPr="003A6407">
              <w:rPr>
                <w:rFonts w:asciiTheme="minorHAnsi" w:eastAsia="Calibri" w:hAnsiTheme="minorHAnsi" w:cstheme="minorHAnsi"/>
              </w:rPr>
              <w:t xml:space="preserve"> </w:t>
            </w:r>
            <w:r w:rsidRPr="003A6407">
              <w:rPr>
                <w:rFonts w:asciiTheme="minorHAnsi" w:eastAsia="Calibri" w:hAnsiTheme="minorHAnsi" w:cstheme="minorHAnsi"/>
              </w:rPr>
              <w:t>EUR.</w:t>
            </w:r>
          </w:p>
          <w:p w14:paraId="510C9FA2" w14:textId="77777777" w:rsidR="00BA4C5C" w:rsidRPr="003A6407" w:rsidRDefault="00BA4C5C" w:rsidP="000B32E2">
            <w:pPr>
              <w:shd w:val="clear" w:color="auto" w:fill="FFFFFF"/>
              <w:spacing w:beforeLines="60" w:before="144" w:afterLines="60" w:after="144" w:line="240" w:lineRule="auto"/>
              <w:ind w:left="410"/>
              <w:contextualSpacing/>
              <w:jc w:val="both"/>
              <w:rPr>
                <w:rFonts w:asciiTheme="minorHAnsi" w:eastAsia="Calibri" w:hAnsiTheme="minorHAnsi" w:cstheme="minorHAnsi"/>
              </w:rPr>
            </w:pPr>
          </w:p>
          <w:p w14:paraId="6C54EB68"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323 772 038,23 PLN.</w:t>
            </w:r>
          </w:p>
          <w:p w14:paraId="10D7E1A8"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Z uwagi na brak danych historycznych dot. działań z zakresu poprawy dostępności, efektywności i odporności systemów opieki zdrowotnej do wyliczeń przyjmuje się wspólny koszt jednostkowy dla kodów 158 i 160, oparty na bazie doświadczeń z perspektywy 2014-2020 w zakresie usług społecznych, który wynosi 28 742,87 PLN. Koszt jednostkowy został skorygowany w oparciu o wartość inflacji na poziomie 15% i wynosi 33 054,30 PLN, a obniżony do wartości dofinansowania na poziomie 70% wynosi  23 138,01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44F89AA9"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[(1*3)+(7*25)+(3*68)]/11 = 34,7%. Wartość zaokrąglono do pełnej wartości 35%.</w:t>
            </w:r>
          </w:p>
          <w:p w14:paraId="10521AD1"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38DB7A1A"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323 772 038,23 / 23 138,01 * (1-0,35) = 9 096 osób.</w:t>
            </w:r>
          </w:p>
          <w:p w14:paraId="56E7F76F"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1C0C3BD0"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1C5F4FEA"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0F898413"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299C8BFE"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75B366DD"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7E7E1315"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45AF14EC"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lastRenderedPageBreak/>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68C28B28"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w:t>
            </w:r>
            <w:r w:rsidRPr="003A6407">
              <w:rPr>
                <w:rFonts w:asciiTheme="minorHAnsi" w:hAnsiTheme="minorHAnsi"/>
                <w:color w:val="000000"/>
              </w:rPr>
              <w:t>nieoczekiwanych zmian gospodarczych lub społecznych</w:t>
            </w:r>
            <w:r w:rsidRPr="003A6407">
              <w:rPr>
                <w:rFonts w:asciiTheme="minorHAnsi" w:eastAsia="Calibri" w:hAnsiTheme="minorHAnsi" w:cstheme="minorHAnsi"/>
                <w:color w:val="000000"/>
              </w:rPr>
              <w:t xml:space="preserve">,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0A616D2E"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6A6238C"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EAEA7A6"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4D625376" w14:textId="7FF8A3B6"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00AD8890" w14:textId="1C5CB124" w:rsidR="005C318E" w:rsidRPr="003A6407" w:rsidRDefault="005C318E" w:rsidP="005C318E">
            <w:pPr>
              <w:spacing w:beforeLines="60" w:before="144" w:afterLines="60" w:after="144" w:line="240" w:lineRule="auto"/>
              <w:contextualSpacing/>
              <w:jc w:val="both"/>
              <w:rPr>
                <w:rFonts w:asciiTheme="minorHAnsi" w:eastAsia="Calibri" w:hAnsiTheme="minorHAnsi" w:cstheme="minorHAnsi"/>
                <w:color w:val="000000"/>
              </w:rPr>
            </w:pPr>
          </w:p>
          <w:p w14:paraId="630C3202" w14:textId="77777777" w:rsidR="005C318E" w:rsidRPr="003A6407" w:rsidRDefault="005C318E" w:rsidP="005C318E">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5FA5C81C" w14:textId="77777777" w:rsidR="005C318E" w:rsidRPr="003A6407" w:rsidRDefault="005C318E" w:rsidP="005C318E">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9 iv), na podstawie Sprawozdania rocznego z 2021 r. dla projektów o podobnym zakresie wsparcia. Biorąc pod uwagę termin zatwierdzenia programu nie jest możliwe wskazanie celu pośredniego innego niż 0 ponieważ faktycznie nie będzie mogło to być spełnione. </w:t>
            </w:r>
          </w:p>
          <w:p w14:paraId="75FAB309" w14:textId="23723F61" w:rsidR="005C318E" w:rsidRPr="003A6407" w:rsidRDefault="005C318E" w:rsidP="005C318E">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Zgodnie z danymi ze sprawozdania rocznego za 2021 rok z realizacji RPO WD 2014-2020 wskaźnik pn. Liczba osób zagrożonych ubóstwem lub wykluczeniem społecznym objętych usługami zdrowotnymi  świadczonymi w programie w 2017 r. osiągnął wartość 0, co wobec wartości z wykonania na 2021 r. (431) stanowi 0 %. Wskaźnik pn. Liczba osób zagrożonych ubóstwem lub wykluczeniem społecznym objętych usługami społecznymi świadczonymi w interesie ogólnym w programie dopiero w 2017 r. osiągnął wartość 589, co wobec wartości z wykonania na</w:t>
            </w:r>
            <w:r w:rsidR="00AC0E11" w:rsidRPr="003A6407">
              <w:rPr>
                <w:rFonts w:asciiTheme="minorHAnsi" w:eastAsia="Calibri" w:hAnsiTheme="minorHAnsi" w:cstheme="minorHAnsi"/>
                <w:b/>
                <w:bCs/>
                <w:color w:val="000000"/>
              </w:rPr>
              <w:t xml:space="preserve"> koniec</w:t>
            </w:r>
            <w:r w:rsidRPr="003A6407">
              <w:rPr>
                <w:rFonts w:asciiTheme="minorHAnsi" w:eastAsia="Calibri" w:hAnsiTheme="minorHAnsi" w:cstheme="minorHAnsi"/>
                <w:b/>
                <w:bCs/>
                <w:color w:val="000000"/>
              </w:rPr>
              <w:t xml:space="preserve"> 2021 r. (10 552) stanowi zaledwie 5,60 %.</w:t>
            </w:r>
          </w:p>
          <w:p w14:paraId="2B0467BB" w14:textId="361BA5EB" w:rsidR="005C318E" w:rsidRPr="003A6407" w:rsidRDefault="005C318E" w:rsidP="005C318E">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Mając na uwadze, że 2017 r. był już czwartym rokiem wdrażania programu RPO WD 2014-2020, a rok 2024 będzie de facto dopiero drugim rokiem wdrażania FEDS, wartość pośrednią dla tego wskaźnika ustalono</w:t>
            </w:r>
            <w:r w:rsidR="001F5566">
              <w:rPr>
                <w:rFonts w:asciiTheme="minorHAnsi" w:eastAsia="Calibri" w:hAnsiTheme="minorHAnsi" w:cstheme="minorHAnsi"/>
                <w:b/>
                <w:bCs/>
                <w:color w:val="000000"/>
              </w:rPr>
              <w:t xml:space="preserve"> na poziomie</w:t>
            </w:r>
            <w:r w:rsidRPr="003A6407">
              <w:rPr>
                <w:rFonts w:asciiTheme="minorHAnsi" w:eastAsia="Calibri" w:hAnsiTheme="minorHAnsi" w:cstheme="minorHAnsi"/>
                <w:b/>
                <w:bCs/>
                <w:color w:val="000000"/>
              </w:rPr>
              <w:t xml:space="preserve"> </w:t>
            </w:r>
            <w:r w:rsidR="001F5566">
              <w:rPr>
                <w:rFonts w:asciiTheme="minorHAnsi" w:eastAsia="Calibri" w:hAnsiTheme="minorHAnsi" w:cstheme="minorHAnsi"/>
                <w:b/>
                <w:bCs/>
                <w:color w:val="000000"/>
              </w:rPr>
              <w:t>273</w:t>
            </w:r>
            <w:r w:rsidRPr="003A6407">
              <w:rPr>
                <w:rFonts w:asciiTheme="minorHAnsi" w:eastAsia="Calibri" w:hAnsiTheme="minorHAnsi" w:cstheme="minorHAnsi"/>
                <w:b/>
                <w:bCs/>
                <w:color w:val="000000"/>
              </w:rPr>
              <w:t>.</w:t>
            </w:r>
          </w:p>
          <w:p w14:paraId="5028ACA2" w14:textId="77777777" w:rsidR="00BA4C5C" w:rsidRPr="003A6407" w:rsidRDefault="00BA4C5C" w:rsidP="000B32E2">
            <w:pPr>
              <w:spacing w:beforeLines="60" w:before="144" w:afterLines="60" w:after="144" w:line="240" w:lineRule="auto"/>
              <w:ind w:left="720"/>
              <w:contextualSpacing/>
              <w:jc w:val="both"/>
              <w:rPr>
                <w:rFonts w:asciiTheme="minorHAnsi" w:eastAsia="Calibri" w:hAnsiTheme="minorHAnsi" w:cstheme="minorHAnsi"/>
                <w:color w:val="000000"/>
              </w:rPr>
            </w:pPr>
          </w:p>
        </w:tc>
      </w:tr>
      <w:bookmarkEnd w:id="320"/>
    </w:tbl>
    <w:p w14:paraId="47432D78" w14:textId="77777777" w:rsidR="00BA4C5C" w:rsidRPr="003A6407" w:rsidRDefault="00BA4C5C" w:rsidP="000B32E2">
      <w:pPr>
        <w:rPr>
          <w:rFonts w:asciiTheme="minorHAnsi" w:eastAsia="Calibri" w:hAnsiTheme="minorHAnsi" w:cstheme="minorHAns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4BA317B7" w14:textId="77777777" w:rsidTr="00270B09">
        <w:trPr>
          <w:cantSplit/>
          <w:trHeight w:val="1647"/>
        </w:trPr>
        <w:tc>
          <w:tcPr>
            <w:tcW w:w="451" w:type="pct"/>
            <w:shd w:val="clear" w:color="auto" w:fill="auto"/>
            <w:vAlign w:val="center"/>
          </w:tcPr>
          <w:p w14:paraId="773439D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lastRenderedPageBreak/>
              <w:t>CP 4</w:t>
            </w:r>
          </w:p>
          <w:p w14:paraId="299B165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3DB4D48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5D4B3A5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2A099430"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4C86CFF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6AE4874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5C276FA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6FF291F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47D66AB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07C92BD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0D3102A1" w14:textId="77777777" w:rsidTr="00270B09">
        <w:trPr>
          <w:trHeight w:val="340"/>
        </w:trPr>
        <w:tc>
          <w:tcPr>
            <w:tcW w:w="451" w:type="pct"/>
            <w:shd w:val="clear" w:color="auto" w:fill="auto"/>
            <w:vAlign w:val="center"/>
          </w:tcPr>
          <w:p w14:paraId="4D06805B"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(k)</w:t>
            </w:r>
          </w:p>
          <w:p w14:paraId="4AD1AE0F" w14:textId="48F0C7E0"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4.11</w:t>
            </w:r>
          </w:p>
        </w:tc>
        <w:tc>
          <w:tcPr>
            <w:tcW w:w="494" w:type="pct"/>
            <w:shd w:val="clear" w:color="auto" w:fill="auto"/>
            <w:vAlign w:val="center"/>
          </w:tcPr>
          <w:p w14:paraId="690F427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097611A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1190B4AD" w14:textId="42ACBBBB"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PLDKCO0</w:t>
            </w:r>
            <w:r w:rsidR="001B0178">
              <w:rPr>
                <w:rFonts w:asciiTheme="minorHAnsi" w:eastAsia="Calibri" w:hAnsiTheme="minorHAnsi" w:cstheme="minorHAnsi"/>
                <w:noProof/>
                <w:sz w:val="16"/>
                <w:szCs w:val="16"/>
              </w:rPr>
              <w:t>1</w:t>
            </w:r>
          </w:p>
        </w:tc>
        <w:tc>
          <w:tcPr>
            <w:tcW w:w="1411" w:type="pct"/>
            <w:shd w:val="clear" w:color="auto" w:fill="auto"/>
            <w:vAlign w:val="center"/>
          </w:tcPr>
          <w:p w14:paraId="7770055F"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330" w:name="_Toc97122044"/>
            <w:bookmarkStart w:id="331" w:name="_Toc98189004"/>
            <w:bookmarkStart w:id="332" w:name="_Toc120464494"/>
            <w:r w:rsidRPr="003A6407">
              <w:rPr>
                <w:rFonts w:asciiTheme="minorHAnsi" w:eastAsia="Times New Roman" w:hAnsiTheme="minorHAnsi" w:cstheme="minorHAnsi"/>
                <w:bCs/>
                <w:noProof/>
                <w:sz w:val="16"/>
                <w:szCs w:val="16"/>
              </w:rPr>
              <w:t>Liczba wdrożonych programów polityki zdrowotnej</w:t>
            </w:r>
            <w:bookmarkEnd w:id="330"/>
            <w:bookmarkEnd w:id="331"/>
            <w:bookmarkEnd w:id="332"/>
          </w:p>
        </w:tc>
        <w:tc>
          <w:tcPr>
            <w:tcW w:w="549" w:type="pct"/>
            <w:shd w:val="clear" w:color="auto" w:fill="auto"/>
            <w:vAlign w:val="center"/>
          </w:tcPr>
          <w:p w14:paraId="1F8AF40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szt</w:t>
            </w:r>
          </w:p>
        </w:tc>
        <w:tc>
          <w:tcPr>
            <w:tcW w:w="627" w:type="pct"/>
            <w:shd w:val="clear" w:color="auto" w:fill="auto"/>
            <w:vAlign w:val="center"/>
          </w:tcPr>
          <w:p w14:paraId="30C00383" w14:textId="5DB902CF"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51538C0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5,00</w:t>
            </w:r>
          </w:p>
        </w:tc>
      </w:tr>
      <w:tr w:rsidR="00BA4C5C" w:rsidRPr="003A6407" w14:paraId="7DD07E83" w14:textId="77777777" w:rsidTr="00270B09">
        <w:trPr>
          <w:trHeight w:val="340"/>
        </w:trPr>
        <w:tc>
          <w:tcPr>
            <w:tcW w:w="5000" w:type="pct"/>
            <w:gridSpan w:val="8"/>
            <w:shd w:val="clear" w:color="auto" w:fill="auto"/>
          </w:tcPr>
          <w:p w14:paraId="2C3E9289"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788668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46D19A23" w14:textId="77777777" w:rsidR="00BA4C5C" w:rsidRPr="003A6407" w:rsidRDefault="00BA4C5C" w:rsidP="000B32E2">
            <w:pPr>
              <w:numPr>
                <w:ilvl w:val="0"/>
                <w:numId w:val="12"/>
              </w:numPr>
              <w:shd w:val="clear" w:color="auto" w:fill="FFFFFF"/>
              <w:spacing w:beforeLines="60" w:before="144" w:afterLines="60" w:after="144" w:line="240" w:lineRule="auto"/>
              <w:ind w:left="765" w:hanging="357"/>
              <w:jc w:val="both"/>
              <w:rPr>
                <w:rFonts w:asciiTheme="minorHAnsi" w:eastAsia="Calibri" w:hAnsiTheme="minorHAnsi" w:cstheme="minorHAnsi"/>
              </w:rPr>
            </w:pPr>
            <w:r w:rsidRPr="003A6407">
              <w:rPr>
                <w:rFonts w:asciiTheme="minorHAnsi" w:eastAsia="Calibri" w:hAnsiTheme="minorHAnsi" w:cstheme="minorHAnsi"/>
              </w:rPr>
              <w:t>160 Działania na rzecz poprawy dostępności, efektywności i odporności systemów opieki zdrowotnej (z wyłączeniem infrastruktury) (4 387 500 EUR).</w:t>
            </w:r>
          </w:p>
          <w:p w14:paraId="721315F1" w14:textId="77777777" w:rsidR="00BA4C5C" w:rsidRPr="003A6407" w:rsidRDefault="00BA4C5C" w:rsidP="000B32E2">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Zgodnie z Wykazem Przedsięwzięć Priorytetowych Programu Regionalnego, stanowiącym załącznik do projektu Kontraktu Programowego, w ramach przedsięwzięcia „Realizacja programów profilaktycznych w zakresie zapobiegania chorobom cywilizacyjnym i wczesnego ich wykrywania oraz edukacja społeczna” planowanych jest 7 projektów profilaktycznych, w zakresie:</w:t>
            </w:r>
          </w:p>
          <w:p w14:paraId="613DA799"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1. perinatologii </w:t>
            </w:r>
          </w:p>
          <w:p w14:paraId="15538BE6"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2. zapobiegania chorobom cywilizacyjnym w odniesieniu do nadwagi, otyłości i cukrzycy wśród mieszkańców</w:t>
            </w:r>
          </w:p>
          <w:p w14:paraId="412ABEF0"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3. wystąpienia zespołu metabolicznego u dzieci (otyłość i niedożywienie u dzieci) </w:t>
            </w:r>
          </w:p>
          <w:p w14:paraId="1FEBC280"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4. zapobiegania samobójstwom </w:t>
            </w:r>
          </w:p>
          <w:p w14:paraId="32915CA7"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5. stomatologii dzieci </w:t>
            </w:r>
          </w:p>
          <w:p w14:paraId="0D9C3655"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6. osteoporozy</w:t>
            </w:r>
          </w:p>
          <w:p w14:paraId="3CDD0F2E"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7. środowiskowej opieki psychiatrycznej dla osób dorosłych</w:t>
            </w:r>
          </w:p>
          <w:p w14:paraId="079C2950"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p>
          <w:p w14:paraId="0CE98E20"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Alokacja na realizację programów profilaktycznych w zakresie zapobiegania chorobom cywilizacyjnym i wczesnego ich wykrywania wynosi 5 775 000 EUR.</w:t>
            </w:r>
          </w:p>
          <w:p w14:paraId="76FE0D9B" w14:textId="77777777" w:rsidR="00BA4C5C" w:rsidRPr="003A6407" w:rsidRDefault="00BA4C5C" w:rsidP="000B32E2">
            <w:pPr>
              <w:shd w:val="clear" w:color="auto" w:fill="FFFFFF"/>
              <w:spacing w:before="100" w:beforeAutospacing="1" w:after="100" w:afterAutospacing="1" w:line="240" w:lineRule="auto"/>
              <w:contextualSpacing/>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alokacja na realizację wskaźnika wynosi 25 698 750,00 PLN</w:t>
            </w:r>
          </w:p>
          <w:p w14:paraId="0B5CE50E" w14:textId="77777777" w:rsidR="00BA4C5C" w:rsidRPr="003A6407" w:rsidRDefault="00BA4C5C" w:rsidP="000B32E2">
            <w:pPr>
              <w:shd w:val="clear" w:color="auto" w:fill="FFFFFF"/>
              <w:spacing w:beforeLines="60" w:before="144" w:afterLines="60" w:after="144" w:line="240" w:lineRule="auto"/>
              <w:ind w:left="410"/>
              <w:contextualSpacing/>
              <w:jc w:val="both"/>
              <w:rPr>
                <w:rFonts w:asciiTheme="minorHAnsi" w:eastAsia="Calibri" w:hAnsiTheme="minorHAnsi" w:cstheme="minorHAnsi"/>
              </w:rPr>
            </w:pPr>
          </w:p>
          <w:p w14:paraId="05CBF360"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7C44609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[(1*3)+(8*25)+(3*68)]/12 = 33,9%. Wartość zaokrąglono do pełnej wartości 34%.</w:t>
            </w:r>
          </w:p>
          <w:p w14:paraId="6639B1CE"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4E6713E9"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7 * (1-0,34) = 5 szt.</w:t>
            </w:r>
          </w:p>
          <w:p w14:paraId="6373B6F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693E51EE" w14:textId="77777777" w:rsidR="00BA4C5C" w:rsidRPr="003A6407" w:rsidRDefault="00BA4C5C">
            <w:pPr>
              <w:numPr>
                <w:ilvl w:val="0"/>
                <w:numId w:val="5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16DA0682" w14:textId="77777777" w:rsidR="00BA4C5C" w:rsidRPr="003A6407" w:rsidRDefault="00BA4C5C">
            <w:pPr>
              <w:numPr>
                <w:ilvl w:val="0"/>
                <w:numId w:val="5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4538640C" w14:textId="77777777" w:rsidR="00BA4C5C" w:rsidRPr="003A6407" w:rsidRDefault="00BA4C5C">
            <w:pPr>
              <w:numPr>
                <w:ilvl w:val="0"/>
                <w:numId w:val="5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1F62EA64" w14:textId="77777777" w:rsidR="00BA4C5C" w:rsidRPr="003A6407" w:rsidRDefault="00BA4C5C">
            <w:pPr>
              <w:numPr>
                <w:ilvl w:val="0"/>
                <w:numId w:val="57"/>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30C6C37D" w14:textId="77777777" w:rsidR="00BA4C5C" w:rsidRPr="003A6407" w:rsidRDefault="00BA4C5C">
            <w:pPr>
              <w:numPr>
                <w:ilvl w:val="0"/>
                <w:numId w:val="57"/>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lastRenderedPageBreak/>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54465EFC" w14:textId="77777777" w:rsidR="00BA4C5C" w:rsidRPr="003A6407" w:rsidRDefault="00BA4C5C">
            <w:pPr>
              <w:numPr>
                <w:ilvl w:val="0"/>
                <w:numId w:val="57"/>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AB6DBD0"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441B947A" w14:textId="77777777" w:rsidR="00BA4C5C" w:rsidRPr="003A6407" w:rsidRDefault="00BA4C5C">
            <w:pPr>
              <w:numPr>
                <w:ilvl w:val="0"/>
                <w:numId w:val="5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711BE4F5" w14:textId="77777777" w:rsidR="00BA4C5C" w:rsidRPr="003A6407" w:rsidRDefault="00BA4C5C">
            <w:pPr>
              <w:numPr>
                <w:ilvl w:val="0"/>
                <w:numId w:val="5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62B86A2" w14:textId="77777777" w:rsidR="00BA4C5C" w:rsidRPr="003A6407" w:rsidRDefault="00BA4C5C">
            <w:pPr>
              <w:numPr>
                <w:ilvl w:val="0"/>
                <w:numId w:val="5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5ED8E9F7" w14:textId="77777777" w:rsidR="00BA4C5C" w:rsidRPr="003A6407" w:rsidRDefault="00BA4C5C">
            <w:pPr>
              <w:numPr>
                <w:ilvl w:val="0"/>
                <w:numId w:val="5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42947EE6" w14:textId="77777777" w:rsidR="00BA4C5C" w:rsidRPr="003A6407" w:rsidRDefault="00BA4C5C">
            <w:pPr>
              <w:numPr>
                <w:ilvl w:val="0"/>
                <w:numId w:val="5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 xml:space="preserve">ryzyko opóźnień w procesie wdrażania programów zdrowotnych </w:t>
            </w:r>
            <w:r w:rsidRPr="003A6407">
              <w:rPr>
                <w:rFonts w:asciiTheme="minorHAnsi" w:eastAsia="Calibri" w:hAnsiTheme="minorHAnsi" w:cstheme="minorHAnsi"/>
                <w:color w:val="000000"/>
              </w:rPr>
              <w:t>– związane jest z procesem wydawania opinii dot. programów zdrowotnych przez Agencję Opiniowania Technologii Medycznych i Taryfikacji; (istotność: umiarkowana)</w:t>
            </w:r>
          </w:p>
          <w:p w14:paraId="55D5130C" w14:textId="5A28598F" w:rsidR="00BA4C5C" w:rsidRPr="003A6407" w:rsidRDefault="00BA4C5C">
            <w:pPr>
              <w:numPr>
                <w:ilvl w:val="0"/>
                <w:numId w:val="58"/>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59009718" w14:textId="06B14CE3" w:rsidR="006925CB" w:rsidRPr="003A6407" w:rsidRDefault="006925CB" w:rsidP="006925CB">
            <w:pPr>
              <w:spacing w:beforeLines="60" w:before="144" w:afterLines="60" w:after="144" w:line="240" w:lineRule="auto"/>
              <w:contextualSpacing/>
              <w:jc w:val="both"/>
              <w:rPr>
                <w:rFonts w:asciiTheme="minorHAnsi" w:eastAsia="Calibri" w:hAnsiTheme="minorHAnsi" w:cstheme="minorHAnsi"/>
                <w:color w:val="000000"/>
              </w:rPr>
            </w:pPr>
          </w:p>
          <w:p w14:paraId="45844C23" w14:textId="77777777" w:rsidR="006925CB" w:rsidRPr="003A6407" w:rsidRDefault="006925CB" w:rsidP="006925CB">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0039A760" w14:textId="77777777" w:rsidR="006925CB" w:rsidRPr="003A6407" w:rsidRDefault="006925CB" w:rsidP="006925CB">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8 vi), na podstawie Sprawozdania rocznego z 2021 r. dla projektów o podobnym zakresie wsparcia. Biorąc pod uwagę termin zatwierdzenia programu nie jest możliwe wskazanie celu pośredniego innego niż 0 ponieważ faktycznie nie będzie mogło to być spełnione. </w:t>
            </w:r>
          </w:p>
          <w:p w14:paraId="3ED6C300" w14:textId="3499E474" w:rsidR="006925CB" w:rsidRPr="003A6407" w:rsidRDefault="006925CB" w:rsidP="006925CB">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wdrożonych programów zdrowotnych istotnych z punktu widzenia potrzeb zdrowotnych regionu, w tym pracodawców w 2017 r. osiągnął wartość 0, co wobec wartości z wykonania na </w:t>
            </w:r>
            <w:r w:rsidR="00AC0E11" w:rsidRPr="003A6407">
              <w:rPr>
                <w:rFonts w:asciiTheme="minorHAnsi" w:eastAsia="Calibri" w:hAnsiTheme="minorHAnsi" w:cstheme="minorHAnsi"/>
                <w:b/>
                <w:bCs/>
                <w:color w:val="000000"/>
              </w:rPr>
              <w:t xml:space="preserve">koniec </w:t>
            </w:r>
            <w:r w:rsidRPr="003A6407">
              <w:rPr>
                <w:rFonts w:asciiTheme="minorHAnsi" w:eastAsia="Calibri" w:hAnsiTheme="minorHAnsi" w:cstheme="minorHAnsi"/>
                <w:b/>
                <w:bCs/>
                <w:color w:val="000000"/>
              </w:rPr>
              <w:t xml:space="preserve">2021 r. (2) stanowi 0 %. </w:t>
            </w:r>
          </w:p>
          <w:p w14:paraId="5ADF59C9" w14:textId="29367666" w:rsidR="006925CB" w:rsidRPr="003A6407" w:rsidRDefault="006925CB" w:rsidP="006925CB">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Mając na uwadze</w:t>
            </w:r>
            <w:r w:rsidR="0036719D">
              <w:rPr>
                <w:rFonts w:asciiTheme="minorHAnsi" w:eastAsia="Calibri" w:hAnsiTheme="minorHAnsi" w:cstheme="minorHAnsi"/>
                <w:b/>
                <w:bCs/>
                <w:color w:val="000000"/>
              </w:rPr>
              <w:t xml:space="preserve"> powyższe cel pośredni ustanawia się na poziomie 1.</w:t>
            </w:r>
          </w:p>
          <w:p w14:paraId="6A4896DD" w14:textId="77777777" w:rsidR="00BA4C5C" w:rsidRPr="003A6407" w:rsidRDefault="00BA4C5C" w:rsidP="000B32E2">
            <w:pPr>
              <w:spacing w:beforeLines="60" w:before="144" w:afterLines="60" w:after="144" w:line="240" w:lineRule="auto"/>
              <w:ind w:left="720"/>
              <w:contextualSpacing/>
              <w:jc w:val="both"/>
              <w:rPr>
                <w:rFonts w:asciiTheme="minorHAnsi" w:eastAsia="Calibri" w:hAnsiTheme="minorHAnsi" w:cstheme="minorHAnsi"/>
                <w:color w:val="000000"/>
              </w:rPr>
            </w:pPr>
          </w:p>
        </w:tc>
      </w:tr>
    </w:tbl>
    <w:p w14:paraId="42926CD0" w14:textId="77777777" w:rsidR="00BA4C5C" w:rsidRPr="003A6407" w:rsidRDefault="00BA4C5C" w:rsidP="00954DCD">
      <w:pPr>
        <w:pStyle w:val="Nagwek2"/>
        <w:spacing w:after="200"/>
        <w:rPr>
          <w:rFonts w:asciiTheme="minorHAnsi" w:eastAsia="Times New Roman" w:hAnsiTheme="minorHAnsi" w:cstheme="minorHAnsi"/>
        </w:rPr>
      </w:pPr>
      <w:bookmarkStart w:id="333" w:name="_Toc97122045"/>
      <w:bookmarkStart w:id="334" w:name="_Toc98189005"/>
      <w:bookmarkStart w:id="335" w:name="_Toc120464495"/>
      <w:r w:rsidRPr="003A6407">
        <w:rPr>
          <w:rFonts w:asciiTheme="minorHAnsi" w:eastAsia="Times New Roman" w:hAnsiTheme="minorHAnsi" w:cstheme="minorHAnsi"/>
        </w:rPr>
        <w:lastRenderedPageBreak/>
        <w:t>Wskaźniki rezultatu</w:t>
      </w:r>
      <w:bookmarkEnd w:id="333"/>
      <w:bookmarkEnd w:id="334"/>
      <w:bookmarkEnd w:id="335"/>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073"/>
        <w:gridCol w:w="618"/>
        <w:gridCol w:w="739"/>
        <w:gridCol w:w="737"/>
        <w:gridCol w:w="734"/>
      </w:tblGrid>
      <w:tr w:rsidR="00191FE2" w:rsidRPr="003A6407" w14:paraId="3D8A6048" w14:textId="77777777" w:rsidTr="00270B09">
        <w:trPr>
          <w:cantSplit/>
          <w:trHeight w:val="1647"/>
        </w:trPr>
        <w:tc>
          <w:tcPr>
            <w:tcW w:w="338" w:type="pct"/>
            <w:shd w:val="clear" w:color="auto" w:fill="auto"/>
            <w:vAlign w:val="center"/>
          </w:tcPr>
          <w:p w14:paraId="06653FE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755160A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4DF6ABE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0B2EB6A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1A213148"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066C552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050A686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92" w:type="pct"/>
            <w:textDirection w:val="btLr"/>
            <w:vAlign w:val="center"/>
          </w:tcPr>
          <w:p w14:paraId="7B54A8C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341" w:type="pct"/>
            <w:shd w:val="clear" w:color="auto" w:fill="auto"/>
            <w:textDirection w:val="btLr"/>
            <w:vAlign w:val="center"/>
          </w:tcPr>
          <w:p w14:paraId="79DB1D2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8" w:type="pct"/>
            <w:shd w:val="clear" w:color="auto" w:fill="auto"/>
            <w:vAlign w:val="center"/>
          </w:tcPr>
          <w:p w14:paraId="65FA329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4A749BF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768FE78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6" w:type="pct"/>
            <w:vAlign w:val="center"/>
          </w:tcPr>
          <w:p w14:paraId="09B345D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1DCBB3B7" w14:textId="77777777" w:rsidTr="00270B09">
        <w:trPr>
          <w:trHeight w:val="340"/>
        </w:trPr>
        <w:tc>
          <w:tcPr>
            <w:tcW w:w="338" w:type="pct"/>
            <w:shd w:val="clear" w:color="auto" w:fill="auto"/>
            <w:vAlign w:val="center"/>
          </w:tcPr>
          <w:p w14:paraId="6C2AC2EC"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(k)</w:t>
            </w:r>
          </w:p>
          <w:p w14:paraId="009C7F94" w14:textId="4445E105"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4.11</w:t>
            </w:r>
          </w:p>
        </w:tc>
        <w:tc>
          <w:tcPr>
            <w:tcW w:w="367" w:type="pct"/>
            <w:shd w:val="clear" w:color="auto" w:fill="auto"/>
            <w:vAlign w:val="center"/>
          </w:tcPr>
          <w:p w14:paraId="0ED706F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6A320B8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1CF1971F" w14:textId="5BC62C20" w:rsidR="00BA4C5C" w:rsidRPr="003A6407" w:rsidRDefault="009D0ECB" w:rsidP="00270B09">
            <w:pPr>
              <w:shd w:val="clear" w:color="auto" w:fill="FFFFFF"/>
              <w:spacing w:before="120" w:after="120" w:line="240" w:lineRule="auto"/>
              <w:jc w:val="center"/>
              <w:rPr>
                <w:rFonts w:asciiTheme="minorHAnsi" w:eastAsia="Calibri" w:hAnsiTheme="minorHAnsi" w:cstheme="minorHAnsi"/>
                <w:noProof/>
                <w:sz w:val="16"/>
                <w:szCs w:val="16"/>
              </w:rPr>
            </w:pPr>
            <w:r w:rsidRPr="009D0ECB">
              <w:rPr>
                <w:rFonts w:asciiTheme="minorHAnsi" w:eastAsia="Calibri" w:hAnsiTheme="minorHAnsi" w:cstheme="minorHAnsi"/>
                <w:noProof/>
                <w:sz w:val="16"/>
                <w:szCs w:val="16"/>
              </w:rPr>
              <w:t>PLKLCR02</w:t>
            </w:r>
          </w:p>
        </w:tc>
        <w:tc>
          <w:tcPr>
            <w:tcW w:w="1050" w:type="pct"/>
            <w:shd w:val="clear" w:color="auto" w:fill="auto"/>
            <w:vAlign w:val="center"/>
          </w:tcPr>
          <w:p w14:paraId="7B3F444B"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336" w:name="_Toc97122047"/>
            <w:bookmarkStart w:id="337" w:name="_Toc98189006"/>
            <w:bookmarkStart w:id="338" w:name="_Toc120464496"/>
            <w:r w:rsidRPr="003A6407">
              <w:rPr>
                <w:rFonts w:asciiTheme="minorHAnsi" w:eastAsia="Times New Roman" w:hAnsiTheme="minorHAnsi" w:cstheme="minorHAnsi"/>
                <w:bCs/>
                <w:noProof/>
                <w:sz w:val="16"/>
                <w:szCs w:val="16"/>
              </w:rPr>
              <w:t>Liczba utworzonych miejsc świadczenia usług w społeczności lokalnej</w:t>
            </w:r>
            <w:bookmarkEnd w:id="336"/>
            <w:bookmarkEnd w:id="337"/>
            <w:bookmarkEnd w:id="338"/>
          </w:p>
        </w:tc>
        <w:tc>
          <w:tcPr>
            <w:tcW w:w="409" w:type="pct"/>
            <w:shd w:val="clear" w:color="auto" w:fill="auto"/>
            <w:vAlign w:val="center"/>
          </w:tcPr>
          <w:p w14:paraId="452BEEC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szt</w:t>
            </w:r>
          </w:p>
        </w:tc>
        <w:tc>
          <w:tcPr>
            <w:tcW w:w="592" w:type="pct"/>
            <w:vAlign w:val="center"/>
          </w:tcPr>
          <w:p w14:paraId="41731F2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341" w:type="pct"/>
            <w:shd w:val="clear" w:color="auto" w:fill="auto"/>
            <w:vAlign w:val="center"/>
          </w:tcPr>
          <w:p w14:paraId="788002F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8" w:type="pct"/>
            <w:shd w:val="clear" w:color="auto" w:fill="auto"/>
            <w:vAlign w:val="center"/>
          </w:tcPr>
          <w:p w14:paraId="61FEED7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134</w:t>
            </w:r>
          </w:p>
        </w:tc>
        <w:tc>
          <w:tcPr>
            <w:tcW w:w="407" w:type="pct"/>
            <w:vAlign w:val="center"/>
          </w:tcPr>
          <w:p w14:paraId="0BE7B99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6" w:type="pct"/>
            <w:vAlign w:val="center"/>
          </w:tcPr>
          <w:p w14:paraId="53C73F1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7BE3CDA7" w14:textId="77777777" w:rsidTr="002B58A1">
        <w:trPr>
          <w:trHeight w:val="340"/>
        </w:trPr>
        <w:tc>
          <w:tcPr>
            <w:tcW w:w="5000" w:type="pct"/>
            <w:gridSpan w:val="11"/>
          </w:tcPr>
          <w:p w14:paraId="2ABA37F7"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4501D95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72FAE96A" w14:textId="77777777" w:rsidR="00BA4C5C" w:rsidRPr="003A6407" w:rsidRDefault="00BA4C5C" w:rsidP="000B32E2">
            <w:pPr>
              <w:numPr>
                <w:ilvl w:val="0"/>
                <w:numId w:val="12"/>
              </w:num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158 Działania w celu zwiększenia równego i szybkiego dostępu do dobrej jakości trwałych i przystępnych cenowo usług społecznych (75 318 614,00EUR);</w:t>
            </w:r>
          </w:p>
          <w:p w14:paraId="1ED9846A" w14:textId="77777777" w:rsidR="00BA4C5C" w:rsidRPr="003A6407" w:rsidRDefault="00BA4C5C" w:rsidP="000B32E2">
            <w:pPr>
              <w:numPr>
                <w:ilvl w:val="0"/>
                <w:numId w:val="12"/>
              </w:numPr>
              <w:contextualSpacing/>
              <w:rPr>
                <w:rFonts w:asciiTheme="minorHAnsi" w:eastAsia="Calibri" w:hAnsiTheme="minorHAnsi" w:cstheme="minorHAnsi"/>
              </w:rPr>
            </w:pPr>
            <w:r w:rsidRPr="003A6407">
              <w:rPr>
                <w:rFonts w:asciiTheme="minorHAnsi" w:eastAsia="Calibri" w:hAnsiTheme="minorHAnsi" w:cstheme="minorHAnsi"/>
              </w:rPr>
              <w:t xml:space="preserve">160 Działania na rzecz poprawy dostępności, efektywności i odporności systemów opieki zdrowotnej (z wyłączeniem infrastruktury) (4 387 500 EUR). </w:t>
            </w:r>
          </w:p>
          <w:p w14:paraId="19B9A88F" w14:textId="77777777" w:rsidR="00BA4C5C" w:rsidRPr="003A6407" w:rsidRDefault="00BA4C5C" w:rsidP="000B32E2">
            <w:p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Przyjmuje się, że wsparcie będzie realizować ok. 95,4% alokacji z kodu 158, tj. 71 858 885 EUR, wydatkowanej na tworzenie stacjonarnych miejsc świadczenia usług w społeczności lokalnej w ramach mieszkalnictwa chronionego, wspomaganego i </w:t>
            </w:r>
            <w:proofErr w:type="spellStart"/>
            <w:r w:rsidRPr="003A6407">
              <w:rPr>
                <w:rFonts w:asciiTheme="minorHAnsi" w:eastAsia="Calibri" w:hAnsiTheme="minorHAnsi" w:cstheme="minorHAnsi"/>
              </w:rPr>
              <w:t>wytchnieniowego</w:t>
            </w:r>
            <w:proofErr w:type="spellEnd"/>
            <w:r w:rsidRPr="003A6407">
              <w:rPr>
                <w:rFonts w:asciiTheme="minorHAnsi" w:eastAsia="Calibri" w:hAnsiTheme="minorHAnsi" w:cstheme="minorHAnsi"/>
              </w:rPr>
              <w:t xml:space="preserve"> oraz ok. 20,49 %, alokacji z kodu 160, tj. 898 876,40 EUR, wydatkowanej na tworzenie stacjonarnych miejsc świadczenia usług w społeczności lokalnej w ramach psychiatrycznej opieki dla osób dorosłych. Tym samym suma alokacji na realizację wskaźnika wynosi 72 757 761,4 EUR.</w:t>
            </w:r>
          </w:p>
          <w:p w14:paraId="02842575" w14:textId="77777777" w:rsidR="00BA4C5C" w:rsidRPr="003A6407" w:rsidRDefault="00BA4C5C" w:rsidP="000B32E2">
            <w:pPr>
              <w:shd w:val="clear" w:color="auto" w:fill="FFFFFF"/>
              <w:spacing w:beforeLines="60" w:before="144" w:afterLines="60" w:after="144" w:line="240" w:lineRule="auto"/>
              <w:contextualSpacing/>
              <w:jc w:val="both"/>
              <w:rPr>
                <w:rFonts w:asciiTheme="minorHAnsi" w:eastAsia="Calibri" w:hAnsiTheme="minorHAnsi" w:cstheme="minorHAnsi"/>
              </w:rPr>
            </w:pPr>
          </w:p>
          <w:p w14:paraId="229DB320" w14:textId="77777777" w:rsidR="00BA4C5C" w:rsidRPr="003A6407" w:rsidRDefault="00BA4C5C" w:rsidP="000B32E2">
            <w:p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323 772 038,23 PLN.</w:t>
            </w:r>
          </w:p>
          <w:p w14:paraId="16EDA042" w14:textId="77777777" w:rsidR="00BA4C5C" w:rsidRPr="003A6407" w:rsidRDefault="00BA4C5C" w:rsidP="000B32E2">
            <w:pPr>
              <w:shd w:val="clear" w:color="auto" w:fill="FFFFFF"/>
              <w:spacing w:beforeLines="60" w:before="144" w:afterLines="60" w:after="144" w:line="240" w:lineRule="auto"/>
              <w:contextualSpacing/>
              <w:jc w:val="both"/>
              <w:rPr>
                <w:rFonts w:asciiTheme="minorHAnsi" w:eastAsia="Calibri" w:hAnsiTheme="minorHAnsi" w:cstheme="minorHAnsi"/>
              </w:rPr>
            </w:pPr>
          </w:p>
          <w:p w14:paraId="3529AEFD" w14:textId="77777777" w:rsidR="00BA4C5C" w:rsidRPr="003A6407" w:rsidRDefault="00BA4C5C" w:rsidP="000B32E2">
            <w:p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Bazując na doświadczeniach z okresu 2014-2020, planuje się uzyskać wskaźnik Liczba utworzonych w programie miejsc świadczenia usług w mieszkaniach wspomaganych i chronionych istniejących po zakończeniu projektu na podobnym poziomie, tj. ok. 170 szt.</w:t>
            </w:r>
          </w:p>
          <w:p w14:paraId="1B2ADD6E" w14:textId="77777777" w:rsidR="00BA4C5C" w:rsidRPr="003A6407" w:rsidRDefault="00BA4C5C" w:rsidP="000B32E2">
            <w:p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Biorąc pod uwagę niską alokację przeznaczoną na ten moment na opiekę psychiatryczną dla osób dorosłych szacuje się, że zostanie uruchomione 1 Centrum Zdrowia Psychicznego. Zgodnie ze standardem organizacyjnym opieki zdrowotnej w Centrum Zdrowia Psychicznego ze stycznia 2022 r. CZP TYP B w formie opieki dziennej, ambulatoryjnej i środowiskowej w standardzie przewiduje 25 łóżek.</w:t>
            </w:r>
          </w:p>
          <w:p w14:paraId="567D7D4E"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Na podstawie powyższych założeń przyjmuje się wartość docelową wskaźnika na poziomie 195 miejsc.</w:t>
            </w:r>
          </w:p>
          <w:p w14:paraId="273D09F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6BB3AFB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[(1*3)+(8*25)+(2*68)]/11 = 30,8%. Wartość zaokrąglono do pełnej wartości 31%.</w:t>
            </w:r>
          </w:p>
          <w:p w14:paraId="676872F7"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2D0F613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 195 * (1-0,31) = 134 szt.</w:t>
            </w:r>
          </w:p>
          <w:p w14:paraId="4210917B"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10A9FF1E" w14:textId="77777777" w:rsidR="00BA4C5C" w:rsidRPr="003A6407" w:rsidRDefault="00BA4C5C">
            <w:pPr>
              <w:numPr>
                <w:ilvl w:val="0"/>
                <w:numId w:val="5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64ACD6CC" w14:textId="77777777" w:rsidR="00BA4C5C" w:rsidRPr="003A6407" w:rsidRDefault="00BA4C5C">
            <w:pPr>
              <w:numPr>
                <w:ilvl w:val="0"/>
                <w:numId w:val="5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55B93317" w14:textId="77777777" w:rsidR="00BA4C5C" w:rsidRPr="003A6407" w:rsidRDefault="00BA4C5C">
            <w:pPr>
              <w:numPr>
                <w:ilvl w:val="0"/>
                <w:numId w:val="5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lastRenderedPageBreak/>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3CE9D12C" w14:textId="77777777" w:rsidR="00BA4C5C" w:rsidRPr="003A6407" w:rsidRDefault="00BA4C5C">
            <w:pPr>
              <w:numPr>
                <w:ilvl w:val="0"/>
                <w:numId w:val="59"/>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710A5A53" w14:textId="77777777" w:rsidR="00BA4C5C" w:rsidRPr="003A6407" w:rsidRDefault="00BA4C5C">
            <w:pPr>
              <w:numPr>
                <w:ilvl w:val="0"/>
                <w:numId w:val="59"/>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35381E16" w14:textId="77777777" w:rsidR="00BA4C5C" w:rsidRPr="003A6407" w:rsidRDefault="00BA4C5C">
            <w:pPr>
              <w:numPr>
                <w:ilvl w:val="0"/>
                <w:numId w:val="59"/>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44E6F640"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6B81E14B" w14:textId="77777777" w:rsidR="00BA4C5C" w:rsidRPr="003A6407" w:rsidRDefault="00BA4C5C">
            <w:pPr>
              <w:numPr>
                <w:ilvl w:val="0"/>
                <w:numId w:val="6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70ACF799" w14:textId="77777777" w:rsidR="00BA4C5C" w:rsidRPr="003A6407" w:rsidRDefault="00BA4C5C">
            <w:pPr>
              <w:numPr>
                <w:ilvl w:val="0"/>
                <w:numId w:val="6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36A3A470" w14:textId="77777777" w:rsidR="00BA4C5C" w:rsidRPr="003A6407" w:rsidRDefault="00BA4C5C">
            <w:pPr>
              <w:numPr>
                <w:ilvl w:val="0"/>
                <w:numId w:val="6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EE84045" w14:textId="77777777" w:rsidR="00BA4C5C" w:rsidRPr="003A6407" w:rsidRDefault="00BA4C5C">
            <w:pPr>
              <w:numPr>
                <w:ilvl w:val="0"/>
                <w:numId w:val="60"/>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umiarkowana)</w:t>
            </w:r>
          </w:p>
          <w:p w14:paraId="6EF659E6"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tc>
      </w:tr>
    </w:tbl>
    <w:p w14:paraId="6D557EAB" w14:textId="77777777" w:rsidR="00BA4C5C" w:rsidRPr="003A6407" w:rsidRDefault="00BA4C5C" w:rsidP="000B32E2">
      <w:pPr>
        <w:rPr>
          <w:rFonts w:asciiTheme="minorHAnsi" w:eastAsia="Calibri" w:hAnsiTheme="minorHAnsi" w:cstheme="minorHAns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1071"/>
        <w:gridCol w:w="616"/>
        <w:gridCol w:w="739"/>
        <w:gridCol w:w="737"/>
        <w:gridCol w:w="737"/>
      </w:tblGrid>
      <w:tr w:rsidR="00191FE2" w:rsidRPr="003A6407" w14:paraId="41A3416C" w14:textId="77777777" w:rsidTr="00270B09">
        <w:trPr>
          <w:cantSplit/>
          <w:trHeight w:val="1647"/>
        </w:trPr>
        <w:tc>
          <w:tcPr>
            <w:tcW w:w="338" w:type="pct"/>
            <w:shd w:val="clear" w:color="auto" w:fill="auto"/>
            <w:vAlign w:val="center"/>
          </w:tcPr>
          <w:p w14:paraId="03E961D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2B5AD7A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5710397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2479B0F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6B861385"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11A7CCD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6D69B01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91" w:type="pct"/>
            <w:textDirection w:val="btLr"/>
            <w:vAlign w:val="center"/>
          </w:tcPr>
          <w:p w14:paraId="0A9447D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340" w:type="pct"/>
            <w:shd w:val="clear" w:color="auto" w:fill="auto"/>
            <w:textDirection w:val="btLr"/>
            <w:vAlign w:val="center"/>
          </w:tcPr>
          <w:p w14:paraId="759561B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8" w:type="pct"/>
            <w:shd w:val="clear" w:color="auto" w:fill="auto"/>
            <w:vAlign w:val="center"/>
          </w:tcPr>
          <w:p w14:paraId="7ED29C6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0C7A7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3669837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7" w:type="pct"/>
            <w:vAlign w:val="center"/>
          </w:tcPr>
          <w:p w14:paraId="08E483D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BA4C5C" w:rsidRPr="003A6407" w14:paraId="4A9BE284" w14:textId="77777777" w:rsidTr="00270B09">
        <w:trPr>
          <w:trHeight w:val="340"/>
        </w:trPr>
        <w:tc>
          <w:tcPr>
            <w:tcW w:w="338" w:type="pct"/>
            <w:shd w:val="clear" w:color="auto" w:fill="auto"/>
            <w:vAlign w:val="center"/>
          </w:tcPr>
          <w:p w14:paraId="1CAF66B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(k)</w:t>
            </w:r>
          </w:p>
          <w:p w14:paraId="2F11B669" w14:textId="1565098E" w:rsidR="00637C8C" w:rsidRPr="003A6407" w:rsidRDefault="00637C8C"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4.11</w:t>
            </w:r>
          </w:p>
        </w:tc>
        <w:tc>
          <w:tcPr>
            <w:tcW w:w="367" w:type="pct"/>
            <w:shd w:val="clear" w:color="auto" w:fill="auto"/>
            <w:vAlign w:val="center"/>
          </w:tcPr>
          <w:p w14:paraId="558F9C6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016F24F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1FE99E2D" w14:textId="1C5AFE94" w:rsidR="00BA4C5C" w:rsidRPr="003A6407" w:rsidRDefault="009D0ECB" w:rsidP="00270B09">
            <w:pPr>
              <w:shd w:val="clear" w:color="auto" w:fill="FFFFFF"/>
              <w:spacing w:before="120" w:after="120" w:line="240" w:lineRule="auto"/>
              <w:jc w:val="center"/>
              <w:rPr>
                <w:rFonts w:asciiTheme="minorHAnsi" w:eastAsia="Calibri" w:hAnsiTheme="minorHAnsi" w:cstheme="minorHAnsi"/>
                <w:noProof/>
                <w:sz w:val="16"/>
                <w:szCs w:val="16"/>
              </w:rPr>
            </w:pPr>
            <w:r w:rsidRPr="009D0ECB">
              <w:rPr>
                <w:rFonts w:asciiTheme="minorHAnsi" w:eastAsia="Calibri" w:hAnsiTheme="minorHAnsi" w:cstheme="minorHAnsi"/>
                <w:noProof/>
                <w:sz w:val="16"/>
                <w:szCs w:val="16"/>
              </w:rPr>
              <w:t>PLKLCR03</w:t>
            </w:r>
          </w:p>
        </w:tc>
        <w:tc>
          <w:tcPr>
            <w:tcW w:w="1050" w:type="pct"/>
            <w:shd w:val="clear" w:color="auto" w:fill="auto"/>
            <w:vAlign w:val="center"/>
          </w:tcPr>
          <w:p w14:paraId="6065EFA6"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sz w:val="16"/>
                <w:szCs w:val="16"/>
              </w:rPr>
            </w:pPr>
            <w:bookmarkStart w:id="339" w:name="_Toc97122048"/>
            <w:bookmarkStart w:id="340" w:name="_Toc98189007"/>
            <w:bookmarkStart w:id="341" w:name="_Toc120464497"/>
            <w:r w:rsidRPr="003A6407">
              <w:rPr>
                <w:rFonts w:asciiTheme="minorHAnsi" w:eastAsia="Times New Roman" w:hAnsiTheme="minorHAnsi" w:cstheme="minorHAnsi"/>
                <w:bCs/>
                <w:noProof/>
                <w:sz w:val="16"/>
                <w:szCs w:val="16"/>
              </w:rPr>
              <w:t>Liczba podmiotów, które rozszerzyły ofertę wsparcia lub podniosły jakość oferowanych usług</w:t>
            </w:r>
            <w:bookmarkEnd w:id="339"/>
            <w:bookmarkEnd w:id="340"/>
            <w:bookmarkEnd w:id="341"/>
          </w:p>
        </w:tc>
        <w:tc>
          <w:tcPr>
            <w:tcW w:w="409" w:type="pct"/>
            <w:shd w:val="clear" w:color="auto" w:fill="auto"/>
            <w:vAlign w:val="center"/>
          </w:tcPr>
          <w:p w14:paraId="41A7ADB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podmioty</w:t>
            </w:r>
          </w:p>
        </w:tc>
        <w:tc>
          <w:tcPr>
            <w:tcW w:w="591" w:type="pct"/>
            <w:vAlign w:val="center"/>
          </w:tcPr>
          <w:p w14:paraId="58BF8DE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340" w:type="pct"/>
            <w:shd w:val="clear" w:color="auto" w:fill="auto"/>
            <w:vAlign w:val="center"/>
          </w:tcPr>
          <w:p w14:paraId="47B2F97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8" w:type="pct"/>
            <w:shd w:val="clear" w:color="auto" w:fill="auto"/>
            <w:vAlign w:val="center"/>
          </w:tcPr>
          <w:p w14:paraId="3819D07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34</w:t>
            </w:r>
          </w:p>
        </w:tc>
        <w:tc>
          <w:tcPr>
            <w:tcW w:w="407" w:type="pct"/>
            <w:vAlign w:val="center"/>
          </w:tcPr>
          <w:p w14:paraId="515FCEA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7" w:type="pct"/>
            <w:vAlign w:val="center"/>
          </w:tcPr>
          <w:p w14:paraId="6386EF6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24CCDB52" w14:textId="77777777" w:rsidTr="002B58A1">
        <w:trPr>
          <w:trHeight w:val="340"/>
        </w:trPr>
        <w:tc>
          <w:tcPr>
            <w:tcW w:w="5000" w:type="pct"/>
            <w:gridSpan w:val="11"/>
          </w:tcPr>
          <w:p w14:paraId="594DCB7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Metodologia:</w:t>
            </w:r>
          </w:p>
          <w:p w14:paraId="1882F16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72735168" w14:textId="77AAD583" w:rsidR="00BA4C5C" w:rsidRPr="003A6407" w:rsidRDefault="00BA4C5C" w:rsidP="000B32E2">
            <w:pPr>
              <w:numPr>
                <w:ilvl w:val="0"/>
                <w:numId w:val="12"/>
              </w:numPr>
              <w:shd w:val="clear" w:color="auto" w:fill="FFFFFF"/>
              <w:spacing w:beforeLines="60" w:before="144" w:afterLines="60" w:after="144"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158 Działania w celu zwiększenia równego i szybkiego dostępu do dobrej jakości trwałych i przystępnych cenowo usług społecznych ( 75 318 614 EUR);</w:t>
            </w:r>
          </w:p>
          <w:p w14:paraId="4D06F8F1" w14:textId="77777777" w:rsidR="00BA4C5C" w:rsidRPr="003A6407" w:rsidRDefault="00BA4C5C" w:rsidP="000B32E2">
            <w:pPr>
              <w:numPr>
                <w:ilvl w:val="0"/>
                <w:numId w:val="12"/>
              </w:numPr>
              <w:shd w:val="clear" w:color="auto" w:fill="FFFFFF"/>
              <w:spacing w:beforeLines="60" w:before="144" w:afterLines="60" w:after="144" w:line="240" w:lineRule="auto"/>
              <w:ind w:left="765" w:hanging="357"/>
              <w:jc w:val="both"/>
              <w:rPr>
                <w:rFonts w:asciiTheme="minorHAnsi" w:eastAsia="Calibri" w:hAnsiTheme="minorHAnsi" w:cstheme="minorHAnsi"/>
              </w:rPr>
            </w:pPr>
            <w:r w:rsidRPr="003A6407">
              <w:rPr>
                <w:rFonts w:asciiTheme="minorHAnsi" w:eastAsia="Calibri" w:hAnsiTheme="minorHAnsi" w:cstheme="minorHAnsi"/>
              </w:rPr>
              <w:t>160 Działania na rzecz poprawy dostępności, efektywności i odporności systemów opieki zdrowotnej (z wyłączeniem infrastruktury) (4 387 500 EUR).</w:t>
            </w:r>
          </w:p>
          <w:p w14:paraId="1F8920A0"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Przyjmuje się, że wsparcie będzie realizować ok. 95,4 % alokacji z kodu 158, tj. 71 858 885 EUR, wydatkowanej na tworzenie stacjonarnych miejsc świadczenia usług w społeczności lokalnej w ramach mieszkalnictwa chronionego, wspomaganego i </w:t>
            </w:r>
            <w:proofErr w:type="spellStart"/>
            <w:r w:rsidRPr="003A6407">
              <w:rPr>
                <w:rFonts w:asciiTheme="minorHAnsi" w:eastAsia="Calibri" w:hAnsiTheme="minorHAnsi" w:cstheme="minorHAnsi"/>
              </w:rPr>
              <w:t>wytchnieniowego</w:t>
            </w:r>
            <w:proofErr w:type="spellEnd"/>
            <w:r w:rsidRPr="003A6407">
              <w:rPr>
                <w:rFonts w:asciiTheme="minorHAnsi" w:eastAsia="Calibri" w:hAnsiTheme="minorHAnsi" w:cstheme="minorHAnsi"/>
              </w:rPr>
              <w:t xml:space="preserve"> oraz ok. 34,45%, alokacji z kodu 160, tj. 1 511 376,40 EUR, wydatkowanej na tworzenie stacjonarnych miejsc świadczenia usług w społeczności lokalnej w ramach psychiatrycznej opieki dla osób dorosłych oraz diagnostykę występowania i terapię zaburzeń rozwojowych ze spektrum FAS/FASD. Tym samym suma alokacji na realizację wskaźnika wynosi 73 370 261,4 EUR. </w:t>
            </w:r>
          </w:p>
          <w:p w14:paraId="6AB56341"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326 497 663,23PLN.</w:t>
            </w:r>
          </w:p>
          <w:p w14:paraId="4BAD993E"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Ze względu na brak danych historycznych i możliwości odniesienia się do doświadczeń przyjmuje się założenie, że w zakresie kodu 158 – co najmniej 45 podmiotów rozszerzy lub podniesie jakość usług (na podstawie liczby beneficjentów Działania 9.2 A i C), w zakresie Kodu 160 – co najmniej 7 podmiotów (zakładając, że w planowanych działaniach definicje wskaźnikową osiągnie beneficjent działań FAS/FASD, beneficjent opieki psychiatrycznej oraz 5 beneficjentów programów profilaktycznych, którzy jako element projektu „wdrożą” standardy dostępności).</w:t>
            </w:r>
          </w:p>
          <w:p w14:paraId="5DDCB730"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Na podstawie powyższych założeń przyjmuje się wartość docelową wskaźnika na poziomie 52 podmiotów.</w:t>
            </w:r>
          </w:p>
          <w:p w14:paraId="776C9A34"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1C64C111"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[(1*3)+(7*25)+(3*68)]/11 = 34,7%. Wartość zaokrąglono do pełnej wartości 35%.</w:t>
            </w:r>
          </w:p>
          <w:p w14:paraId="604F6C89"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6203A8EC"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 52 * (1-0,35) = 34 podmioty</w:t>
            </w:r>
          </w:p>
          <w:p w14:paraId="417447D1"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24F3EDDA"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3CF87E44"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2410C7C7"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32CCE54D"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umiarkowana)</w:t>
            </w:r>
          </w:p>
          <w:p w14:paraId="798583CD"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121E3E98" w14:textId="77777777" w:rsidR="00BA4C5C" w:rsidRPr="003A6407" w:rsidRDefault="00BA4C5C">
            <w:pPr>
              <w:numPr>
                <w:ilvl w:val="0"/>
                <w:numId w:val="55"/>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D540F15" w14:textId="77777777" w:rsidR="00BA4C5C" w:rsidRPr="003A6407" w:rsidRDefault="00BA4C5C" w:rsidP="000B32E2">
            <w:pPr>
              <w:shd w:val="clear" w:color="auto" w:fill="FFFFFF"/>
              <w:spacing w:before="100" w:beforeAutospacing="1"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0CD36582"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w:t>
            </w:r>
            <w:r w:rsidRPr="003A6407">
              <w:rPr>
                <w:rFonts w:asciiTheme="minorHAnsi" w:eastAsia="Calibri" w:hAnsiTheme="minorHAnsi" w:cstheme="minorHAnsi"/>
                <w:color w:val="000000"/>
              </w:rPr>
              <w:lastRenderedPageBreak/>
              <w:t xml:space="preserve">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24E9EDA4"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3D4E7602"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061204DF"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7C517FD4" w14:textId="77777777" w:rsidR="00BA4C5C" w:rsidRPr="003A6407" w:rsidRDefault="00BA4C5C">
            <w:pPr>
              <w:numPr>
                <w:ilvl w:val="0"/>
                <w:numId w:val="56"/>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5DA1D748"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p>
        </w:tc>
      </w:tr>
    </w:tbl>
    <w:p w14:paraId="62069D6C" w14:textId="6FCE07F6" w:rsidR="00BA4C5C" w:rsidRPr="003A6407" w:rsidRDefault="00BA4C5C" w:rsidP="00DA3CB1">
      <w:pPr>
        <w:pStyle w:val="Nagwek2"/>
        <w:spacing w:after="200"/>
        <w:rPr>
          <w:rFonts w:asciiTheme="minorHAnsi" w:eastAsia="Times New Roman" w:hAnsiTheme="minorHAnsi" w:cstheme="minorHAnsi"/>
        </w:rPr>
      </w:pPr>
      <w:bookmarkStart w:id="342" w:name="_Toc98189008"/>
      <w:bookmarkStart w:id="343" w:name="_Toc120464498"/>
      <w:r w:rsidRPr="003A6407">
        <w:rPr>
          <w:rFonts w:asciiTheme="minorHAnsi" w:eastAsia="Calibri" w:hAnsiTheme="minorHAnsi" w:cstheme="minorHAnsi"/>
        </w:rPr>
        <w:t xml:space="preserve">CEL SZCZEGÓŁOWY: </w:t>
      </w:r>
      <w:r w:rsidR="00637C8C" w:rsidRPr="00637C8C">
        <w:rPr>
          <w:rFonts w:asciiTheme="minorHAnsi" w:eastAsia="Times New Roman" w:hAnsiTheme="minorHAnsi" w:cstheme="minorHAnsi"/>
        </w:rPr>
        <w:t>ESO4.12. Promowanie integracji społecznej osób zagrożonych ubóstwem lub wykluczeniem społecznym, w tym osób najbardziej potrzebujących i dzieci (EFS+)</w:t>
      </w:r>
      <w:bookmarkEnd w:id="342"/>
      <w:bookmarkEnd w:id="343"/>
    </w:p>
    <w:p w14:paraId="32D220C3" w14:textId="77777777" w:rsidR="00BA4C5C" w:rsidRPr="003A6407" w:rsidRDefault="00BA4C5C" w:rsidP="00954DCD">
      <w:pPr>
        <w:pStyle w:val="Nagwek2"/>
        <w:spacing w:after="200"/>
        <w:rPr>
          <w:rFonts w:asciiTheme="minorHAnsi" w:eastAsia="Times New Roman" w:hAnsiTheme="minorHAnsi" w:cstheme="minorHAnsi"/>
        </w:rPr>
      </w:pPr>
      <w:bookmarkStart w:id="344" w:name="_Toc98189009"/>
      <w:bookmarkStart w:id="345" w:name="_Toc120464499"/>
      <w:r w:rsidRPr="003A6407">
        <w:rPr>
          <w:rFonts w:asciiTheme="minorHAnsi" w:eastAsia="Times New Roman" w:hAnsiTheme="minorHAnsi" w:cstheme="minorHAnsi"/>
        </w:rPr>
        <w:t>Wskaźniki produktu</w:t>
      </w:r>
      <w:bookmarkEnd w:id="344"/>
      <w:bookmarkEnd w:id="345"/>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57DD0431" w14:textId="77777777" w:rsidTr="00270B09">
        <w:trPr>
          <w:cantSplit/>
          <w:trHeight w:val="1647"/>
        </w:trPr>
        <w:tc>
          <w:tcPr>
            <w:tcW w:w="451" w:type="pct"/>
            <w:shd w:val="clear" w:color="auto" w:fill="auto"/>
            <w:vAlign w:val="center"/>
          </w:tcPr>
          <w:p w14:paraId="423F9B3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1D32D75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427CD5B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A1F998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3951DE42"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14C85A6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653FEAE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60231AB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3DC5FD2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6F8CE2D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0AE6EB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3A5A9B33" w14:textId="77777777" w:rsidTr="00270B09">
        <w:trPr>
          <w:trHeight w:val="340"/>
        </w:trPr>
        <w:tc>
          <w:tcPr>
            <w:tcW w:w="451" w:type="pct"/>
            <w:shd w:val="clear" w:color="auto" w:fill="auto"/>
            <w:vAlign w:val="center"/>
          </w:tcPr>
          <w:p w14:paraId="3B693D10"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(l)</w:t>
            </w:r>
          </w:p>
          <w:p w14:paraId="54F6C03D" w14:textId="1CFD6624"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4.12</w:t>
            </w:r>
          </w:p>
        </w:tc>
        <w:tc>
          <w:tcPr>
            <w:tcW w:w="494" w:type="pct"/>
            <w:shd w:val="clear" w:color="auto" w:fill="auto"/>
            <w:vAlign w:val="center"/>
          </w:tcPr>
          <w:p w14:paraId="1939C85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58C785D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7965CFC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EECO01</w:t>
            </w:r>
          </w:p>
        </w:tc>
        <w:tc>
          <w:tcPr>
            <w:tcW w:w="1411" w:type="pct"/>
            <w:shd w:val="clear" w:color="auto" w:fill="auto"/>
            <w:vAlign w:val="center"/>
          </w:tcPr>
          <w:p w14:paraId="51E12D95" w14:textId="2968F847" w:rsidR="00BA4C5C" w:rsidRPr="003A6407" w:rsidRDefault="00154AE5" w:rsidP="00270B09">
            <w:pPr>
              <w:keepNext/>
              <w:keepLines/>
              <w:spacing w:before="200" w:after="0"/>
              <w:jc w:val="center"/>
              <w:outlineLvl w:val="2"/>
              <w:rPr>
                <w:rFonts w:asciiTheme="minorHAnsi" w:eastAsia="Times New Roman" w:hAnsiTheme="minorHAnsi" w:cstheme="minorHAnsi"/>
                <w:b/>
                <w:bCs/>
                <w:noProof/>
                <w:sz w:val="16"/>
                <w:szCs w:val="16"/>
              </w:rPr>
            </w:pPr>
            <w:bookmarkStart w:id="346" w:name="_Toc98189010"/>
            <w:bookmarkStart w:id="347" w:name="_Toc97122051"/>
            <w:bookmarkStart w:id="348" w:name="_Toc120464500"/>
            <w:r>
              <w:rPr>
                <w:color w:val="000000"/>
              </w:rPr>
              <w:t>Całkowita liczba uczestników</w:t>
            </w:r>
            <w:bookmarkEnd w:id="346"/>
            <w:bookmarkEnd w:id="347"/>
            <w:bookmarkEnd w:id="348"/>
          </w:p>
        </w:tc>
        <w:tc>
          <w:tcPr>
            <w:tcW w:w="549" w:type="pct"/>
            <w:shd w:val="clear" w:color="auto" w:fill="auto"/>
            <w:vAlign w:val="center"/>
          </w:tcPr>
          <w:p w14:paraId="469E85C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4A7EABD6" w14:textId="3B0991BD" w:rsidR="00BA4C5C" w:rsidRPr="003A6407" w:rsidRDefault="001F5566"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188</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7892FF57" w14:textId="7928C03F"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6 </w:t>
            </w:r>
            <w:r w:rsidR="001F5566">
              <w:rPr>
                <w:rFonts w:asciiTheme="minorHAnsi" w:eastAsia="Calibri" w:hAnsiTheme="minorHAnsi" w:cstheme="minorHAnsi"/>
                <w:noProof/>
                <w:sz w:val="16"/>
                <w:szCs w:val="16"/>
              </w:rPr>
              <w:t>260</w:t>
            </w:r>
            <w:r w:rsidRPr="003A6407">
              <w:rPr>
                <w:rFonts w:asciiTheme="minorHAnsi" w:eastAsia="Calibri" w:hAnsiTheme="minorHAnsi" w:cstheme="minorHAnsi"/>
                <w:noProof/>
                <w:sz w:val="16"/>
                <w:szCs w:val="16"/>
              </w:rPr>
              <w:t>,00</w:t>
            </w:r>
          </w:p>
        </w:tc>
      </w:tr>
      <w:tr w:rsidR="00BA4C5C" w:rsidRPr="003A6407" w14:paraId="76413FC6" w14:textId="77777777" w:rsidTr="002B58A1">
        <w:trPr>
          <w:trHeight w:val="340"/>
        </w:trPr>
        <w:tc>
          <w:tcPr>
            <w:tcW w:w="5000" w:type="pct"/>
            <w:gridSpan w:val="8"/>
            <w:shd w:val="clear" w:color="auto" w:fill="auto"/>
          </w:tcPr>
          <w:p w14:paraId="4100D14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5768DA18"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6C83B3FE" w14:textId="4E144E7E" w:rsidR="00BA4C5C" w:rsidRPr="003A6407" w:rsidRDefault="00BA4C5C" w:rsidP="000B32E2">
            <w:pPr>
              <w:numPr>
                <w:ilvl w:val="0"/>
                <w:numId w:val="12"/>
              </w:numPr>
              <w:contextualSpacing/>
              <w:rPr>
                <w:rFonts w:asciiTheme="minorHAnsi" w:eastAsia="Calibri" w:hAnsiTheme="minorHAnsi" w:cstheme="minorHAnsi"/>
              </w:rPr>
            </w:pPr>
            <w:r w:rsidRPr="003A6407">
              <w:rPr>
                <w:rFonts w:asciiTheme="minorHAnsi" w:eastAsia="Calibri" w:hAnsiTheme="minorHAnsi" w:cstheme="minorHAnsi"/>
              </w:rPr>
              <w:t>158 Działania w celu zwiększenia równego i szybkiego dostępu do dobrej jakości trwałych i przystępnych cenowo usług społecznych (15 731 577 EUR);</w:t>
            </w:r>
          </w:p>
          <w:p w14:paraId="139CF8FC"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Biorąc pod uwagę kurs EUR na poziomie 4,45 suma alokacji na realizację wskaźnika wynosi 70 005 517,65 PLN.</w:t>
            </w:r>
          </w:p>
          <w:p w14:paraId="080889A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9 585,40 PLN. Koszt jednostkowy został skorygowany w oparciu o wartość inflacji na poziomie 15% i wynosi 11 023,21 PLN, a obniżony do wartości dofinansowania na poziomie 70% wynosi  7 716,25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4A94B42A"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R: [(3*3)+(5*25)+(3*68)]/11 =30,7%. Wartość zaokrąglono do pełnej wartości 31%.</w:t>
            </w:r>
          </w:p>
          <w:p w14:paraId="45D07E75"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6A90281E"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70 005 517,65 / 7 716,25 * (1-0,31) =  6 260 osób</w:t>
            </w:r>
          </w:p>
          <w:p w14:paraId="375FEA08"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75A1F44B" w14:textId="77777777" w:rsidR="00BA4C5C" w:rsidRPr="003A6407" w:rsidRDefault="00BA4C5C">
            <w:pPr>
              <w:numPr>
                <w:ilvl w:val="0"/>
                <w:numId w:val="61"/>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6125D4B5" w14:textId="77777777" w:rsidR="00BA4C5C" w:rsidRPr="003A6407" w:rsidRDefault="00BA4C5C">
            <w:pPr>
              <w:numPr>
                <w:ilvl w:val="0"/>
                <w:numId w:val="61"/>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035E2083" w14:textId="77777777" w:rsidR="00BA4C5C" w:rsidRPr="003A6407" w:rsidRDefault="00BA4C5C">
            <w:pPr>
              <w:numPr>
                <w:ilvl w:val="0"/>
                <w:numId w:val="61"/>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4D1205A0" w14:textId="77777777" w:rsidR="00BA4C5C" w:rsidRPr="003A6407" w:rsidRDefault="00BA4C5C">
            <w:pPr>
              <w:numPr>
                <w:ilvl w:val="0"/>
                <w:numId w:val="61"/>
              </w:numPr>
              <w:shd w:val="clear" w:color="auto" w:fill="FFFFFF"/>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476EA244" w14:textId="77777777" w:rsidR="00BA4C5C" w:rsidRPr="003A6407" w:rsidRDefault="00BA4C5C">
            <w:pPr>
              <w:numPr>
                <w:ilvl w:val="0"/>
                <w:numId w:val="61"/>
              </w:numPr>
              <w:shd w:val="clear" w:color="auto" w:fill="FFFFFF"/>
              <w:spacing w:beforeLines="60" w:before="144" w:afterLines="60" w:after="144"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7A53EE0E" w14:textId="77777777" w:rsidR="00BA4C5C" w:rsidRPr="003A6407" w:rsidRDefault="00BA4C5C">
            <w:pPr>
              <w:numPr>
                <w:ilvl w:val="0"/>
                <w:numId w:val="61"/>
              </w:numPr>
              <w:shd w:val="clear" w:color="auto" w:fill="FFFFFF"/>
              <w:spacing w:beforeLines="60" w:before="144" w:afterLines="60" w:after="144"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0E089BF"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41112533" w14:textId="77777777" w:rsidR="00BA4C5C" w:rsidRPr="003A6407" w:rsidRDefault="00BA4C5C">
            <w:pPr>
              <w:numPr>
                <w:ilvl w:val="0"/>
                <w:numId w:val="62"/>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49CCF3F0" w14:textId="77777777" w:rsidR="00BA4C5C" w:rsidRPr="003A6407" w:rsidRDefault="00BA4C5C">
            <w:pPr>
              <w:numPr>
                <w:ilvl w:val="0"/>
                <w:numId w:val="62"/>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6B71E65" w14:textId="77777777" w:rsidR="00BA4C5C" w:rsidRPr="003A6407" w:rsidRDefault="00BA4C5C">
            <w:pPr>
              <w:numPr>
                <w:ilvl w:val="0"/>
                <w:numId w:val="62"/>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4A15EB39" w14:textId="77777777" w:rsidR="00BA4C5C" w:rsidRPr="003A6407" w:rsidRDefault="00BA4C5C">
            <w:pPr>
              <w:numPr>
                <w:ilvl w:val="0"/>
                <w:numId w:val="62"/>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lastRenderedPageBreak/>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niska)</w:t>
            </w:r>
          </w:p>
          <w:p w14:paraId="45EDBE14" w14:textId="1E43DA23" w:rsidR="00BA4C5C" w:rsidRPr="003A6407" w:rsidRDefault="00BA4C5C">
            <w:pPr>
              <w:numPr>
                <w:ilvl w:val="0"/>
                <w:numId w:val="62"/>
              </w:numPr>
              <w:spacing w:beforeLines="60" w:before="144" w:afterLines="60" w:after="144"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FEDS 2021-2027 wskaźników mogą mieć wpływ inne – niezdefiniowane i nierozpoznane czynniki, które znacznie utrudnią lub też uniemożliwią osiągniecie założonych rezultatów; (istotność: niska)</w:t>
            </w:r>
          </w:p>
          <w:p w14:paraId="2C142B3C" w14:textId="1CCB7152" w:rsidR="0054375C" w:rsidRPr="003A6407" w:rsidRDefault="0054375C" w:rsidP="0054375C">
            <w:pPr>
              <w:spacing w:beforeLines="60" w:before="144" w:afterLines="60" w:after="144" w:line="240" w:lineRule="auto"/>
              <w:contextualSpacing/>
              <w:jc w:val="both"/>
              <w:rPr>
                <w:rFonts w:asciiTheme="minorHAnsi" w:eastAsia="Calibri" w:hAnsiTheme="minorHAnsi" w:cstheme="minorHAnsi"/>
                <w:color w:val="000000"/>
              </w:rPr>
            </w:pPr>
          </w:p>
          <w:p w14:paraId="4540AB9E" w14:textId="77777777" w:rsidR="0054375C" w:rsidRPr="003A6407" w:rsidRDefault="0054375C" w:rsidP="0054375C">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272BDB73" w14:textId="77777777" w:rsidR="0054375C" w:rsidRPr="003A6407" w:rsidRDefault="0054375C" w:rsidP="0054375C">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9 iv), na podstawie Sprawozdania rocznego z 2021 r. dla projektów o podobnym zakresie wsparcia. Biorąc pod uwagę termin zatwierdzenia programu nie jest możliwe wskazanie celu pośredniego innego niż 0 ponieważ faktycznie nie będzie mogło to być spełnione. </w:t>
            </w:r>
          </w:p>
          <w:p w14:paraId="588E9BC6" w14:textId="77777777" w:rsidR="0054375C" w:rsidRPr="003A6407" w:rsidRDefault="0054375C" w:rsidP="0054375C">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Zgodnie z danymi ze sprawozdania rocznego za 2021 rok z realizacji RPO WD 2014-2020 wskaźnik pn. Liczba osób zagrożonych ubóstwem lub wykluczeniem społecznym objętych usługami społecznymi świadczonymi w interesie ogólnym w programie dopiero w 2017 r. osiągnął wartość 589, co wobec wartości z wykonania na 2021 r. (10 552) stanowi zaledwie 5,60 %.</w:t>
            </w:r>
          </w:p>
          <w:p w14:paraId="43C70612" w14:textId="2B6420C2" w:rsidR="0054375C" w:rsidRPr="003A6407" w:rsidRDefault="0054375C" w:rsidP="0054375C">
            <w:pPr>
              <w:spacing w:beforeLines="60" w:before="144" w:afterLines="60" w:after="144"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Mając na uwadze, że 2017 r. był już czwartym rokiem wdrażania programu RPO WD 2014-2020, a rok 2024 będzie de facto dopiero drugim rokiem wdrażania FEDS, wartość pośrednią dla tego wskaźnika ustalono </w:t>
            </w:r>
            <w:r w:rsidR="001F5566">
              <w:rPr>
                <w:rFonts w:asciiTheme="minorHAnsi" w:eastAsia="Calibri" w:hAnsiTheme="minorHAnsi" w:cstheme="minorHAnsi"/>
                <w:b/>
                <w:bCs/>
                <w:color w:val="000000"/>
              </w:rPr>
              <w:t>na poziomie 3% wartości docelowej</w:t>
            </w:r>
            <w:r w:rsidRPr="003A6407">
              <w:rPr>
                <w:rFonts w:asciiTheme="minorHAnsi" w:eastAsia="Calibri" w:hAnsiTheme="minorHAnsi" w:cstheme="minorHAnsi"/>
                <w:b/>
                <w:bCs/>
                <w:color w:val="000000"/>
              </w:rPr>
              <w:t>.</w:t>
            </w:r>
          </w:p>
          <w:p w14:paraId="4CA1CCF9" w14:textId="77777777" w:rsidR="00BA4C5C" w:rsidRPr="003A6407" w:rsidRDefault="00BA4C5C" w:rsidP="000B32E2">
            <w:pPr>
              <w:spacing w:after="0" w:line="240" w:lineRule="auto"/>
              <w:ind w:left="360"/>
              <w:jc w:val="both"/>
              <w:rPr>
                <w:rFonts w:asciiTheme="minorHAnsi" w:eastAsia="Calibri" w:hAnsiTheme="minorHAnsi" w:cstheme="minorHAnsi"/>
                <w:color w:val="000000"/>
              </w:rPr>
            </w:pPr>
          </w:p>
        </w:tc>
      </w:tr>
    </w:tbl>
    <w:p w14:paraId="40388E88" w14:textId="77777777" w:rsidR="00BA4C5C" w:rsidRPr="003A6407" w:rsidRDefault="00BA4C5C" w:rsidP="00954DCD">
      <w:pPr>
        <w:pStyle w:val="Nagwek2"/>
        <w:spacing w:after="200"/>
        <w:rPr>
          <w:rFonts w:asciiTheme="minorHAnsi" w:eastAsia="Times New Roman" w:hAnsiTheme="minorHAnsi" w:cstheme="minorHAnsi"/>
        </w:rPr>
      </w:pPr>
      <w:bookmarkStart w:id="349" w:name="_Toc97122052"/>
      <w:bookmarkStart w:id="350" w:name="_Toc98189011"/>
      <w:bookmarkStart w:id="351" w:name="_Toc120464501"/>
      <w:r w:rsidRPr="003A6407">
        <w:rPr>
          <w:rFonts w:asciiTheme="minorHAnsi" w:eastAsia="Times New Roman" w:hAnsiTheme="minorHAnsi" w:cstheme="minorHAnsi"/>
        </w:rPr>
        <w:lastRenderedPageBreak/>
        <w:t>Wskaźniki rezultatu</w:t>
      </w:r>
      <w:bookmarkEnd w:id="349"/>
      <w:bookmarkEnd w:id="350"/>
      <w:bookmarkEnd w:id="351"/>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844"/>
        <w:gridCol w:w="844"/>
        <w:gridCol w:w="739"/>
        <w:gridCol w:w="737"/>
        <w:gridCol w:w="736"/>
      </w:tblGrid>
      <w:tr w:rsidR="00191FE2" w:rsidRPr="003A6407" w14:paraId="0B63B13C" w14:textId="77777777" w:rsidTr="00270B09">
        <w:trPr>
          <w:cantSplit/>
          <w:trHeight w:val="1647"/>
        </w:trPr>
        <w:tc>
          <w:tcPr>
            <w:tcW w:w="338" w:type="pct"/>
            <w:shd w:val="clear" w:color="auto" w:fill="auto"/>
            <w:vAlign w:val="center"/>
          </w:tcPr>
          <w:p w14:paraId="54C0DE2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616995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2C047F8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439D6CB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09602F9A"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4A0EE43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3856C1F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466" w:type="pct"/>
            <w:textDirection w:val="btLr"/>
            <w:vAlign w:val="center"/>
          </w:tcPr>
          <w:p w14:paraId="735BF75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466" w:type="pct"/>
            <w:shd w:val="clear" w:color="auto" w:fill="auto"/>
            <w:textDirection w:val="btLr"/>
            <w:vAlign w:val="center"/>
          </w:tcPr>
          <w:p w14:paraId="2A2CEA4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8" w:type="pct"/>
            <w:shd w:val="clear" w:color="auto" w:fill="auto"/>
            <w:vAlign w:val="center"/>
          </w:tcPr>
          <w:p w14:paraId="18244A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4342979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6CBEDAE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6" w:type="pct"/>
            <w:vAlign w:val="center"/>
          </w:tcPr>
          <w:p w14:paraId="70E1396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0C128FA0" w14:textId="77777777" w:rsidTr="00270B09">
        <w:trPr>
          <w:trHeight w:val="340"/>
        </w:trPr>
        <w:tc>
          <w:tcPr>
            <w:tcW w:w="338" w:type="pct"/>
            <w:shd w:val="clear" w:color="auto" w:fill="auto"/>
            <w:vAlign w:val="center"/>
          </w:tcPr>
          <w:p w14:paraId="2C668099"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(l)</w:t>
            </w:r>
          </w:p>
          <w:p w14:paraId="0A9300AD" w14:textId="0BDB33AD"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4.12</w:t>
            </w:r>
          </w:p>
        </w:tc>
        <w:tc>
          <w:tcPr>
            <w:tcW w:w="367" w:type="pct"/>
            <w:shd w:val="clear" w:color="auto" w:fill="auto"/>
            <w:vAlign w:val="center"/>
          </w:tcPr>
          <w:p w14:paraId="448D90F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05FF1C5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26EEE97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PLHILCR01</w:t>
            </w:r>
          </w:p>
        </w:tc>
        <w:tc>
          <w:tcPr>
            <w:tcW w:w="1050" w:type="pct"/>
            <w:shd w:val="clear" w:color="auto" w:fill="auto"/>
            <w:vAlign w:val="center"/>
          </w:tcPr>
          <w:p w14:paraId="367EFBA8" w14:textId="77777777" w:rsidR="00BA4C5C" w:rsidRPr="003A6407" w:rsidRDefault="00BA4C5C" w:rsidP="00270B09">
            <w:pPr>
              <w:keepNext/>
              <w:keepLines/>
              <w:spacing w:before="200" w:after="0"/>
              <w:jc w:val="center"/>
              <w:outlineLvl w:val="2"/>
              <w:rPr>
                <w:rFonts w:asciiTheme="minorHAnsi" w:eastAsia="Times New Roman" w:hAnsiTheme="minorHAnsi" w:cstheme="minorHAnsi"/>
                <w:b/>
                <w:bCs/>
                <w:noProof/>
              </w:rPr>
            </w:pPr>
            <w:bookmarkStart w:id="352" w:name="_Toc97122054"/>
            <w:bookmarkStart w:id="353" w:name="_Toc98189012"/>
            <w:bookmarkStart w:id="354" w:name="_Toc120464502"/>
            <w:r w:rsidRPr="003A6407">
              <w:rPr>
                <w:rFonts w:asciiTheme="minorHAnsi" w:eastAsia="Times New Roman" w:hAnsiTheme="minorHAnsi" w:cstheme="minorHAnsi"/>
                <w:bCs/>
                <w:noProof/>
              </w:rPr>
              <w:t>Liczba osób, których sytuacja społeczna uległa poprawie po opuszczeniu programu</w:t>
            </w:r>
            <w:bookmarkEnd w:id="352"/>
            <w:bookmarkEnd w:id="353"/>
            <w:bookmarkEnd w:id="354"/>
          </w:p>
        </w:tc>
        <w:tc>
          <w:tcPr>
            <w:tcW w:w="409" w:type="pct"/>
            <w:shd w:val="clear" w:color="auto" w:fill="auto"/>
            <w:vAlign w:val="center"/>
          </w:tcPr>
          <w:p w14:paraId="408920D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466" w:type="pct"/>
            <w:vAlign w:val="center"/>
          </w:tcPr>
          <w:p w14:paraId="67BCC20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466" w:type="pct"/>
            <w:shd w:val="clear" w:color="auto" w:fill="auto"/>
            <w:vAlign w:val="center"/>
          </w:tcPr>
          <w:p w14:paraId="4F6C40B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8" w:type="pct"/>
            <w:shd w:val="clear" w:color="auto" w:fill="auto"/>
            <w:vAlign w:val="center"/>
          </w:tcPr>
          <w:p w14:paraId="06FA77FB" w14:textId="1EBB46BD" w:rsidR="00BA4C5C" w:rsidRPr="003A6407" w:rsidRDefault="001F5566"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 3 756</w:t>
            </w:r>
          </w:p>
        </w:tc>
        <w:tc>
          <w:tcPr>
            <w:tcW w:w="407" w:type="pct"/>
            <w:vAlign w:val="center"/>
          </w:tcPr>
          <w:p w14:paraId="51D99C1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6" w:type="pct"/>
            <w:vAlign w:val="center"/>
          </w:tcPr>
          <w:p w14:paraId="244527B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20FA8C64" w14:textId="77777777" w:rsidTr="002B58A1">
        <w:trPr>
          <w:trHeight w:val="340"/>
        </w:trPr>
        <w:tc>
          <w:tcPr>
            <w:tcW w:w="5000" w:type="pct"/>
            <w:gridSpan w:val="11"/>
          </w:tcPr>
          <w:p w14:paraId="3F1C9A4F"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4758907B"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2BAB98F9" w14:textId="77777777" w:rsidR="00BA4C5C" w:rsidRPr="003A6407" w:rsidRDefault="00BA4C5C" w:rsidP="000B32E2">
            <w:pPr>
              <w:numPr>
                <w:ilvl w:val="0"/>
                <w:numId w:val="12"/>
              </w:numPr>
              <w:contextualSpacing/>
              <w:rPr>
                <w:rFonts w:asciiTheme="minorHAnsi" w:eastAsia="Calibri" w:hAnsiTheme="minorHAnsi" w:cstheme="minorHAnsi"/>
              </w:rPr>
            </w:pPr>
            <w:r w:rsidRPr="003A6407">
              <w:rPr>
                <w:rFonts w:asciiTheme="minorHAnsi" w:eastAsia="Calibri" w:hAnsiTheme="minorHAnsi" w:cstheme="minorHAnsi"/>
              </w:rPr>
              <w:t>158 Działania w celu zwiększenia równego i szybkiego dostępu do dobrej jakości trwałych i przystępnych cenowo usług społecznych (15 731 577,0 EUR);</w:t>
            </w:r>
          </w:p>
          <w:p w14:paraId="71185D93"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70 005 517,65 PLN.</w:t>
            </w:r>
          </w:p>
          <w:p w14:paraId="4ECAB76E" w14:textId="11958D3D"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Z uwagi na fakt, że w ramach perspektywy 2014-2020 efektywność społeczna w odniesieniu do osób najbardziej potrzebujących, w tym dzieci nie podlegała monitorowaniu, do wyliczeń przyjęto szacunkowe wyliczenia oparte na danych historycznych dot. działania 9.1 RPO WD 2014-2020 oraz wymogach zdefiniowanych w Wytycznych w obszarze włączenia społecznego i zwalczania ubóstwa z wykorzystaniem środków EFS i EFRR na lata 2014-2020. Na tej podstawie oszacowano wartość wskaźnika rezultatu na poziomie 60% wykonania wskaźnika produktu: Całkowita liczba osób objętych wsparciem EFS+, którego wartość docelowa wynosi 6 </w:t>
            </w:r>
            <w:r w:rsidR="001F5566">
              <w:rPr>
                <w:rFonts w:asciiTheme="minorHAnsi" w:eastAsia="Calibri" w:hAnsiTheme="minorHAnsi" w:cstheme="minorHAnsi"/>
              </w:rPr>
              <w:t>260</w:t>
            </w:r>
            <w:r w:rsidRPr="003A6407">
              <w:rPr>
                <w:rFonts w:asciiTheme="minorHAnsi" w:eastAsia="Calibri" w:hAnsiTheme="minorHAnsi" w:cstheme="minorHAnsi"/>
              </w:rPr>
              <w:t>.</w:t>
            </w:r>
          </w:p>
          <w:p w14:paraId="51EBC782" w14:textId="77777777"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Wyliczenie:</w:t>
            </w:r>
          </w:p>
          <w:p w14:paraId="5D51AA2E" w14:textId="1E2C24BB" w:rsidR="00BA4C5C" w:rsidRPr="003A6407" w:rsidRDefault="00BA4C5C" w:rsidP="000B32E2">
            <w:pPr>
              <w:shd w:val="clear" w:color="auto" w:fill="FFFFFF"/>
              <w:spacing w:beforeLines="60" w:before="144" w:afterLines="60" w:after="144" w:line="240" w:lineRule="auto"/>
              <w:jc w:val="both"/>
              <w:rPr>
                <w:rFonts w:asciiTheme="minorHAnsi" w:eastAsia="Calibri" w:hAnsiTheme="minorHAnsi" w:cstheme="minorHAnsi"/>
              </w:rPr>
            </w:pPr>
            <w:r w:rsidRPr="003A6407">
              <w:rPr>
                <w:rFonts w:asciiTheme="minorHAnsi" w:eastAsia="Calibri" w:hAnsiTheme="minorHAnsi" w:cstheme="minorHAnsi"/>
              </w:rPr>
              <w:t xml:space="preserve">6 </w:t>
            </w:r>
            <w:r w:rsidR="001F5566">
              <w:rPr>
                <w:rFonts w:asciiTheme="minorHAnsi" w:eastAsia="Calibri" w:hAnsiTheme="minorHAnsi" w:cstheme="minorHAnsi"/>
              </w:rPr>
              <w:t>260</w:t>
            </w:r>
            <w:r w:rsidRPr="003A6407">
              <w:rPr>
                <w:rFonts w:asciiTheme="minorHAnsi" w:eastAsia="Calibri" w:hAnsiTheme="minorHAnsi" w:cstheme="minorHAnsi"/>
              </w:rPr>
              <w:t xml:space="preserve">* 60% = </w:t>
            </w:r>
            <w:r w:rsidR="001F5566">
              <w:rPr>
                <w:rFonts w:asciiTheme="minorHAnsi" w:eastAsia="Calibri" w:hAnsiTheme="minorHAnsi" w:cstheme="minorHAnsi"/>
              </w:rPr>
              <w:t>3 756</w:t>
            </w:r>
            <w:r w:rsidRPr="003A6407">
              <w:rPr>
                <w:rFonts w:asciiTheme="minorHAnsi" w:eastAsia="Calibri" w:hAnsiTheme="minorHAnsi" w:cstheme="minorHAnsi"/>
              </w:rPr>
              <w:t>osób</w:t>
            </w:r>
          </w:p>
        </w:tc>
      </w:tr>
    </w:tbl>
    <w:p w14:paraId="46E89E76" w14:textId="77777777" w:rsidR="00BA4C5C" w:rsidRPr="003A6407" w:rsidRDefault="00BA4C5C" w:rsidP="000B32E2">
      <w:pPr>
        <w:rPr>
          <w:rFonts w:asciiTheme="minorHAnsi" w:eastAsia="Calibri" w:hAnsiTheme="minorHAnsi" w:cstheme="minorHAnsi"/>
        </w:rPr>
      </w:pPr>
    </w:p>
    <w:p w14:paraId="6513EF4E" w14:textId="77777777" w:rsidR="00BA4C5C" w:rsidRPr="003A6407" w:rsidRDefault="00BA4C5C" w:rsidP="00B35722">
      <w:pPr>
        <w:rPr>
          <w:rFonts w:asciiTheme="minorHAnsi" w:eastAsia="Calibri" w:hAnsiTheme="minorHAnsi" w:cstheme="minorHAnsi"/>
        </w:rPr>
      </w:pPr>
    </w:p>
    <w:p w14:paraId="48D06664" w14:textId="2A8E69ED" w:rsidR="00BA4C5C" w:rsidRPr="003A6407" w:rsidRDefault="00D944BF" w:rsidP="00662D39">
      <w:pPr>
        <w:pStyle w:val="Nagwek1"/>
        <w:rPr>
          <w:rFonts w:asciiTheme="minorHAnsi" w:hAnsiTheme="minorHAnsi" w:cstheme="minorHAnsi"/>
          <w:lang w:val="pl-PL"/>
        </w:rPr>
      </w:pPr>
      <w:bookmarkStart w:id="355" w:name="_Toc98189013"/>
      <w:bookmarkStart w:id="356" w:name="_Toc120464503"/>
      <w:bookmarkStart w:id="357" w:name="_Hlk115939544"/>
      <w:r w:rsidRPr="003A6407">
        <w:rPr>
          <w:rFonts w:asciiTheme="minorHAnsi" w:hAnsiTheme="minorHAnsi" w:cstheme="minorHAnsi"/>
          <w:lang w:val="pl-PL"/>
        </w:rPr>
        <w:t>PRIORYTET 8: FUNDUSZE EUROPEJSKIE DLA EDUKACJI NA DOLNYM ŚLĄSKU</w:t>
      </w:r>
      <w:r w:rsidR="00BA4C5C" w:rsidRPr="003A6407">
        <w:rPr>
          <w:rFonts w:asciiTheme="minorHAnsi" w:hAnsiTheme="minorHAnsi" w:cstheme="minorHAnsi"/>
          <w:lang w:val="pl-PL"/>
        </w:rPr>
        <w:t xml:space="preserve"> (CP4</w:t>
      </w:r>
      <w:r w:rsidRPr="003A6407">
        <w:rPr>
          <w:rFonts w:asciiTheme="minorHAnsi" w:hAnsiTheme="minorHAnsi" w:cstheme="minorHAnsi"/>
          <w:lang w:val="pl-PL"/>
        </w:rPr>
        <w:t xml:space="preserve"> EFS+</w:t>
      </w:r>
      <w:r w:rsidR="00BA4C5C" w:rsidRPr="003A6407">
        <w:rPr>
          <w:rFonts w:asciiTheme="minorHAnsi" w:hAnsiTheme="minorHAnsi" w:cstheme="minorHAnsi"/>
          <w:lang w:val="pl-PL"/>
        </w:rPr>
        <w:t>)</w:t>
      </w:r>
      <w:bookmarkEnd w:id="355"/>
      <w:bookmarkEnd w:id="356"/>
    </w:p>
    <w:p w14:paraId="7DF4E91C" w14:textId="7C1427CA" w:rsidR="00BA4C5C" w:rsidRPr="003A6407" w:rsidRDefault="00BA4C5C" w:rsidP="00111D88">
      <w:pPr>
        <w:pStyle w:val="Nagwek2"/>
        <w:spacing w:after="200"/>
        <w:rPr>
          <w:rFonts w:asciiTheme="minorHAnsi" w:eastAsia="Times New Roman" w:hAnsiTheme="minorHAnsi" w:cstheme="minorHAnsi"/>
        </w:rPr>
      </w:pPr>
      <w:bookmarkStart w:id="358" w:name="_Toc98189014"/>
      <w:bookmarkStart w:id="359" w:name="_Toc120464504"/>
      <w:bookmarkEnd w:id="357"/>
      <w:r w:rsidRPr="003A6407">
        <w:rPr>
          <w:rFonts w:asciiTheme="minorHAnsi" w:eastAsia="Times New Roman" w:hAnsiTheme="minorHAnsi" w:cstheme="minorHAnsi"/>
        </w:rPr>
        <w:t xml:space="preserve">CEL SZCZEGÓŁOWY: </w:t>
      </w:r>
      <w:r w:rsidR="006D7D84" w:rsidRPr="006D7D84">
        <w:rPr>
          <w:rFonts w:asciiTheme="minorHAnsi" w:eastAsia="Times New Roman" w:hAnsiTheme="minorHAnsi" w:cstheme="minorHAnsi"/>
        </w:rP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358"/>
      <w:bookmarkEnd w:id="359"/>
    </w:p>
    <w:p w14:paraId="379FCEC2" w14:textId="614C74EE" w:rsidR="00BA4C5C" w:rsidRDefault="00BA4C5C" w:rsidP="00270B09">
      <w:pPr>
        <w:keepNext/>
        <w:keepLines/>
        <w:spacing w:before="200"/>
        <w:jc w:val="both"/>
        <w:outlineLvl w:val="1"/>
        <w:rPr>
          <w:rFonts w:asciiTheme="minorHAnsi" w:eastAsia="Times New Roman" w:hAnsiTheme="minorHAnsi" w:cstheme="minorHAnsi"/>
          <w:b/>
          <w:bCs/>
          <w:color w:val="4F81BD" w:themeColor="accent1"/>
          <w:sz w:val="24"/>
          <w:szCs w:val="26"/>
        </w:rPr>
      </w:pPr>
      <w:bookmarkStart w:id="360" w:name="_Toc120464505"/>
      <w:r w:rsidRPr="003A6407">
        <w:rPr>
          <w:rFonts w:asciiTheme="minorHAnsi" w:eastAsia="Times New Roman" w:hAnsiTheme="minorHAnsi" w:cstheme="minorHAnsi"/>
          <w:b/>
          <w:bCs/>
          <w:color w:val="4F81BD" w:themeColor="accent1"/>
          <w:sz w:val="24"/>
          <w:szCs w:val="26"/>
        </w:rPr>
        <w:t>Wskaźniki produktu</w:t>
      </w:r>
      <w:bookmarkEnd w:id="360"/>
    </w:p>
    <w:p w14:paraId="3F3483B4" w14:textId="77777777" w:rsidR="00EE0C5C" w:rsidRP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7AF7615C"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AD73F8" w14:textId="702ABB1B"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4</w:t>
            </w:r>
          </w:p>
          <w:p w14:paraId="0546DA4C"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A3149F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FF0211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3323D5"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6F29B7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42EC1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667E95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7B6EED1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98B7B2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2701611D"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703DAAD8" w14:textId="77777777" w:rsidTr="002A48C3">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A8585C4" w14:textId="133DC88E" w:rsidR="00EE0C5C" w:rsidRPr="00B44649" w:rsidRDefault="00EE0C5C" w:rsidP="002A48C3">
            <w:pPr>
              <w:shd w:val="clear" w:color="auto" w:fill="FFFFFF"/>
              <w:spacing w:before="120" w:after="120" w:line="240" w:lineRule="auto"/>
              <w:jc w:val="center"/>
              <w:rPr>
                <w:rFonts w:eastAsia="Calibri" w:cs="Times New Roman"/>
                <w:b/>
                <w:noProof/>
                <w:sz w:val="16"/>
                <w:szCs w:val="16"/>
              </w:rPr>
            </w:pPr>
            <w:bookmarkStart w:id="361" w:name="_Hlk117068615"/>
            <w:r>
              <w:rPr>
                <w:rFonts w:eastAsia="Calibri" w:cs="Times New Roman"/>
                <w:b/>
                <w:noProof/>
                <w:sz w:val="16"/>
                <w:szCs w:val="16"/>
              </w:rPr>
              <w:t>4.</w:t>
            </w:r>
            <w:r w:rsidR="00DA059E">
              <w:rPr>
                <w:rFonts w:eastAsia="Calibri" w:cs="Times New Roman"/>
                <w:b/>
                <w:noProof/>
                <w:sz w:val="16"/>
                <w:szCs w:val="16"/>
              </w:rPr>
              <w:t>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F69B280" w14:textId="4B7067CE"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EFS+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4F1D3E8"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5B4B6B" w14:textId="276C08E3" w:rsidR="00EE0C5C" w:rsidRPr="00B44649" w:rsidRDefault="00154AE5" w:rsidP="002A48C3">
            <w:pPr>
              <w:shd w:val="clear" w:color="auto" w:fill="FFFFFF"/>
              <w:spacing w:before="120" w:after="120" w:line="240" w:lineRule="auto"/>
              <w:ind w:left="113" w:right="113"/>
              <w:jc w:val="center"/>
              <w:rPr>
                <w:rFonts w:eastAsia="Calibri" w:cs="Times New Roman"/>
                <w:b/>
                <w:noProof/>
                <w:sz w:val="16"/>
                <w:szCs w:val="16"/>
              </w:rPr>
            </w:pPr>
            <w:r>
              <w:rPr>
                <w:rFonts w:eastAsia="Calibri" w:cs="Times New Roman"/>
                <w:b/>
                <w:noProof/>
                <w:sz w:val="16"/>
                <w:szCs w:val="16"/>
              </w:rPr>
              <w:t>DOL3P</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568FD12"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Ludność objęta projektami w ramach strategii</w:t>
            </w:r>
            <w:r>
              <w:rPr>
                <w:rFonts w:eastAsia="Calibri" w:cs="Times New Roman"/>
                <w:b/>
                <w:noProof/>
                <w:sz w:val="16"/>
                <w:szCs w:val="16"/>
              </w:rPr>
              <w:t xml:space="preserve"> </w:t>
            </w:r>
            <w:r w:rsidRPr="00B44649">
              <w:rPr>
                <w:rFonts w:eastAsia="Calibri" w:cs="Times New Roman"/>
                <w:b/>
                <w:noProof/>
                <w:sz w:val="16"/>
                <w:szCs w:val="16"/>
              </w:rPr>
              <w:t>zintegrowanego rozwoju terytorialnego</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7C17407" w14:textId="77777777"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8D1E3C" w14:textId="60E18CF1" w:rsidR="00EE0C5C" w:rsidRPr="00B44649" w:rsidRDefault="007655CA" w:rsidP="002A48C3">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007D1D83"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7CDE101" w14:textId="3BF010DA" w:rsidR="00EE0C5C" w:rsidRPr="00B44649" w:rsidRDefault="00EE0C5C" w:rsidP="002A48C3">
            <w:pPr>
              <w:shd w:val="clear" w:color="auto" w:fill="FFFFFF"/>
              <w:spacing w:before="120" w:after="120" w:line="240" w:lineRule="auto"/>
              <w:jc w:val="center"/>
              <w:rPr>
                <w:rFonts w:eastAsia="Calibri" w:cs="Times New Roman"/>
                <w:b/>
                <w:noProof/>
                <w:sz w:val="16"/>
                <w:szCs w:val="16"/>
              </w:rPr>
            </w:pPr>
            <w:r w:rsidRPr="00EE0C5C">
              <w:rPr>
                <w:rFonts w:eastAsia="Calibri" w:cs="Times New Roman"/>
                <w:b/>
                <w:noProof/>
                <w:sz w:val="16"/>
                <w:szCs w:val="16"/>
              </w:rPr>
              <w:t>288</w:t>
            </w:r>
            <w:r w:rsidR="00D30AFB">
              <w:rPr>
                <w:rFonts w:eastAsia="Calibri" w:cs="Times New Roman"/>
                <w:b/>
                <w:noProof/>
                <w:sz w:val="16"/>
                <w:szCs w:val="16"/>
              </w:rPr>
              <w:t xml:space="preserve"> </w:t>
            </w:r>
            <w:r w:rsidRPr="00EE0C5C">
              <w:rPr>
                <w:rFonts w:eastAsia="Calibri" w:cs="Times New Roman"/>
                <w:b/>
                <w:noProof/>
                <w:sz w:val="16"/>
                <w:szCs w:val="16"/>
              </w:rPr>
              <w:t>043</w:t>
            </w:r>
            <w:r>
              <w:rPr>
                <w:rFonts w:eastAsia="Calibri" w:cs="Times New Roman"/>
                <w:b/>
                <w:noProof/>
                <w:sz w:val="16"/>
                <w:szCs w:val="16"/>
              </w:rPr>
              <w:t>,00</w:t>
            </w:r>
          </w:p>
        </w:tc>
      </w:tr>
      <w:bookmarkEnd w:id="361"/>
      <w:tr w:rsidR="00EE0C5C" w:rsidRPr="003A6407" w14:paraId="6B0FED4E" w14:textId="77777777" w:rsidTr="002A48C3">
        <w:trPr>
          <w:trHeight w:val="340"/>
        </w:trPr>
        <w:tc>
          <w:tcPr>
            <w:tcW w:w="5000" w:type="pct"/>
            <w:gridSpan w:val="8"/>
            <w:shd w:val="clear" w:color="auto" w:fill="auto"/>
          </w:tcPr>
          <w:p w14:paraId="08D00540"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2F662791" w14:textId="461FF885"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7D08ABCE"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50B3FEA3" w14:textId="77777777" w:rsidR="00EE0C5C" w:rsidRPr="003A6407" w:rsidRDefault="00EE0C5C" w:rsidP="002A48C3">
            <w:pPr>
              <w:rPr>
                <w:rFonts w:eastAsia="Calibri"/>
              </w:rPr>
            </w:pPr>
            <w:r w:rsidRPr="003A6407">
              <w:rPr>
                <w:rFonts w:eastAsia="Calibri"/>
              </w:rPr>
              <w:t>- 6 Zintegrowanych Inwestycji Terytorialnych;</w:t>
            </w:r>
          </w:p>
          <w:p w14:paraId="243C9659" w14:textId="77777777" w:rsidR="00EE0C5C" w:rsidRPr="003A6407" w:rsidRDefault="00EE0C5C" w:rsidP="002A48C3">
            <w:pPr>
              <w:rPr>
                <w:rFonts w:eastAsia="Calibri"/>
              </w:rPr>
            </w:pPr>
            <w:r w:rsidRPr="003A6407">
              <w:rPr>
                <w:rFonts w:eastAsia="Calibri"/>
              </w:rPr>
              <w:lastRenderedPageBreak/>
              <w:t>- 1 Inny Instrument Terytorialny;</w:t>
            </w:r>
          </w:p>
          <w:p w14:paraId="315C5015" w14:textId="77777777" w:rsidR="00EE0C5C" w:rsidRDefault="00EE0C5C" w:rsidP="002A48C3">
            <w:pPr>
              <w:rPr>
                <w:rFonts w:eastAsia="Calibri"/>
              </w:rPr>
            </w:pPr>
            <w:r w:rsidRPr="003A6407">
              <w:rPr>
                <w:rFonts w:eastAsia="Calibri"/>
              </w:rPr>
              <w:t xml:space="preserve">Wobec powyższego zakłada się w ramach metodologii, że wartość docelowa wskaźnika będzie równa liczbie </w:t>
            </w:r>
            <w:r>
              <w:rPr>
                <w:rFonts w:eastAsia="Calibri"/>
              </w:rPr>
              <w:t>osób zamieszkujących objęte wsparcie</w:t>
            </w:r>
            <w:r w:rsidRPr="003A6407">
              <w:rPr>
                <w:rFonts w:eastAsia="Calibri"/>
              </w:rPr>
              <w:t xml:space="preserve"> instrument</w:t>
            </w:r>
            <w:r>
              <w:rPr>
                <w:rFonts w:eastAsia="Calibri"/>
              </w:rPr>
              <w:t>y</w:t>
            </w:r>
            <w:r w:rsidRPr="003A6407">
              <w:rPr>
                <w:rFonts w:eastAsia="Calibri"/>
              </w:rPr>
              <w:t xml:space="preserve"> rozwoju terytorialnego (7).</w:t>
            </w:r>
          </w:p>
          <w:p w14:paraId="316DD6AC" w14:textId="77777777" w:rsidR="00D30AFB"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p w14:paraId="575FF60D" w14:textId="69E53CF8" w:rsidR="00FD3DE2" w:rsidRDefault="00FD3DE2" w:rsidP="00D30AFB">
            <w:pPr>
              <w:rPr>
                <w:rFonts w:eastAsia="Calibri" w:cs="Times New Roman"/>
                <w:color w:val="000000"/>
              </w:rPr>
            </w:pPr>
          </w:p>
          <w:p w14:paraId="4ECDA9A0" w14:textId="77777777" w:rsidR="00882F3A" w:rsidRPr="00882F3A" w:rsidRDefault="00882F3A" w:rsidP="00882F3A">
            <w:pPr>
              <w:rPr>
                <w:rFonts w:eastAsia="Calibri" w:cs="Times New Roman"/>
                <w:color w:val="000000"/>
              </w:rPr>
            </w:pPr>
            <w:r w:rsidRPr="00882F3A">
              <w:rPr>
                <w:rFonts w:eastAsia="Calibri" w:cs="Times New Roman"/>
                <w:color w:val="000000"/>
              </w:rPr>
              <w:t>Metodologia pomiaru wskaźnika</w:t>
            </w:r>
          </w:p>
          <w:p w14:paraId="42F14A7F" w14:textId="77777777" w:rsidR="00882F3A" w:rsidRPr="00882F3A" w:rsidRDefault="00882F3A" w:rsidP="00882F3A">
            <w:pPr>
              <w:rPr>
                <w:rFonts w:eastAsia="Calibri" w:cs="Times New Roman"/>
                <w:color w:val="000000"/>
              </w:rPr>
            </w:pPr>
            <w:r w:rsidRPr="00882F3A">
              <w:rPr>
                <w:rFonts w:eastAsia="Calibri" w:cs="Times New Roman"/>
                <w:color w:val="000000"/>
              </w:rPr>
              <w:t>Liczba osób objętych projektami wspieranymi przez fundusze w ramach strategii zintegrowanego rozwoju terytorialnego.</w:t>
            </w:r>
          </w:p>
          <w:p w14:paraId="436093B9" w14:textId="3DC3CF24" w:rsidR="00882F3A" w:rsidRPr="003A6407" w:rsidRDefault="00882F3A" w:rsidP="00882F3A">
            <w:pPr>
              <w:rPr>
                <w:rFonts w:eastAsia="Calibri" w:cs="Times New Roman"/>
                <w:color w:val="000000"/>
              </w:rPr>
            </w:pPr>
            <w:r w:rsidRPr="00882F3A">
              <w:rPr>
                <w:rFonts w:eastAsia="Calibri" w:cs="Times New Roman"/>
                <w:color w:val="000000"/>
              </w:rPr>
              <w:t>Na poziomie celu szczegółowego należy usunąć podwójne liczenie ludności objętej kilkoma projektami realizowanymi w ramach tej samej strategii ZIT/IIT w ramach tego samego celu szczegółowego.</w:t>
            </w:r>
          </w:p>
        </w:tc>
      </w:tr>
    </w:tbl>
    <w:p w14:paraId="5D0FC604" w14:textId="77777777" w:rsidR="00EE0C5C" w:rsidRDefault="00EE0C5C" w:rsidP="00EE0C5C"/>
    <w:p w14:paraId="412C6AE2" w14:textId="77777777" w:rsidR="00EE0C5C" w:rsidRDefault="00EE0C5C" w:rsidP="00EE0C5C"/>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E0C5C" w:rsidRPr="003A6407" w14:paraId="19A2A2FF" w14:textId="77777777" w:rsidTr="002A48C3">
        <w:trPr>
          <w:cantSplit/>
          <w:trHeight w:val="1647"/>
        </w:trPr>
        <w:tc>
          <w:tcPr>
            <w:tcW w:w="451" w:type="pct"/>
            <w:shd w:val="clear" w:color="auto" w:fill="auto"/>
            <w:vAlign w:val="center"/>
          </w:tcPr>
          <w:p w14:paraId="600D3B5D" w14:textId="3BCD90BB"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4</w:t>
            </w:r>
          </w:p>
          <w:p w14:paraId="76AB41C3"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2306D405"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5800992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2A008F77" w14:textId="77777777" w:rsidR="00EE0C5C" w:rsidRPr="003A6407" w:rsidRDefault="00EE0C5C" w:rsidP="002A48C3">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728C8C5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14F0C3B8"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739122B6"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21ED9B27"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3365E489"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66FD2C8A" w14:textId="77777777" w:rsidR="00EE0C5C" w:rsidRPr="003A6407" w:rsidRDefault="00EE0C5C" w:rsidP="002A48C3">
            <w:pPr>
              <w:shd w:val="clear" w:color="auto" w:fill="FFFFFF"/>
              <w:spacing w:before="120" w:after="120" w:line="240" w:lineRule="auto"/>
              <w:jc w:val="center"/>
              <w:rPr>
                <w:rFonts w:eastAsia="Calibri" w:cs="Times New Roman"/>
                <w:b/>
                <w:noProof/>
                <w:sz w:val="16"/>
                <w:szCs w:val="16"/>
              </w:rPr>
            </w:pPr>
          </w:p>
        </w:tc>
      </w:tr>
      <w:tr w:rsidR="00EE0C5C" w:rsidRPr="003A6407" w14:paraId="66BF07B5" w14:textId="77777777" w:rsidTr="002A48C3">
        <w:trPr>
          <w:trHeight w:val="340"/>
        </w:trPr>
        <w:tc>
          <w:tcPr>
            <w:tcW w:w="451" w:type="pct"/>
            <w:shd w:val="clear" w:color="auto" w:fill="auto"/>
            <w:vAlign w:val="center"/>
          </w:tcPr>
          <w:p w14:paraId="1B833F1D" w14:textId="2730B04C"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4.6</w:t>
            </w:r>
          </w:p>
        </w:tc>
        <w:tc>
          <w:tcPr>
            <w:tcW w:w="494" w:type="pct"/>
            <w:shd w:val="clear" w:color="auto" w:fill="auto"/>
            <w:vAlign w:val="center"/>
          </w:tcPr>
          <w:p w14:paraId="15190B69" w14:textId="59B0FF7F" w:rsidR="00EE0C5C" w:rsidRPr="003A6407" w:rsidRDefault="00EE0C5C"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EFS+</w:t>
            </w:r>
          </w:p>
        </w:tc>
        <w:tc>
          <w:tcPr>
            <w:tcW w:w="558" w:type="pct"/>
            <w:shd w:val="clear" w:color="auto" w:fill="auto"/>
            <w:vAlign w:val="center"/>
          </w:tcPr>
          <w:p w14:paraId="7CD786BE"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735931CA" w14:textId="769DBB10" w:rsidR="00EE0C5C" w:rsidRPr="003A6407" w:rsidRDefault="00154AE5"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DOL4P</w:t>
            </w:r>
          </w:p>
        </w:tc>
        <w:tc>
          <w:tcPr>
            <w:tcW w:w="1348" w:type="pct"/>
            <w:shd w:val="clear" w:color="auto" w:fill="auto"/>
            <w:vAlign w:val="center"/>
          </w:tcPr>
          <w:p w14:paraId="3FD7FB82" w14:textId="77777777" w:rsidR="00EE0C5C" w:rsidRPr="003A6407" w:rsidRDefault="00EE0C5C" w:rsidP="002A48C3">
            <w:pPr>
              <w:keepNext/>
              <w:keepLines/>
              <w:spacing w:before="200" w:after="0"/>
              <w:jc w:val="center"/>
              <w:outlineLvl w:val="2"/>
              <w:rPr>
                <w:rFonts w:eastAsia="Calibri" w:cs="Times New Roman"/>
                <w:noProof/>
                <w:sz w:val="16"/>
                <w:szCs w:val="16"/>
              </w:rPr>
            </w:pPr>
            <w:bookmarkStart w:id="362" w:name="_Toc120464506"/>
            <w:r w:rsidRPr="003A6407">
              <w:rPr>
                <w:rFonts w:eastAsia="Times New Roman" w:cs="Calibri"/>
                <w:bCs/>
                <w:noProof/>
                <w:sz w:val="16"/>
                <w:szCs w:val="16"/>
              </w:rPr>
              <w:t>Wspierane strategie zintegrowanego rozwoju terytorialnego</w:t>
            </w:r>
            <w:bookmarkEnd w:id="362"/>
          </w:p>
        </w:tc>
        <w:tc>
          <w:tcPr>
            <w:tcW w:w="549" w:type="pct"/>
            <w:shd w:val="clear" w:color="auto" w:fill="auto"/>
            <w:vAlign w:val="center"/>
          </w:tcPr>
          <w:p w14:paraId="5BD87E12"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szt.</w:t>
            </w:r>
          </w:p>
        </w:tc>
        <w:tc>
          <w:tcPr>
            <w:tcW w:w="627" w:type="pct"/>
            <w:shd w:val="clear" w:color="auto" w:fill="auto"/>
            <w:vAlign w:val="center"/>
          </w:tcPr>
          <w:p w14:paraId="1B695C32" w14:textId="508139A6" w:rsidR="00EE0C5C" w:rsidRPr="003A6407" w:rsidRDefault="00D30AFB" w:rsidP="002A48C3">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3</w:t>
            </w:r>
            <w:r w:rsidR="00EE0C5C" w:rsidRPr="003A6407">
              <w:rPr>
                <w:rFonts w:eastAsia="Calibri" w:cs="Times New Roman"/>
                <w:noProof/>
                <w:sz w:val="16"/>
                <w:szCs w:val="16"/>
              </w:rPr>
              <w:t>,00</w:t>
            </w:r>
          </w:p>
        </w:tc>
        <w:tc>
          <w:tcPr>
            <w:tcW w:w="550" w:type="pct"/>
            <w:shd w:val="clear" w:color="auto" w:fill="auto"/>
            <w:vAlign w:val="center"/>
          </w:tcPr>
          <w:p w14:paraId="3402B3F8" w14:textId="77777777" w:rsidR="00EE0C5C" w:rsidRPr="003A6407" w:rsidRDefault="00EE0C5C" w:rsidP="002A48C3">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7,00</w:t>
            </w:r>
          </w:p>
        </w:tc>
      </w:tr>
      <w:tr w:rsidR="00EE0C5C" w:rsidRPr="003A6407" w14:paraId="5ED9D5F4" w14:textId="77777777" w:rsidTr="002A48C3">
        <w:trPr>
          <w:trHeight w:val="340"/>
        </w:trPr>
        <w:tc>
          <w:tcPr>
            <w:tcW w:w="5000" w:type="pct"/>
            <w:gridSpan w:val="8"/>
            <w:shd w:val="clear" w:color="auto" w:fill="auto"/>
          </w:tcPr>
          <w:p w14:paraId="4997AA0F" w14:textId="77777777" w:rsidR="00EE0C5C" w:rsidRPr="003A6407" w:rsidRDefault="00EE0C5C" w:rsidP="002A48C3">
            <w:pPr>
              <w:shd w:val="clear" w:color="auto" w:fill="FFFFFF"/>
              <w:spacing w:before="60" w:after="60" w:line="240" w:lineRule="auto"/>
              <w:jc w:val="both"/>
              <w:rPr>
                <w:rFonts w:eastAsia="Calibri"/>
                <w:b/>
                <w:bCs/>
              </w:rPr>
            </w:pPr>
            <w:r w:rsidRPr="003A6407">
              <w:rPr>
                <w:rFonts w:eastAsia="Calibri"/>
                <w:b/>
                <w:bCs/>
              </w:rPr>
              <w:t>Metodologia:</w:t>
            </w:r>
          </w:p>
          <w:p w14:paraId="5A63CC3A" w14:textId="021FCFC3" w:rsidR="00EE0C5C" w:rsidRPr="003A6407" w:rsidRDefault="00EE0C5C" w:rsidP="002A48C3">
            <w:pPr>
              <w:rPr>
                <w:rFonts w:eastAsia="Calibri"/>
              </w:rPr>
            </w:pPr>
            <w:r w:rsidRPr="003A6407">
              <w:rPr>
                <w:rFonts w:eastAsia="Calibri"/>
              </w:rPr>
              <w:t xml:space="preserve">W marcu 2020 r. Zarząd Województwa Dolnośląskiego </w:t>
            </w:r>
            <w:r w:rsidR="006D2E7B">
              <w:rPr>
                <w:rFonts w:eastAsia="Calibri"/>
              </w:rPr>
              <w:t>rozpoczął dyskusję</w:t>
            </w:r>
            <w:r w:rsidRPr="003A6407">
              <w:rPr>
                <w:rFonts w:eastAsia="Calibri"/>
              </w:rPr>
              <w:t xml:space="preserve"> z wszystkimi interesariuszami i jednostkami samorządu terytorialnego województwa dolnośląskiego w sprawie podejścia terytorialnego w perspektywie 2021-2027. Celem dyskusji było wypracowanie rozwiązania, które zapewniało by wsparcie i objęcie instrumentami rozwoju terytorialnego całego województwa – tak, aby nie było obszarów, które nie mogłyby być objęte wsparciem. </w:t>
            </w:r>
          </w:p>
          <w:p w14:paraId="419EB18D" w14:textId="77777777" w:rsidR="00EE0C5C" w:rsidRPr="003A6407" w:rsidRDefault="00EE0C5C" w:rsidP="002A48C3">
            <w:pPr>
              <w:rPr>
                <w:rFonts w:eastAsia="Calibri"/>
              </w:rPr>
            </w:pPr>
            <w:r w:rsidRPr="003A6407">
              <w:rPr>
                <w:rFonts w:eastAsia="Calibri"/>
              </w:rPr>
              <w:t xml:space="preserve">Po przeprowadzeniu szerokich konsultacji społecznych Zarządu Województwa Dolnośląskiego z przedstawicielami jednostek samorządu terytorialnego oraz na podstawie porozumień i listów intencyjnych poszczególnych </w:t>
            </w:r>
            <w:proofErr w:type="spellStart"/>
            <w:r w:rsidRPr="003A6407">
              <w:rPr>
                <w:rFonts w:eastAsia="Calibri"/>
              </w:rPr>
              <w:t>jst</w:t>
            </w:r>
            <w:proofErr w:type="spellEnd"/>
            <w:r w:rsidRPr="003A6407">
              <w:rPr>
                <w:rFonts w:eastAsia="Calibri"/>
              </w:rPr>
              <w:t>, scharakteryzowano podejście terytorialne obejmujące cały obszar województwa dolnośląskiego poprzez 7 obszarów:</w:t>
            </w:r>
          </w:p>
          <w:p w14:paraId="000E37F5" w14:textId="77777777" w:rsidR="00EE0C5C" w:rsidRPr="003A6407" w:rsidRDefault="00EE0C5C" w:rsidP="002A48C3">
            <w:pPr>
              <w:rPr>
                <w:rFonts w:eastAsia="Calibri"/>
              </w:rPr>
            </w:pPr>
            <w:r w:rsidRPr="003A6407">
              <w:rPr>
                <w:rFonts w:eastAsia="Calibri"/>
              </w:rPr>
              <w:t>- 6 Zintegrowanych Inwestycji Terytorialnych;</w:t>
            </w:r>
          </w:p>
          <w:p w14:paraId="3C855B4A" w14:textId="77777777" w:rsidR="00EE0C5C" w:rsidRPr="003A6407" w:rsidRDefault="00EE0C5C" w:rsidP="002A48C3">
            <w:pPr>
              <w:rPr>
                <w:rFonts w:eastAsia="Calibri"/>
              </w:rPr>
            </w:pPr>
            <w:r w:rsidRPr="003A6407">
              <w:rPr>
                <w:rFonts w:eastAsia="Calibri"/>
              </w:rPr>
              <w:t>- 1 Inny Instrument Terytorialny;</w:t>
            </w:r>
          </w:p>
          <w:p w14:paraId="7356849B" w14:textId="77777777" w:rsidR="00EE0C5C" w:rsidRDefault="00EE0C5C" w:rsidP="002A48C3">
            <w:pPr>
              <w:rPr>
                <w:rFonts w:eastAsia="Calibri"/>
              </w:rPr>
            </w:pPr>
            <w:r w:rsidRPr="003A6407">
              <w:rPr>
                <w:rFonts w:eastAsia="Calibri"/>
              </w:rPr>
              <w:t>Wobec powyższego zakłada się w ramach metodologii, że wartość docelowa wskaźnika będzie równa liczbie utworzonych instrumentów rozwoju terytorialnego (7).</w:t>
            </w:r>
          </w:p>
          <w:p w14:paraId="64E75254" w14:textId="77777777" w:rsidR="00D30AFB" w:rsidRDefault="00D30AFB" w:rsidP="00D30AFB">
            <w:pPr>
              <w:rPr>
                <w:rFonts w:eastAsia="Calibri" w:cs="Times New Roman"/>
                <w:color w:val="000000"/>
              </w:rPr>
            </w:pPr>
            <w:r w:rsidRPr="00D30AFB">
              <w:rPr>
                <w:rFonts w:eastAsia="Calibri" w:cs="Times New Roman"/>
                <w:color w:val="000000"/>
              </w:rPr>
              <w:t>Ponadto wartość wskaźnika zostanie zrewidowana po zatwierdzeniu poszczególnych strategii ZIT/IIT.</w:t>
            </w:r>
          </w:p>
          <w:p w14:paraId="66A4CBD7" w14:textId="77777777" w:rsidR="00882F3A" w:rsidRPr="00882F3A" w:rsidRDefault="00882F3A" w:rsidP="00882F3A">
            <w:pPr>
              <w:rPr>
                <w:rFonts w:eastAsia="Calibri" w:cs="Times New Roman"/>
                <w:color w:val="000000"/>
              </w:rPr>
            </w:pPr>
            <w:r w:rsidRPr="00882F3A">
              <w:rPr>
                <w:rFonts w:eastAsia="Calibri" w:cs="Times New Roman"/>
                <w:color w:val="000000"/>
              </w:rPr>
              <w:t>Metodologia pomiaru wskaźnika</w:t>
            </w:r>
          </w:p>
          <w:p w14:paraId="5B2CED7E" w14:textId="77777777" w:rsidR="00882F3A" w:rsidRPr="00882F3A" w:rsidRDefault="00882F3A" w:rsidP="00882F3A">
            <w:pPr>
              <w:rPr>
                <w:rFonts w:eastAsia="Calibri" w:cs="Times New Roman"/>
                <w:color w:val="000000"/>
              </w:rPr>
            </w:pPr>
            <w:r w:rsidRPr="00882F3A">
              <w:rPr>
                <w:rFonts w:eastAsia="Calibri" w:cs="Times New Roman"/>
                <w:color w:val="000000"/>
              </w:rPr>
              <w:lastRenderedPageBreak/>
              <w:t xml:space="preserve">Liczba wkładów w strategie ZIT/IIT według każdego celu szczegółowego wnoszonych z funduszy zgodnie z art. 28 lit. a) i c) CPR. Wartości wskaźnika uwzględniają zatem, na poziomie celu szczegółowego, oddzielną liczbę wkładów finansowych w strategie ZIT. </w:t>
            </w:r>
          </w:p>
          <w:p w14:paraId="659FD450" w14:textId="77777777" w:rsidR="00882F3A" w:rsidRPr="00882F3A" w:rsidRDefault="00882F3A" w:rsidP="00882F3A">
            <w:pPr>
              <w:rPr>
                <w:rFonts w:eastAsia="Calibri" w:cs="Times New Roman"/>
                <w:color w:val="000000"/>
              </w:rPr>
            </w:pPr>
            <w:r w:rsidRPr="00882F3A">
              <w:rPr>
                <w:rFonts w:eastAsia="Calibri" w:cs="Times New Roman"/>
                <w:color w:val="000000"/>
              </w:rPr>
              <w:t>Na poziomie celu szczegółowego strategię objętą wsparciem w ramach kilku projektów w ramach tego samego celu szczegółowego liczy się tylko raz.</w:t>
            </w:r>
          </w:p>
          <w:p w14:paraId="630C02F1" w14:textId="3FA0DD3A" w:rsidR="00882F3A" w:rsidRPr="003A6407" w:rsidRDefault="00882F3A" w:rsidP="00882F3A">
            <w:pPr>
              <w:rPr>
                <w:rFonts w:eastAsia="Calibri" w:cs="Times New Roman"/>
                <w:color w:val="000000"/>
              </w:rPr>
            </w:pPr>
            <w:r w:rsidRPr="00882F3A">
              <w:rPr>
                <w:rFonts w:eastAsia="Calibri" w:cs="Times New Roman"/>
                <w:color w:val="000000"/>
              </w:rPr>
              <w:t>Wartość wskaźnika do sprawozdawczości wyliczana przez Instytucję Zarządzającą na poziomie celu szczegółowego.</w:t>
            </w:r>
          </w:p>
        </w:tc>
      </w:tr>
    </w:tbl>
    <w:p w14:paraId="4D2EAFA4" w14:textId="77777777" w:rsidR="00EE0C5C" w:rsidRPr="003A6407" w:rsidRDefault="00EE0C5C" w:rsidP="00270B09">
      <w:pPr>
        <w:keepNext/>
        <w:keepLines/>
        <w:spacing w:before="200"/>
        <w:jc w:val="both"/>
        <w:outlineLvl w:val="1"/>
        <w:rPr>
          <w:rFonts w:asciiTheme="minorHAnsi" w:eastAsia="Times New Roman" w:hAnsiTheme="minorHAnsi" w:cstheme="minorHAnsi"/>
          <w:b/>
          <w:bCs/>
          <w:color w:val="4F81BD" w:themeColor="accent1"/>
          <w:sz w:val="24"/>
          <w:szCs w:val="26"/>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71005A9E" w14:textId="77777777" w:rsidTr="00270B09">
        <w:trPr>
          <w:cantSplit/>
          <w:trHeight w:val="1647"/>
        </w:trPr>
        <w:tc>
          <w:tcPr>
            <w:tcW w:w="451" w:type="pct"/>
            <w:shd w:val="clear" w:color="auto" w:fill="auto"/>
            <w:vAlign w:val="center"/>
          </w:tcPr>
          <w:p w14:paraId="08CBBE6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bookmarkStart w:id="363" w:name="_Hlk114215757"/>
            <w:r w:rsidRPr="003A6407">
              <w:rPr>
                <w:rFonts w:asciiTheme="minorHAnsi" w:hAnsiTheme="minorHAnsi" w:cstheme="minorHAnsi"/>
                <w:sz w:val="16"/>
                <w:szCs w:val="16"/>
              </w:rPr>
              <w:t>CP4</w:t>
            </w:r>
          </w:p>
          <w:p w14:paraId="0B54F5D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5567692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7B3A04A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7BD0CAA3"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13FABEF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157BAA1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443846C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3E015DF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557EED1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0159E70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2B1A9EA8" w14:textId="77777777" w:rsidTr="00270B09">
        <w:trPr>
          <w:trHeight w:val="340"/>
        </w:trPr>
        <w:tc>
          <w:tcPr>
            <w:tcW w:w="451" w:type="pct"/>
            <w:shd w:val="clear" w:color="auto" w:fill="auto"/>
            <w:vAlign w:val="center"/>
          </w:tcPr>
          <w:p w14:paraId="2AA47CA4"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35A15B42" w14:textId="3944AD77"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494" w:type="pct"/>
            <w:shd w:val="clear" w:color="auto" w:fill="auto"/>
            <w:vAlign w:val="center"/>
          </w:tcPr>
          <w:p w14:paraId="0A36BBB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70CCDD1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7E4A5AE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PLFCO 01</w:t>
            </w:r>
          </w:p>
        </w:tc>
        <w:tc>
          <w:tcPr>
            <w:tcW w:w="1411" w:type="pct"/>
            <w:shd w:val="clear" w:color="auto" w:fill="auto"/>
            <w:vAlign w:val="center"/>
          </w:tcPr>
          <w:p w14:paraId="058E1588"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364" w:name="_Toc98189016"/>
            <w:bookmarkStart w:id="365" w:name="_Toc120464507"/>
            <w:r w:rsidRPr="003A6407">
              <w:rPr>
                <w:rFonts w:asciiTheme="minorHAnsi" w:eastAsia="Times New Roman" w:hAnsiTheme="minorHAnsi" w:cstheme="minorHAnsi"/>
                <w:bCs/>
                <w:noProof/>
                <w:sz w:val="16"/>
                <w:szCs w:val="16"/>
              </w:rPr>
              <w:t>Liczba dzieci objętych dodatkowymi zajęciami zwiększającymi ich szanse edukacyjne w edukacji przedszkolnej</w:t>
            </w:r>
            <w:bookmarkEnd w:id="364"/>
            <w:bookmarkEnd w:id="365"/>
          </w:p>
        </w:tc>
        <w:tc>
          <w:tcPr>
            <w:tcW w:w="549" w:type="pct"/>
            <w:shd w:val="clear" w:color="auto" w:fill="auto"/>
            <w:vAlign w:val="center"/>
          </w:tcPr>
          <w:p w14:paraId="36DCAC2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4AC4C196" w14:textId="1C1E4369"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139</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79436F8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4 618,00</w:t>
            </w:r>
          </w:p>
        </w:tc>
      </w:tr>
      <w:tr w:rsidR="00BA4C5C" w:rsidRPr="003A6407" w14:paraId="4C1188B7" w14:textId="77777777" w:rsidTr="00270B09">
        <w:trPr>
          <w:trHeight w:val="340"/>
        </w:trPr>
        <w:tc>
          <w:tcPr>
            <w:tcW w:w="5000" w:type="pct"/>
            <w:gridSpan w:val="8"/>
            <w:shd w:val="clear" w:color="auto" w:fill="auto"/>
          </w:tcPr>
          <w:p w14:paraId="37455C6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AF6152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4D95AB04" w14:textId="77777777" w:rsidR="00BA4C5C" w:rsidRPr="003A6407" w:rsidRDefault="00BA4C5C" w:rsidP="00270B09">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148 Wsparcie na rzecz wczesnej edukacji i opieki nad dzieckiem (z wyłączeniem infrastruktury) </w:t>
            </w:r>
            <w:r w:rsidRPr="003A6407">
              <w:rPr>
                <w:rFonts w:asciiTheme="minorHAnsi" w:eastAsia="Calibri" w:hAnsiTheme="minorHAnsi" w:cstheme="minorHAnsi"/>
              </w:rPr>
              <w:br/>
              <w:t>(19 297 401 EUR/85 873 434,5 PLN);</w:t>
            </w:r>
          </w:p>
          <w:p w14:paraId="01CEA76D"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Zakłada się, że 60% alokacji kodu 148 będzie dotyczyło zajęć dodatkowych.</w:t>
            </w:r>
          </w:p>
          <w:p w14:paraId="6FF9B47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powyższe oraz kurs EUR na poziomie 4,45 suma alokacji na realizację wskaźnika wynosi 85 873 434,5 x 60% = 51 524 060,7 PLN.</w:t>
            </w:r>
          </w:p>
          <w:p w14:paraId="598C6DEE"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9 286,07 PLN.  Koszt jednostkowy został skorygowany w oparciu o wartość inflacji na poziomie 15% i wynosi  10 678,98 PLN, a obniżony do wartości dofinansowania na poziomie 70% wynosi  7 475,28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7B621F3F"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[(2*3)+(6*25)+(3*68)]/11 = 32,73%. Wartość zaokrąglono do pełnej wartości 33%. </w:t>
            </w:r>
          </w:p>
          <w:p w14:paraId="7E55A147"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3619287D"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51 524 060,7 /  7 475,28 * (1-0,33) = 4 618 osób.</w:t>
            </w:r>
          </w:p>
          <w:p w14:paraId="7E331B7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09B0F508" w14:textId="77777777" w:rsidR="00BA4C5C" w:rsidRPr="003A6407" w:rsidRDefault="00BA4C5C">
            <w:pPr>
              <w:numPr>
                <w:ilvl w:val="0"/>
                <w:numId w:val="76"/>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t>
            </w:r>
            <w:r w:rsidRPr="003A6407">
              <w:rPr>
                <w:rFonts w:asciiTheme="minorHAnsi" w:hAnsiTheme="minorHAnsi"/>
                <w:color w:val="000000"/>
              </w:rPr>
              <w:t>istotność: poważna)</w:t>
            </w:r>
          </w:p>
          <w:p w14:paraId="64B4D6E5" w14:textId="77777777" w:rsidR="00BA4C5C" w:rsidRPr="003A6407" w:rsidRDefault="00BA4C5C">
            <w:pPr>
              <w:numPr>
                <w:ilvl w:val="0"/>
                <w:numId w:val="76"/>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08A508BB" w14:textId="77777777" w:rsidR="00BA4C5C" w:rsidRPr="003A6407" w:rsidRDefault="00BA4C5C">
            <w:pPr>
              <w:numPr>
                <w:ilvl w:val="0"/>
                <w:numId w:val="76"/>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3E4C92E0" w14:textId="77777777" w:rsidR="00BA4C5C" w:rsidRPr="003A6407" w:rsidRDefault="00BA4C5C">
            <w:pPr>
              <w:numPr>
                <w:ilvl w:val="0"/>
                <w:numId w:val="76"/>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lastRenderedPageBreak/>
              <w:t>ostateczne ustalenia dot. Występowania i poziomu pomocy publicznej</w:t>
            </w:r>
            <w:r w:rsidRPr="003A6407">
              <w:rPr>
                <w:rFonts w:asciiTheme="minorHAnsi" w:eastAsia="Calibri" w:hAnsiTheme="minorHAnsi" w:cstheme="minorHAnsi"/>
                <w:color w:val="000000"/>
              </w:rPr>
              <w:t>; (istotność: niska)</w:t>
            </w:r>
          </w:p>
          <w:p w14:paraId="1AAB63E8" w14:textId="77777777" w:rsidR="00BA4C5C" w:rsidRPr="003A6407" w:rsidRDefault="00BA4C5C">
            <w:pPr>
              <w:numPr>
                <w:ilvl w:val="0"/>
                <w:numId w:val="76"/>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3C248E87" w14:textId="77777777" w:rsidR="00BA4C5C" w:rsidRPr="003A6407" w:rsidRDefault="00BA4C5C">
            <w:pPr>
              <w:numPr>
                <w:ilvl w:val="0"/>
                <w:numId w:val="76"/>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17CA35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05921ED7" w14:textId="77777777" w:rsidR="00BA4C5C" w:rsidRPr="003A6407" w:rsidRDefault="00BA4C5C">
            <w:pPr>
              <w:numPr>
                <w:ilvl w:val="0"/>
                <w:numId w:val="7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51B5CB5D" w14:textId="77777777" w:rsidR="00BA4C5C" w:rsidRPr="003A6407" w:rsidRDefault="00BA4C5C">
            <w:pPr>
              <w:numPr>
                <w:ilvl w:val="0"/>
                <w:numId w:val="7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6477D89" w14:textId="77777777" w:rsidR="00BA4C5C" w:rsidRPr="003A6407" w:rsidRDefault="00BA4C5C">
            <w:pPr>
              <w:numPr>
                <w:ilvl w:val="0"/>
                <w:numId w:val="7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FA7C6F0" w14:textId="77777777" w:rsidR="00BA4C5C" w:rsidRPr="003A6407" w:rsidRDefault="00BA4C5C">
            <w:pPr>
              <w:numPr>
                <w:ilvl w:val="0"/>
                <w:numId w:val="7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536E5C72" w14:textId="77777777" w:rsidR="00BA4C5C" w:rsidRPr="003A6407" w:rsidRDefault="00BA4C5C">
            <w:pPr>
              <w:numPr>
                <w:ilvl w:val="0"/>
                <w:numId w:val="7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053C4736" w14:textId="77777777" w:rsidR="00A22AD5" w:rsidRPr="003A6407" w:rsidRDefault="00A22AD5" w:rsidP="00A22AD5">
            <w:pPr>
              <w:spacing w:after="0" w:line="240" w:lineRule="auto"/>
              <w:contextualSpacing/>
              <w:jc w:val="both"/>
              <w:rPr>
                <w:rFonts w:asciiTheme="minorHAnsi" w:eastAsia="Calibri" w:hAnsiTheme="minorHAnsi" w:cstheme="minorHAnsi"/>
                <w:color w:val="000000"/>
              </w:rPr>
            </w:pPr>
          </w:p>
          <w:p w14:paraId="7484A573" w14:textId="77777777" w:rsidR="00A22AD5" w:rsidRPr="003A6407" w:rsidRDefault="00A22AD5" w:rsidP="00A22AD5">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5B4AFA9D" w14:textId="77777777" w:rsidR="00A22AD5" w:rsidRPr="003A6407" w:rsidRDefault="00A22AD5" w:rsidP="00A22AD5">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 na podstawie Sprawozdania rocznego z 2021 r. dla projektów o podobnym zakresie wsparcia. Biorąc pod uwagę termin zatwierdzenia programu nie jest możliwe wskazanie celu pośredniego innego niż 0 ponieważ faktycznie nie będzie mogło to być spełnione. </w:t>
            </w:r>
          </w:p>
          <w:p w14:paraId="667D4C0C" w14:textId="77777777" w:rsidR="00A22AD5" w:rsidRPr="003A6407" w:rsidRDefault="00A22AD5" w:rsidP="00A22AD5">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dzieci objętych w ramach programu dodatkowymi zajęciami zwiększającymi ich szanse edukacyjne w edukacji przedszkolnej w 2016 r. osiągnął wartość 702, co wobec wartości z wykonania na 2021 r. (13 468) stanowi zaledwie 5,21 %. </w:t>
            </w:r>
          </w:p>
          <w:p w14:paraId="2287BAAF" w14:textId="500CCA84" w:rsidR="00A22AD5" w:rsidRPr="003A6407" w:rsidRDefault="00A22AD5" w:rsidP="00A22AD5">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Mając na uwadze, że 2016 r. był już trzecim rokiem wdrażania programu RPO WD 2014-2020, a rok 2024 będzie de facto dopiero drugim rokiem wdrażania FEDS, wartość pośrednią dla tego wskaźnika ustalono </w:t>
            </w:r>
            <w:r w:rsidR="0036719D">
              <w:rPr>
                <w:rFonts w:asciiTheme="minorHAnsi" w:eastAsia="Calibri" w:hAnsiTheme="minorHAnsi" w:cstheme="minorHAnsi"/>
                <w:b/>
                <w:bCs/>
                <w:color w:val="000000"/>
              </w:rPr>
              <w:t>na poziomie 3% wartości docelowej</w:t>
            </w:r>
            <w:r w:rsidRPr="003A6407">
              <w:rPr>
                <w:rFonts w:asciiTheme="minorHAnsi" w:eastAsia="Calibri" w:hAnsiTheme="minorHAnsi" w:cstheme="minorHAnsi"/>
                <w:b/>
                <w:bCs/>
                <w:color w:val="000000"/>
              </w:rPr>
              <w:t>.</w:t>
            </w:r>
          </w:p>
        </w:tc>
      </w:tr>
      <w:bookmarkEnd w:id="363"/>
    </w:tbl>
    <w:p w14:paraId="57B6B6B6" w14:textId="77777777" w:rsidR="00BA4C5C" w:rsidRPr="003A6407" w:rsidRDefault="00BA4C5C" w:rsidP="00111D88">
      <w:pPr>
        <w:keepNext/>
        <w:keepLines/>
        <w:spacing w:before="120" w:after="120"/>
        <w:jc w:val="both"/>
        <w:outlineLvl w:val="2"/>
        <w:rPr>
          <w:rFonts w:asciiTheme="minorHAnsi" w:eastAsia="Times New Roman" w:hAnsiTheme="minorHAnsi" w:cstheme="minorHAnsi"/>
          <w:b/>
          <w:bCs/>
          <w:color w:val="4472C4"/>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85D82CD" w14:textId="77777777" w:rsidTr="00270B09">
        <w:trPr>
          <w:cantSplit/>
          <w:trHeight w:val="1647"/>
        </w:trPr>
        <w:tc>
          <w:tcPr>
            <w:tcW w:w="451" w:type="pct"/>
            <w:shd w:val="clear" w:color="auto" w:fill="auto"/>
            <w:vAlign w:val="center"/>
          </w:tcPr>
          <w:p w14:paraId="178C42F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7AF2490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3BE7C9E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639D6F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33F8D471"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6BFABF8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0D936F8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6C2A1F5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270197F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032F915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52E64E7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76FA5248" w14:textId="77777777" w:rsidTr="00270B09">
        <w:trPr>
          <w:trHeight w:val="340"/>
        </w:trPr>
        <w:tc>
          <w:tcPr>
            <w:tcW w:w="451" w:type="pct"/>
            <w:shd w:val="clear" w:color="auto" w:fill="auto"/>
            <w:vAlign w:val="center"/>
          </w:tcPr>
          <w:p w14:paraId="2F38DB5C"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666FD334" w14:textId="41ED33A8"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494" w:type="pct"/>
            <w:shd w:val="clear" w:color="auto" w:fill="auto"/>
            <w:vAlign w:val="center"/>
          </w:tcPr>
          <w:p w14:paraId="6B065ED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6E7115A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3578BE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PLFCO 02</w:t>
            </w:r>
          </w:p>
        </w:tc>
        <w:tc>
          <w:tcPr>
            <w:tcW w:w="1411" w:type="pct"/>
            <w:shd w:val="clear" w:color="auto" w:fill="auto"/>
            <w:vAlign w:val="center"/>
          </w:tcPr>
          <w:p w14:paraId="509E91E7"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366" w:name="_Toc120464508"/>
            <w:r w:rsidRPr="003A6407">
              <w:rPr>
                <w:rFonts w:asciiTheme="minorHAnsi" w:eastAsia="Times New Roman" w:hAnsiTheme="minorHAnsi" w:cstheme="minorHAnsi"/>
                <w:sz w:val="16"/>
                <w:szCs w:val="16"/>
              </w:rPr>
              <w:t>Liczba dofinansowanych miejsc wychowania przedszkolnego</w:t>
            </w:r>
            <w:bookmarkEnd w:id="366"/>
          </w:p>
        </w:tc>
        <w:tc>
          <w:tcPr>
            <w:tcW w:w="549" w:type="pct"/>
            <w:shd w:val="clear" w:color="auto" w:fill="auto"/>
            <w:vAlign w:val="center"/>
          </w:tcPr>
          <w:p w14:paraId="6E50303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szt</w:t>
            </w:r>
          </w:p>
        </w:tc>
        <w:tc>
          <w:tcPr>
            <w:tcW w:w="627" w:type="pct"/>
            <w:shd w:val="clear" w:color="auto" w:fill="auto"/>
            <w:vAlign w:val="center"/>
          </w:tcPr>
          <w:p w14:paraId="1556C45D" w14:textId="15C20CB6"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26</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3CB7EC8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859,00</w:t>
            </w:r>
          </w:p>
        </w:tc>
      </w:tr>
      <w:tr w:rsidR="00BA4C5C" w:rsidRPr="003A6407" w14:paraId="189AD5FE" w14:textId="77777777" w:rsidTr="00270B09">
        <w:trPr>
          <w:trHeight w:val="340"/>
        </w:trPr>
        <w:tc>
          <w:tcPr>
            <w:tcW w:w="5000" w:type="pct"/>
            <w:gridSpan w:val="8"/>
            <w:shd w:val="clear" w:color="auto" w:fill="auto"/>
          </w:tcPr>
          <w:p w14:paraId="7C33806D"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5ED2C191"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5658CE23" w14:textId="77777777" w:rsidR="00BA4C5C" w:rsidRPr="003A6407" w:rsidRDefault="00BA4C5C" w:rsidP="002855FE">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148 Wsparcie na rzecz wczesnej edukacji i opieki nad dzieckiem (z wyłączeniem infrastruktury) </w:t>
            </w:r>
            <w:r w:rsidRPr="003A6407">
              <w:rPr>
                <w:rFonts w:asciiTheme="minorHAnsi" w:eastAsia="Calibri" w:hAnsiTheme="minorHAnsi" w:cstheme="minorHAnsi"/>
              </w:rPr>
              <w:br/>
              <w:t>(19 297 401 EUR/85 873 434,5 PLN);</w:t>
            </w:r>
          </w:p>
          <w:p w14:paraId="27E8F539"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Zakłada się, że 30% alokacji kodu 148 będzie dotyczyło tworzenia nowych miejsc przedszkolnych i zajęć dodatkowych.</w:t>
            </w:r>
          </w:p>
          <w:p w14:paraId="2F1463C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powyższe oraz kurs EUR na poziomie 4,45 suma alokacji na realizację wskaźnika wynosi 85 873 434,5 x 30% = 25 762 030,35 PLN.</w:t>
            </w:r>
          </w:p>
          <w:p w14:paraId="3C4380A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24 956,03 PLN.  Koszt jednostkowy został skorygowany w oparciu o wartość inflacji na poziomie 15% i wynosi  28 699,43 PLN, a obniżony do wartości dofinansowania na poziomie 70% wynosi  20 089,6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04AAB66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[(2*3)+(6*25)+(3*68)]/11 = 32,73%. Wartość zaokrąglono do pełnej wartości 33%. </w:t>
            </w:r>
          </w:p>
          <w:p w14:paraId="24251278"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3D425924"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25 762 030,35 /  20 089,6 * (1-0,33) = 859 szt.</w:t>
            </w:r>
          </w:p>
          <w:p w14:paraId="356281D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1F1CAF36" w14:textId="77777777" w:rsidR="00BA4C5C" w:rsidRPr="003A6407" w:rsidRDefault="00BA4C5C">
            <w:pPr>
              <w:numPr>
                <w:ilvl w:val="0"/>
                <w:numId w:val="37"/>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2A7A7FBD" w14:textId="77777777" w:rsidR="00BA4C5C" w:rsidRPr="003A6407" w:rsidRDefault="00BA4C5C">
            <w:pPr>
              <w:numPr>
                <w:ilvl w:val="0"/>
                <w:numId w:val="37"/>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38833653" w14:textId="77777777" w:rsidR="00BA4C5C" w:rsidRPr="003A6407" w:rsidRDefault="00BA4C5C">
            <w:pPr>
              <w:numPr>
                <w:ilvl w:val="0"/>
                <w:numId w:val="37"/>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1CC7DEA1" w14:textId="77777777" w:rsidR="00BA4C5C" w:rsidRPr="003A6407" w:rsidRDefault="00BA4C5C">
            <w:pPr>
              <w:numPr>
                <w:ilvl w:val="0"/>
                <w:numId w:val="37"/>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3AB47D1D" w14:textId="77777777" w:rsidR="00BA4C5C" w:rsidRPr="003A6407" w:rsidRDefault="00BA4C5C">
            <w:pPr>
              <w:numPr>
                <w:ilvl w:val="0"/>
                <w:numId w:val="37"/>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393084F9" w14:textId="77777777" w:rsidR="00BA4C5C" w:rsidRPr="003A6407" w:rsidRDefault="00BA4C5C">
            <w:pPr>
              <w:numPr>
                <w:ilvl w:val="0"/>
                <w:numId w:val="37"/>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156A0A38"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2016BDF1"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238197DA" w14:textId="77777777" w:rsidR="00BA4C5C" w:rsidRPr="003A6407" w:rsidRDefault="00BA4C5C">
            <w:pPr>
              <w:numPr>
                <w:ilvl w:val="0"/>
                <w:numId w:val="38"/>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xml:space="preserve">. Należy mieć wówczas </w:t>
            </w:r>
            <w:r w:rsidRPr="003A6407">
              <w:rPr>
                <w:rFonts w:asciiTheme="minorHAnsi" w:eastAsia="Calibri" w:hAnsiTheme="minorHAnsi" w:cstheme="minorHAnsi"/>
                <w:color w:val="000000"/>
              </w:rPr>
              <w:lastRenderedPageBreak/>
              <w:t>możliwość kierowania wsparcia w ramach innego typu przedsięwzięcia, bez obawy nieosiągnięcia zaplanowanego do osiągnięcia wskaźnika; (istotność: umiarkowana)</w:t>
            </w:r>
          </w:p>
          <w:p w14:paraId="3DAB3CBE" w14:textId="77777777" w:rsidR="00BA4C5C" w:rsidRPr="003A6407" w:rsidRDefault="00BA4C5C">
            <w:pPr>
              <w:numPr>
                <w:ilvl w:val="0"/>
                <w:numId w:val="38"/>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6D4627DA" w14:textId="77777777" w:rsidR="00BA4C5C" w:rsidRPr="003A6407" w:rsidRDefault="00BA4C5C">
            <w:pPr>
              <w:numPr>
                <w:ilvl w:val="0"/>
                <w:numId w:val="38"/>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773C670" w14:textId="77777777" w:rsidR="00BA4C5C" w:rsidRPr="003A6407" w:rsidRDefault="00BA4C5C">
            <w:pPr>
              <w:numPr>
                <w:ilvl w:val="0"/>
                <w:numId w:val="38"/>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17E8A247" w14:textId="77777777" w:rsidR="00BA4C5C" w:rsidRPr="003A6407" w:rsidRDefault="00BA4C5C">
            <w:pPr>
              <w:numPr>
                <w:ilvl w:val="0"/>
                <w:numId w:val="38"/>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50BC47B3" w14:textId="77777777" w:rsidR="0020195E" w:rsidRPr="003A6407" w:rsidRDefault="0020195E" w:rsidP="0020195E">
            <w:pPr>
              <w:spacing w:after="0" w:line="240" w:lineRule="auto"/>
              <w:contextualSpacing/>
              <w:jc w:val="both"/>
              <w:rPr>
                <w:rFonts w:asciiTheme="minorHAnsi" w:eastAsia="Calibri" w:hAnsiTheme="minorHAnsi" w:cstheme="minorHAnsi"/>
                <w:color w:val="000000"/>
              </w:rPr>
            </w:pPr>
          </w:p>
          <w:p w14:paraId="62176E20" w14:textId="77777777" w:rsidR="0020195E" w:rsidRPr="003A6407" w:rsidRDefault="0020195E" w:rsidP="0020195E">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204124EE" w14:textId="77777777" w:rsidR="0020195E" w:rsidRPr="003A6407" w:rsidRDefault="0020195E" w:rsidP="0020195E">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 na podstawie Sprawozdania rocznego z 2021 r. dla projektów o podobnym zakresie wsparcia. Biorąc pod uwagę termin zatwierdzenia programu nie jest możliwe wskazanie celu pośredniego innego niż 0 ponieważ faktycznie nie będzie mogło to być spełnione. </w:t>
            </w:r>
          </w:p>
          <w:p w14:paraId="7E32706F" w14:textId="77777777" w:rsidR="0020195E" w:rsidRPr="003A6407" w:rsidRDefault="0020195E" w:rsidP="0020195E">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miejsc wychowania przedszkolnego dofinansowanych w programie w 2016 r. osiągnął wartość 0, co wobec wartości z wykonania na 2021 r. (5 886) stanowi 0 %. </w:t>
            </w:r>
          </w:p>
          <w:p w14:paraId="6F90946C" w14:textId="506E6507" w:rsidR="0020195E" w:rsidRPr="003A6407" w:rsidRDefault="0020195E" w:rsidP="0020195E">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Mając na uwadze, że 2016 r. był już trzecim rokiem wdrażania programu RPO WD 2014-2020, a rok 2024 będzie de facto dopiero drugim rokiem wdrażania FEDS, wartość pośrednią dla tego wskaźnika ustalono </w:t>
            </w:r>
            <w:r w:rsidR="0036719D">
              <w:rPr>
                <w:rFonts w:asciiTheme="minorHAnsi" w:eastAsia="Calibri" w:hAnsiTheme="minorHAnsi" w:cstheme="minorHAnsi"/>
                <w:b/>
                <w:bCs/>
                <w:color w:val="000000"/>
              </w:rPr>
              <w:t>na poziomie 3% wartości docelowej</w:t>
            </w:r>
            <w:r w:rsidRPr="003A6407">
              <w:rPr>
                <w:rFonts w:asciiTheme="minorHAnsi" w:eastAsia="Calibri" w:hAnsiTheme="minorHAnsi" w:cstheme="minorHAnsi"/>
                <w:b/>
                <w:bCs/>
                <w:color w:val="000000"/>
              </w:rPr>
              <w:t>.</w:t>
            </w:r>
          </w:p>
        </w:tc>
      </w:tr>
    </w:tbl>
    <w:p w14:paraId="07103457" w14:textId="77777777" w:rsidR="00BA4C5C" w:rsidRPr="003A6407" w:rsidRDefault="00BA4C5C" w:rsidP="00111D88">
      <w:pPr>
        <w:keepNext/>
        <w:keepLines/>
        <w:spacing w:before="120" w:after="120"/>
        <w:jc w:val="both"/>
        <w:outlineLvl w:val="2"/>
        <w:rPr>
          <w:rFonts w:asciiTheme="minorHAnsi" w:eastAsia="Times New Roman" w:hAnsiTheme="minorHAnsi" w:cstheme="minorHAnsi"/>
          <w:b/>
          <w:bCs/>
          <w:color w:val="4472C4"/>
        </w:rPr>
      </w:pPr>
    </w:p>
    <w:p w14:paraId="13B49086" w14:textId="77777777" w:rsidR="00BA4C5C" w:rsidRPr="003A6407" w:rsidRDefault="00BA4C5C" w:rsidP="00111D88">
      <w:pPr>
        <w:keepNext/>
        <w:keepLines/>
        <w:spacing w:before="120" w:after="120"/>
        <w:jc w:val="both"/>
        <w:outlineLvl w:val="2"/>
        <w:rPr>
          <w:rFonts w:asciiTheme="minorHAnsi" w:eastAsia="Times New Roman" w:hAnsiTheme="minorHAnsi" w:cstheme="minorHAnsi"/>
          <w:b/>
          <w:bCs/>
          <w:color w:val="4472C4"/>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4D1274C" w14:textId="77777777" w:rsidTr="00270B09">
        <w:trPr>
          <w:cantSplit/>
          <w:trHeight w:val="1647"/>
        </w:trPr>
        <w:tc>
          <w:tcPr>
            <w:tcW w:w="451" w:type="pct"/>
            <w:shd w:val="clear" w:color="auto" w:fill="auto"/>
            <w:vAlign w:val="center"/>
          </w:tcPr>
          <w:p w14:paraId="111930E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E751D8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3DFA8C3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FE1574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12DEBF20"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0656F12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506E971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3DA8695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00DCEED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36C4751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29CCE74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72B519A6" w14:textId="77777777" w:rsidTr="00270B09">
        <w:trPr>
          <w:trHeight w:val="340"/>
        </w:trPr>
        <w:tc>
          <w:tcPr>
            <w:tcW w:w="451" w:type="pct"/>
            <w:shd w:val="clear" w:color="auto" w:fill="auto"/>
            <w:vAlign w:val="center"/>
          </w:tcPr>
          <w:p w14:paraId="71ED774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56DD514B" w14:textId="6080F347"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494" w:type="pct"/>
            <w:shd w:val="clear" w:color="auto" w:fill="auto"/>
            <w:vAlign w:val="center"/>
          </w:tcPr>
          <w:p w14:paraId="03849D6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1197A5F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1C64F3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PLFCO 03</w:t>
            </w:r>
          </w:p>
        </w:tc>
        <w:tc>
          <w:tcPr>
            <w:tcW w:w="1411" w:type="pct"/>
            <w:shd w:val="clear" w:color="auto" w:fill="auto"/>
            <w:vAlign w:val="center"/>
          </w:tcPr>
          <w:p w14:paraId="2FD8E491" w14:textId="77777777" w:rsidR="00BA4C5C" w:rsidRPr="003A6407" w:rsidRDefault="00BA4C5C" w:rsidP="00270B09">
            <w:pPr>
              <w:keepNext/>
              <w:keepLines/>
              <w:spacing w:before="200" w:after="0"/>
              <w:jc w:val="center"/>
              <w:outlineLvl w:val="2"/>
              <w:rPr>
                <w:rFonts w:asciiTheme="minorHAnsi" w:eastAsia="Times New Roman" w:hAnsiTheme="minorHAnsi" w:cstheme="minorHAnsi"/>
                <w:bCs/>
                <w:noProof/>
                <w:sz w:val="16"/>
                <w:szCs w:val="16"/>
              </w:rPr>
            </w:pPr>
            <w:bookmarkStart w:id="367" w:name="_Toc98189017"/>
            <w:bookmarkStart w:id="368" w:name="_Toc120464509"/>
            <w:r w:rsidRPr="003A6407">
              <w:rPr>
                <w:rFonts w:asciiTheme="minorHAnsi" w:eastAsia="Times New Roman" w:hAnsiTheme="minorHAnsi" w:cstheme="minorHAnsi"/>
                <w:bCs/>
                <w:noProof/>
                <w:sz w:val="16"/>
                <w:szCs w:val="16"/>
              </w:rPr>
              <w:t>Liczba uczniów szkół i placówek systemu oświaty prowadzących kształcenie ogólne objętych wsparciem</w:t>
            </w:r>
            <w:bookmarkEnd w:id="367"/>
            <w:bookmarkEnd w:id="368"/>
          </w:p>
        </w:tc>
        <w:tc>
          <w:tcPr>
            <w:tcW w:w="549" w:type="pct"/>
            <w:shd w:val="clear" w:color="auto" w:fill="auto"/>
            <w:vAlign w:val="center"/>
          </w:tcPr>
          <w:p w14:paraId="2EC5596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6402D2C0" w14:textId="36269F40"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1</w:t>
            </w:r>
            <w:r w:rsidR="006F7714">
              <w:rPr>
                <w:rFonts w:asciiTheme="minorHAnsi" w:eastAsia="Calibri" w:hAnsiTheme="minorHAnsi" w:cstheme="minorHAnsi"/>
                <w:noProof/>
                <w:sz w:val="16"/>
                <w:szCs w:val="16"/>
              </w:rPr>
              <w:t xml:space="preserve"> </w:t>
            </w:r>
            <w:r>
              <w:rPr>
                <w:rFonts w:asciiTheme="minorHAnsi" w:eastAsia="Calibri" w:hAnsiTheme="minorHAnsi" w:cstheme="minorHAnsi"/>
                <w:noProof/>
                <w:sz w:val="16"/>
                <w:szCs w:val="16"/>
              </w:rPr>
              <w:t>217</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5B5BFAE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40 560,00</w:t>
            </w:r>
          </w:p>
        </w:tc>
      </w:tr>
      <w:tr w:rsidR="00BA4C5C" w:rsidRPr="003A6407" w14:paraId="78B028A2" w14:textId="77777777" w:rsidTr="00270B09">
        <w:trPr>
          <w:trHeight w:val="340"/>
        </w:trPr>
        <w:tc>
          <w:tcPr>
            <w:tcW w:w="5000" w:type="pct"/>
            <w:gridSpan w:val="8"/>
            <w:shd w:val="clear" w:color="auto" w:fill="auto"/>
          </w:tcPr>
          <w:p w14:paraId="28A5FC2D"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02C82264"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Wskaźnik realizuje kod interwencji:</w:t>
            </w:r>
          </w:p>
          <w:p w14:paraId="52DC1A36" w14:textId="77777777" w:rsidR="00BA4C5C" w:rsidRPr="003A6407" w:rsidRDefault="00BA4C5C" w:rsidP="00270B09">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149 Wsparcie na rzecz szkolnictwa podstawowego i średniego (z wyłączeniem infrastruktury)</w:t>
            </w:r>
            <w:r w:rsidRPr="003A6407">
              <w:rPr>
                <w:rFonts w:asciiTheme="minorHAnsi" w:eastAsia="Calibri" w:hAnsiTheme="minorHAnsi" w:cstheme="minorHAnsi"/>
              </w:rPr>
              <w:br/>
              <w:t>(62 892 204 EUR/</w:t>
            </w:r>
            <w:r w:rsidRPr="003A6407">
              <w:rPr>
                <w:rFonts w:asciiTheme="minorHAnsi" w:hAnsiTheme="minorHAnsi" w:cstheme="minorHAnsi"/>
              </w:rPr>
              <w:t xml:space="preserve"> </w:t>
            </w:r>
            <w:r w:rsidRPr="003A6407">
              <w:rPr>
                <w:rFonts w:asciiTheme="minorHAnsi" w:eastAsia="Calibri" w:hAnsiTheme="minorHAnsi" w:cstheme="minorHAnsi"/>
              </w:rPr>
              <w:t>279 870 307,8</w:t>
            </w:r>
            <w:r w:rsidRPr="003A6407" w:rsidDel="00FE2C4F">
              <w:rPr>
                <w:rFonts w:asciiTheme="minorHAnsi" w:eastAsia="Calibri" w:hAnsiTheme="minorHAnsi" w:cstheme="minorHAnsi"/>
              </w:rPr>
              <w:t xml:space="preserve"> </w:t>
            </w:r>
            <w:r w:rsidRPr="003A6407">
              <w:rPr>
                <w:rFonts w:asciiTheme="minorHAnsi" w:eastAsia="Calibri" w:hAnsiTheme="minorHAnsi" w:cstheme="minorHAnsi"/>
              </w:rPr>
              <w:t>PLN);</w:t>
            </w:r>
          </w:p>
          <w:p w14:paraId="60E6793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Zakłada się, że 40% alokacji kodu przeznaczone będzie na realizację interwencji wskaźnikowej czyli na projekty placówek systemu oświaty prowadzących kształcenie ogólne.</w:t>
            </w:r>
          </w:p>
          <w:p w14:paraId="04C402AE"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62 892 204 EUR*40% = 25 156 881 EUR</w:t>
            </w:r>
          </w:p>
          <w:p w14:paraId="6EA7715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111 948 123 PLN.</w:t>
            </w:r>
          </w:p>
          <w:p w14:paraId="28B36C1F"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Historyczny koszt jednostkowy na bazie doświadczeń z perspektywy 2014-2020 wynosi 2 297,21 PLN.</w:t>
            </w:r>
            <w:r w:rsidRPr="003A6407">
              <w:rPr>
                <w:rFonts w:asciiTheme="minorHAnsi" w:hAnsiTheme="minorHAnsi" w:cstheme="minorHAnsi"/>
              </w:rPr>
              <w:t xml:space="preserve"> </w:t>
            </w:r>
            <w:r w:rsidRPr="003A6407">
              <w:rPr>
                <w:rFonts w:asciiTheme="minorHAnsi" w:eastAsia="Calibri" w:hAnsiTheme="minorHAnsi" w:cstheme="minorHAnsi"/>
              </w:rPr>
              <w:t xml:space="preserve">Koszt jednostkowy został skorygowany w oparciu o wartość inflacji na poziomie 15% i wynosi 2 641,79 PLN, a obniżony do wartości dofinansowania na poziomie 70% wynosi 1 849,25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0647BB8E"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[(2*3)+(6*25)+(3*68)]/11 = 32,73%. Wartość zaokrąglono do pełnej wartości 33%. </w:t>
            </w:r>
          </w:p>
          <w:p w14:paraId="08F2E558"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695521A1" w14:textId="6AFCD81A"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111 948 123 / 1 849,25 * (1-0,33) = 40 560 osób.</w:t>
            </w:r>
          </w:p>
          <w:p w14:paraId="01F81454"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25309124" w14:textId="77777777" w:rsidR="00BA4C5C" w:rsidRPr="003A6407" w:rsidRDefault="00BA4C5C">
            <w:pPr>
              <w:numPr>
                <w:ilvl w:val="0"/>
                <w:numId w:val="39"/>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533CD584" w14:textId="77777777" w:rsidR="00BA4C5C" w:rsidRPr="003A6407" w:rsidRDefault="00BA4C5C">
            <w:pPr>
              <w:numPr>
                <w:ilvl w:val="0"/>
                <w:numId w:val="39"/>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5FD805B6" w14:textId="77777777" w:rsidR="00BA4C5C" w:rsidRPr="003A6407" w:rsidRDefault="00BA4C5C">
            <w:pPr>
              <w:numPr>
                <w:ilvl w:val="0"/>
                <w:numId w:val="39"/>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7D60125F" w14:textId="77777777" w:rsidR="00BA4C5C" w:rsidRPr="003A6407" w:rsidRDefault="00BA4C5C">
            <w:pPr>
              <w:numPr>
                <w:ilvl w:val="0"/>
                <w:numId w:val="39"/>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69ADBEFF" w14:textId="77777777" w:rsidR="00BA4C5C" w:rsidRPr="003A6407" w:rsidRDefault="00BA4C5C">
            <w:pPr>
              <w:numPr>
                <w:ilvl w:val="0"/>
                <w:numId w:val="39"/>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49851979" w14:textId="77777777" w:rsidR="00BA4C5C" w:rsidRPr="003A6407" w:rsidRDefault="00BA4C5C">
            <w:pPr>
              <w:numPr>
                <w:ilvl w:val="0"/>
                <w:numId w:val="39"/>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122F12D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32F1D04A" w14:textId="77777777" w:rsidR="00BA4C5C" w:rsidRPr="003A6407" w:rsidRDefault="00BA4C5C">
            <w:pPr>
              <w:numPr>
                <w:ilvl w:val="0"/>
                <w:numId w:val="4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01D08419" w14:textId="77777777" w:rsidR="00BA4C5C" w:rsidRPr="003A6407" w:rsidRDefault="00BA4C5C">
            <w:pPr>
              <w:numPr>
                <w:ilvl w:val="0"/>
                <w:numId w:val="4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3768650F" w14:textId="77777777" w:rsidR="00BA4C5C" w:rsidRPr="003A6407" w:rsidRDefault="00BA4C5C">
            <w:pPr>
              <w:numPr>
                <w:ilvl w:val="0"/>
                <w:numId w:val="4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w:t>
            </w:r>
            <w:r w:rsidRPr="003A6407">
              <w:rPr>
                <w:rFonts w:asciiTheme="minorHAnsi" w:eastAsia="Calibri" w:hAnsiTheme="minorHAnsi" w:cstheme="minorHAnsi"/>
                <w:color w:val="000000"/>
              </w:rPr>
              <w:lastRenderedPageBreak/>
              <w:t>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3AF9D036" w14:textId="77777777" w:rsidR="00BA4C5C" w:rsidRPr="003A6407" w:rsidRDefault="00BA4C5C">
            <w:pPr>
              <w:numPr>
                <w:ilvl w:val="0"/>
                <w:numId w:val="4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615F67B4" w14:textId="77777777" w:rsidR="00BA4C5C" w:rsidRPr="003A6407" w:rsidRDefault="00BA4C5C">
            <w:pPr>
              <w:numPr>
                <w:ilvl w:val="0"/>
                <w:numId w:val="4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1FA999E6" w14:textId="77777777" w:rsidR="00596BBC" w:rsidRPr="003A6407" w:rsidRDefault="00596BBC" w:rsidP="00596BBC">
            <w:pPr>
              <w:spacing w:after="0" w:line="240" w:lineRule="auto"/>
              <w:contextualSpacing/>
              <w:jc w:val="both"/>
              <w:rPr>
                <w:rFonts w:asciiTheme="minorHAnsi" w:eastAsia="Calibri" w:hAnsiTheme="minorHAnsi" w:cstheme="minorHAnsi"/>
                <w:color w:val="000000"/>
              </w:rPr>
            </w:pPr>
          </w:p>
          <w:p w14:paraId="479FB2C4" w14:textId="77777777" w:rsidR="00596BBC" w:rsidRPr="003A6407" w:rsidRDefault="00596BBC" w:rsidP="00596BBC">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3F21F993" w14:textId="77777777" w:rsidR="00596BBC" w:rsidRPr="003A6407" w:rsidRDefault="00596BBC" w:rsidP="00596BBC">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 na podstawie Sprawozdania rocznego z 2021 r. dla projektów o podobnym zakresie wsparcia. Biorąc pod uwagę termin zatwierdzenia programu nie jest możliwe wskazanie celu pośredniego innego niż 0 ponieważ faktycznie nie będzie mogło to być spełnione. </w:t>
            </w:r>
          </w:p>
          <w:p w14:paraId="157043D0" w14:textId="7A232E4D" w:rsidR="00596BBC" w:rsidRPr="003A6407" w:rsidRDefault="00596BBC" w:rsidP="00596BBC">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Zgodnie z danymi ze sprawozdania rocznego za 2021 rok z realizacji RPO WD 2014-2020 wskaźnik pn.</w:t>
            </w:r>
            <w:r w:rsidR="00EE7F90" w:rsidRPr="003A6407">
              <w:rPr>
                <w:rFonts w:asciiTheme="minorHAnsi" w:eastAsia="Calibri" w:hAnsiTheme="minorHAnsi" w:cstheme="minorHAnsi"/>
                <w:b/>
                <w:bCs/>
                <w:color w:val="000000"/>
              </w:rPr>
              <w:t xml:space="preserve"> </w:t>
            </w:r>
            <w:r w:rsidRPr="003A6407">
              <w:rPr>
                <w:rFonts w:asciiTheme="minorHAnsi" w:eastAsia="Calibri" w:hAnsiTheme="minorHAnsi" w:cstheme="minorHAnsi"/>
                <w:b/>
                <w:bCs/>
                <w:color w:val="000000"/>
              </w:rPr>
              <w:t xml:space="preserve">Liczba uczniów objętych wsparciem w zakresie rozwijania kompetencji kluczowych lub umiejętności uniwersalnych w programie w 2016 r. osiągnął wartość 4 782, co wobec wartości z wykonania na 2021 r. (136 862) stanowi zaledwie 3,49 %. </w:t>
            </w:r>
          </w:p>
          <w:p w14:paraId="1CB57758" w14:textId="02B82EB3" w:rsidR="00596BBC" w:rsidRPr="003A6407" w:rsidRDefault="00596BBC" w:rsidP="00596BBC">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Mając na uwadze, że 2016 r. był już trzecim rokiem wdrażania programu RPO WD 2014-2020, a rok 2024 będzie de facto dopiero drugim rokiem wdrażania FEDS, wartość pośrednią dla tego wskaźnika ustalono </w:t>
            </w:r>
            <w:r w:rsidR="0036719D">
              <w:rPr>
                <w:rFonts w:asciiTheme="minorHAnsi" w:eastAsia="Calibri" w:hAnsiTheme="minorHAnsi" w:cstheme="minorHAnsi"/>
                <w:b/>
                <w:bCs/>
                <w:color w:val="000000"/>
              </w:rPr>
              <w:t>na poziomie 3% wartości docelowej</w:t>
            </w:r>
            <w:r w:rsidRPr="003A6407">
              <w:rPr>
                <w:rFonts w:asciiTheme="minorHAnsi" w:eastAsia="Calibri" w:hAnsiTheme="minorHAnsi" w:cstheme="minorHAnsi"/>
                <w:b/>
                <w:bCs/>
                <w:color w:val="000000"/>
              </w:rPr>
              <w:t>.</w:t>
            </w:r>
          </w:p>
        </w:tc>
      </w:tr>
    </w:tbl>
    <w:p w14:paraId="1913BB80" w14:textId="77777777" w:rsidR="00BA4C5C" w:rsidRPr="003A6407" w:rsidRDefault="00BA4C5C" w:rsidP="00111D88">
      <w:pPr>
        <w:keepNext/>
        <w:keepLines/>
        <w:spacing w:before="120" w:after="120"/>
        <w:jc w:val="both"/>
        <w:outlineLvl w:val="2"/>
        <w:rPr>
          <w:rFonts w:asciiTheme="minorHAnsi" w:eastAsia="Times New Roman" w:hAnsiTheme="minorHAnsi" w:cstheme="minorHAnsi"/>
          <w:b/>
          <w:bCs/>
          <w:color w:val="4472C4"/>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9DDCC35" w14:textId="77777777" w:rsidTr="00270B09">
        <w:trPr>
          <w:cantSplit/>
          <w:trHeight w:val="1647"/>
        </w:trPr>
        <w:tc>
          <w:tcPr>
            <w:tcW w:w="451" w:type="pct"/>
            <w:shd w:val="clear" w:color="auto" w:fill="auto"/>
            <w:vAlign w:val="center"/>
          </w:tcPr>
          <w:p w14:paraId="250CDFA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79ED3F2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1D9C45B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0F2C084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274744FF"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742EA80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3CEFFF2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5E1BB45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67E314A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0D9CEFD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58AAC1E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6659A7E6" w14:textId="77777777" w:rsidTr="00270B09">
        <w:trPr>
          <w:trHeight w:val="340"/>
        </w:trPr>
        <w:tc>
          <w:tcPr>
            <w:tcW w:w="451" w:type="pct"/>
            <w:shd w:val="clear" w:color="auto" w:fill="auto"/>
            <w:vAlign w:val="center"/>
          </w:tcPr>
          <w:p w14:paraId="739C2FDB"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3CEFC873" w14:textId="3A09FE7C"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494" w:type="pct"/>
            <w:shd w:val="clear" w:color="auto" w:fill="auto"/>
            <w:vAlign w:val="center"/>
          </w:tcPr>
          <w:p w14:paraId="55E9AA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0036897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47435C2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PLFCO 04</w:t>
            </w:r>
          </w:p>
        </w:tc>
        <w:tc>
          <w:tcPr>
            <w:tcW w:w="1411" w:type="pct"/>
            <w:shd w:val="clear" w:color="auto" w:fill="auto"/>
            <w:vAlign w:val="center"/>
          </w:tcPr>
          <w:p w14:paraId="7E328B5F"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369" w:name="_Toc98189018"/>
            <w:bookmarkStart w:id="370" w:name="_Toc120464510"/>
            <w:r w:rsidRPr="003A6407">
              <w:rPr>
                <w:rFonts w:asciiTheme="minorHAnsi" w:eastAsia="Times New Roman" w:hAnsiTheme="minorHAnsi" w:cstheme="minorHAnsi"/>
                <w:bCs/>
                <w:noProof/>
                <w:sz w:val="16"/>
                <w:szCs w:val="16"/>
              </w:rPr>
              <w:t>Liczba uczniów i słuchaczy szkół i placówek kształcenia zawodowego objętych wsparciem</w:t>
            </w:r>
            <w:bookmarkEnd w:id="369"/>
            <w:bookmarkEnd w:id="370"/>
          </w:p>
        </w:tc>
        <w:tc>
          <w:tcPr>
            <w:tcW w:w="549" w:type="pct"/>
            <w:shd w:val="clear" w:color="auto" w:fill="auto"/>
            <w:vAlign w:val="center"/>
          </w:tcPr>
          <w:p w14:paraId="7419AFD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187D01AA" w14:textId="3F7DBBC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550" w:type="pct"/>
            <w:shd w:val="clear" w:color="auto" w:fill="auto"/>
            <w:vAlign w:val="center"/>
          </w:tcPr>
          <w:p w14:paraId="0EB58FC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11 530,00</w:t>
            </w:r>
          </w:p>
        </w:tc>
      </w:tr>
      <w:tr w:rsidR="00BA4C5C" w:rsidRPr="003A6407" w14:paraId="4F8C994C" w14:textId="77777777" w:rsidTr="00270B09">
        <w:trPr>
          <w:trHeight w:val="340"/>
        </w:trPr>
        <w:tc>
          <w:tcPr>
            <w:tcW w:w="5000" w:type="pct"/>
            <w:gridSpan w:val="8"/>
            <w:shd w:val="clear" w:color="auto" w:fill="auto"/>
          </w:tcPr>
          <w:p w14:paraId="188AFDE5"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273AFDC7"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1D268EFE" w14:textId="77777777" w:rsidR="00BA4C5C" w:rsidRPr="003A6407" w:rsidRDefault="00BA4C5C" w:rsidP="00270B09">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149 Wsparcie na rzecz szkolnictwa podstawowego i średniego (z wyłączeniem infrastruktury)</w:t>
            </w:r>
            <w:r w:rsidRPr="003A6407">
              <w:rPr>
                <w:rFonts w:asciiTheme="minorHAnsi" w:eastAsia="Calibri" w:hAnsiTheme="minorHAnsi" w:cstheme="minorHAnsi"/>
              </w:rPr>
              <w:br/>
              <w:t>(62 892 204 EUR/279 870 307,8 PLN);</w:t>
            </w:r>
          </w:p>
          <w:p w14:paraId="6B4855A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Zakłada się, że 50% alokacji kodu przeznaczone będzie na realizację interwencji wskaźnikowej czyli na projekty placówek systemu oświaty prowadzących kształcenie zawodowe.</w:t>
            </w:r>
          </w:p>
          <w:p w14:paraId="5109D389"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62 892 204 EUR*50% = 31 446 102EUR</w:t>
            </w:r>
          </w:p>
          <w:p w14:paraId="010504B7"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139 935 153,9PLN.</w:t>
            </w:r>
          </w:p>
          <w:p w14:paraId="3892A11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10 101,28 PLN. Koszt jednostkowy został skorygowany w oparciu o wartość inflacji na poziomie 15% i wynosi 11 616,47 PLN, a obniżony do wartości dofinansowania na poziomie 70% wynosi 8 131,53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6C39F90B"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lastRenderedPageBreak/>
              <w:t xml:space="preserve">R: [(2*3)+(6*25)+(3*68)]/11 = 32,73%. Wartość zaokrąglono do pełnej wartości 33%. </w:t>
            </w:r>
          </w:p>
          <w:p w14:paraId="0714079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26732729"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139 935 153,9/ 8 131,53 * (1-0,33) =  11 530 osób.</w:t>
            </w:r>
          </w:p>
          <w:p w14:paraId="2AB20F6F"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0C06F05E" w14:textId="77777777" w:rsidR="00BA4C5C" w:rsidRPr="003A6407" w:rsidRDefault="00BA4C5C">
            <w:pPr>
              <w:numPr>
                <w:ilvl w:val="0"/>
                <w:numId w:val="4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013FEDDD" w14:textId="77777777" w:rsidR="00BA4C5C" w:rsidRPr="003A6407" w:rsidRDefault="00BA4C5C">
            <w:pPr>
              <w:numPr>
                <w:ilvl w:val="0"/>
                <w:numId w:val="4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0C94F51B" w14:textId="77777777" w:rsidR="00BA4C5C" w:rsidRPr="003A6407" w:rsidRDefault="00BA4C5C">
            <w:pPr>
              <w:numPr>
                <w:ilvl w:val="0"/>
                <w:numId w:val="4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498BBAAA" w14:textId="77777777" w:rsidR="00BA4C5C" w:rsidRPr="003A6407" w:rsidRDefault="00BA4C5C">
            <w:pPr>
              <w:numPr>
                <w:ilvl w:val="0"/>
                <w:numId w:val="4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1084F765" w14:textId="77777777" w:rsidR="00BA4C5C" w:rsidRPr="003A6407" w:rsidRDefault="00BA4C5C">
            <w:pPr>
              <w:numPr>
                <w:ilvl w:val="0"/>
                <w:numId w:val="41"/>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5813A193" w14:textId="77777777" w:rsidR="00BA4C5C" w:rsidRPr="003A6407" w:rsidRDefault="00BA4C5C">
            <w:pPr>
              <w:numPr>
                <w:ilvl w:val="0"/>
                <w:numId w:val="41"/>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42A73F9"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6BAFDCB0" w14:textId="77777777" w:rsidR="00BA4C5C" w:rsidRPr="003A6407" w:rsidRDefault="00BA4C5C">
            <w:pPr>
              <w:numPr>
                <w:ilvl w:val="0"/>
                <w:numId w:val="4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54B245D8" w14:textId="77777777" w:rsidR="00BA4C5C" w:rsidRPr="003A6407" w:rsidRDefault="00BA4C5C">
            <w:pPr>
              <w:numPr>
                <w:ilvl w:val="0"/>
                <w:numId w:val="4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562E5DB0" w14:textId="77777777" w:rsidR="00BA4C5C" w:rsidRPr="003A6407" w:rsidRDefault="00BA4C5C">
            <w:pPr>
              <w:numPr>
                <w:ilvl w:val="0"/>
                <w:numId w:val="4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4BCD0A32" w14:textId="77777777" w:rsidR="00BA4C5C" w:rsidRPr="003A6407" w:rsidRDefault="00BA4C5C">
            <w:pPr>
              <w:numPr>
                <w:ilvl w:val="0"/>
                <w:numId w:val="4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49F20DA1" w14:textId="77777777" w:rsidR="00BA4C5C" w:rsidRPr="003A6407" w:rsidRDefault="00BA4C5C">
            <w:pPr>
              <w:numPr>
                <w:ilvl w:val="0"/>
                <w:numId w:val="42"/>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6B2F64D7" w14:textId="77777777" w:rsidR="006A169E" w:rsidRPr="003A6407" w:rsidRDefault="006A169E" w:rsidP="006A169E">
            <w:pPr>
              <w:spacing w:after="0" w:line="240" w:lineRule="auto"/>
              <w:contextualSpacing/>
              <w:jc w:val="both"/>
              <w:rPr>
                <w:rFonts w:asciiTheme="minorHAnsi" w:eastAsia="Calibri" w:hAnsiTheme="minorHAnsi" w:cstheme="minorHAnsi"/>
                <w:color w:val="000000"/>
              </w:rPr>
            </w:pPr>
          </w:p>
          <w:p w14:paraId="143C7515" w14:textId="77777777" w:rsidR="006A169E" w:rsidRPr="003A6407" w:rsidRDefault="006A169E" w:rsidP="006A169E">
            <w:pPr>
              <w:spacing w:after="0" w:line="240" w:lineRule="auto"/>
              <w:contextualSpacing/>
              <w:jc w:val="both"/>
              <w:rPr>
                <w:rFonts w:eastAsia="Calibri" w:cs="Times New Roman"/>
                <w:b/>
                <w:bCs/>
                <w:color w:val="000000"/>
              </w:rPr>
            </w:pPr>
            <w:r w:rsidRPr="003A6407">
              <w:rPr>
                <w:rFonts w:eastAsia="Calibri" w:cs="Times New Roman"/>
                <w:b/>
                <w:bCs/>
                <w:color w:val="000000"/>
              </w:rPr>
              <w:lastRenderedPageBreak/>
              <w:t>Uzasadnienie dla celu pośredniego:</w:t>
            </w:r>
          </w:p>
          <w:p w14:paraId="29927F44" w14:textId="77777777" w:rsidR="006A169E" w:rsidRPr="003A6407" w:rsidRDefault="006A169E" w:rsidP="006A169E">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iv), na podstawie Sprawozdania rocznego z 2021 r. dla projektów o podobnym zakresie wsparcia. Biorąc pod uwagę termin zatwierdzenia programu nie jest możliwe wskazanie celu pośredniego innego niż 0 ponieważ faktycznie nie będzie mogło to być spełnione. </w:t>
            </w:r>
          </w:p>
          <w:p w14:paraId="74292DFD" w14:textId="67DDB3B7" w:rsidR="006A169E" w:rsidRPr="003A6407" w:rsidRDefault="006A169E" w:rsidP="006A169E">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Zgodnie z danymi ze sprawozdania rocznego za 2021 rok z realizacji RPO WD 2014-2020 wskaźnik pn.</w:t>
            </w:r>
            <w:r w:rsidR="00EC0513" w:rsidRPr="003A6407">
              <w:rPr>
                <w:rFonts w:asciiTheme="minorHAnsi" w:eastAsia="Calibri" w:hAnsiTheme="minorHAnsi" w:cstheme="minorHAnsi"/>
                <w:b/>
                <w:bCs/>
                <w:color w:val="000000"/>
              </w:rPr>
              <w:t xml:space="preserve"> </w:t>
            </w:r>
            <w:r w:rsidRPr="003A6407">
              <w:rPr>
                <w:rFonts w:asciiTheme="minorHAnsi" w:eastAsia="Calibri" w:hAnsiTheme="minorHAnsi" w:cstheme="minorHAnsi"/>
                <w:b/>
                <w:bCs/>
                <w:color w:val="000000"/>
              </w:rPr>
              <w:t xml:space="preserve">Liczba uczniów objętych wsparciem w zakresie rozwijania kompetencji kluczowych lub umiejętności uniwersalnych w programie w 2017 r. osiągnął wartość 0, co wobec wartości z wykonania na 2021 r. (3620) stanowi 0%. </w:t>
            </w:r>
          </w:p>
          <w:p w14:paraId="140CF12A" w14:textId="4ABF2694" w:rsidR="006A169E" w:rsidRPr="003A6407" w:rsidRDefault="006A169E" w:rsidP="006A169E">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Mając na uwadze, że 2017 r. był trzecim rokiem wdrażania programu RPO WD, w ramach FEDS wartość pośrednią ustalono jako 0.</w:t>
            </w:r>
            <w:r w:rsidR="00C62918">
              <w:rPr>
                <w:rFonts w:asciiTheme="minorHAnsi" w:eastAsia="Calibri" w:hAnsiTheme="minorHAnsi" w:cstheme="minorHAnsi"/>
                <w:b/>
                <w:bCs/>
                <w:color w:val="000000"/>
              </w:rPr>
              <w:t xml:space="preserve"> Takie postępowanie potwierdza dodatkowo doświadczenie z perspektywy 2014-2020 polegające na zmianie wartości pośrednich przed przeglądem ram wykonania w tym obszarze.</w:t>
            </w:r>
          </w:p>
        </w:tc>
      </w:tr>
    </w:tbl>
    <w:p w14:paraId="0DCD2437" w14:textId="77777777" w:rsidR="009A0C2A" w:rsidRPr="003A6407" w:rsidRDefault="009A0C2A"/>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14CD55D6" w14:textId="77777777" w:rsidTr="00270B09">
        <w:trPr>
          <w:cantSplit/>
          <w:trHeight w:val="1647"/>
        </w:trPr>
        <w:tc>
          <w:tcPr>
            <w:tcW w:w="451" w:type="pct"/>
            <w:shd w:val="clear" w:color="auto" w:fill="auto"/>
            <w:vAlign w:val="center"/>
          </w:tcPr>
          <w:p w14:paraId="16F516B8"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537554F4"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5748F2C0"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24958EFC"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189B2E38" w14:textId="77777777" w:rsidR="009A0C2A" w:rsidRPr="003A6407" w:rsidRDefault="009A0C2A"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1448D790"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49827226"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2C61F68B"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453C0B10"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2B81331D"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1692B242"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9A0C2A" w:rsidRPr="003A6407" w14:paraId="105A4300" w14:textId="77777777" w:rsidTr="00270B09">
        <w:trPr>
          <w:trHeight w:val="340"/>
        </w:trPr>
        <w:tc>
          <w:tcPr>
            <w:tcW w:w="451" w:type="pct"/>
            <w:shd w:val="clear" w:color="auto" w:fill="auto"/>
            <w:vAlign w:val="center"/>
          </w:tcPr>
          <w:p w14:paraId="5883F9FA" w14:textId="77777777" w:rsidR="009A0C2A" w:rsidRDefault="009A0C2A"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2462ADA3" w14:textId="458DC7D9"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494" w:type="pct"/>
            <w:shd w:val="clear" w:color="auto" w:fill="auto"/>
            <w:vAlign w:val="center"/>
          </w:tcPr>
          <w:p w14:paraId="78AC1736"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7D035A04"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04A13EC6" w14:textId="36E54457" w:rsidR="009A0C2A" w:rsidRPr="003A6407" w:rsidRDefault="009A0C2A"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PLFCO 05</w:t>
            </w:r>
          </w:p>
        </w:tc>
        <w:tc>
          <w:tcPr>
            <w:tcW w:w="1411" w:type="pct"/>
            <w:shd w:val="clear" w:color="auto" w:fill="auto"/>
            <w:vAlign w:val="center"/>
          </w:tcPr>
          <w:p w14:paraId="38F1D406" w14:textId="0BDCE69B" w:rsidR="009A0C2A" w:rsidRPr="003A6407" w:rsidRDefault="009A0C2A" w:rsidP="00270B09">
            <w:pPr>
              <w:keepNext/>
              <w:keepLines/>
              <w:spacing w:before="200" w:after="0"/>
              <w:jc w:val="center"/>
              <w:outlineLvl w:val="2"/>
              <w:rPr>
                <w:rFonts w:asciiTheme="minorHAnsi" w:eastAsia="Calibri" w:hAnsiTheme="minorHAnsi" w:cstheme="minorHAnsi"/>
                <w:noProof/>
                <w:sz w:val="16"/>
                <w:szCs w:val="16"/>
              </w:rPr>
            </w:pPr>
            <w:bookmarkStart w:id="371" w:name="_Toc120464511"/>
            <w:r w:rsidRPr="003A6407">
              <w:rPr>
                <w:rFonts w:asciiTheme="minorHAnsi" w:eastAsia="Times New Roman" w:hAnsiTheme="minorHAnsi" w:cstheme="minorHAnsi"/>
                <w:bCs/>
                <w:noProof/>
                <w:sz w:val="16"/>
                <w:szCs w:val="16"/>
              </w:rPr>
              <w:t>Liczba uczniów szkół i placówek kształcenia zawodowego uczestniczących w stażach uczniowskich</w:t>
            </w:r>
            <w:bookmarkEnd w:id="371"/>
          </w:p>
        </w:tc>
        <w:tc>
          <w:tcPr>
            <w:tcW w:w="549" w:type="pct"/>
            <w:shd w:val="clear" w:color="auto" w:fill="auto"/>
            <w:vAlign w:val="center"/>
          </w:tcPr>
          <w:p w14:paraId="305FB675" w14:textId="77777777" w:rsidR="009A0C2A" w:rsidRPr="003A6407" w:rsidRDefault="009A0C2A"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62E77CE5" w14:textId="3F5B2694" w:rsidR="009A0C2A" w:rsidRPr="003A6407" w:rsidRDefault="009A0C2A"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550" w:type="pct"/>
            <w:shd w:val="clear" w:color="auto" w:fill="auto"/>
            <w:vAlign w:val="center"/>
          </w:tcPr>
          <w:p w14:paraId="65AF4796" w14:textId="0D380E9A" w:rsidR="009A0C2A" w:rsidRPr="003A6407" w:rsidRDefault="007D0201"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 xml:space="preserve">5 819    </w:t>
            </w:r>
          </w:p>
        </w:tc>
      </w:tr>
      <w:tr w:rsidR="009A0C2A" w:rsidRPr="003A6407" w14:paraId="324E1A5B" w14:textId="77777777" w:rsidTr="00270B09">
        <w:trPr>
          <w:trHeight w:val="340"/>
        </w:trPr>
        <w:tc>
          <w:tcPr>
            <w:tcW w:w="5000" w:type="pct"/>
            <w:gridSpan w:val="8"/>
            <w:shd w:val="clear" w:color="auto" w:fill="auto"/>
          </w:tcPr>
          <w:p w14:paraId="71C913FD" w14:textId="77777777"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4A10CB91" w14:textId="77777777"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015E60DB" w14:textId="77777777" w:rsidR="009A0C2A" w:rsidRPr="003A6407" w:rsidRDefault="009A0C2A" w:rsidP="00270B09">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149 Wsparcie na rzecz szkolnictwa podstawowego i średniego (z wyłączeniem infrastruktury)</w:t>
            </w:r>
            <w:r w:rsidRPr="003A6407">
              <w:rPr>
                <w:rFonts w:asciiTheme="minorHAnsi" w:eastAsia="Calibri" w:hAnsiTheme="minorHAnsi" w:cstheme="minorHAnsi"/>
              </w:rPr>
              <w:br/>
              <w:t>(62 892 204 EUR/279 870 307,8 PLN);</w:t>
            </w:r>
          </w:p>
          <w:p w14:paraId="1CB6699C" w14:textId="609D24BB"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Zakłada się, że 25% alokacji kodu przeznaczone będzie na realizację interwencji wskaźnikowej czyli na projekty z zakresu staży uczniowskich placówek systemu oświaty prowadzących kształcenie zawodowe.</w:t>
            </w:r>
          </w:p>
          <w:p w14:paraId="1CFE340E" w14:textId="72FE15FA"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62 892 204 EUR*25% =  15 723 051 EUR</w:t>
            </w:r>
          </w:p>
          <w:p w14:paraId="5F1FCCC5" w14:textId="2143E363"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kurs EUR na poziomie 4,45 suma alokacji na realizację wskaźnika wynosi  69 967 576,95 PLN.</w:t>
            </w:r>
          </w:p>
          <w:p w14:paraId="61FF954B" w14:textId="036B6E7B"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Historyczny koszt jednostkowy na bazie doświadczeń z perspektywy 2014-2020 wynosi 10</w:t>
            </w:r>
            <w:r w:rsidR="007D0201" w:rsidRPr="003A6407">
              <w:rPr>
                <w:rFonts w:asciiTheme="minorHAnsi" w:eastAsia="Calibri" w:hAnsiTheme="minorHAnsi" w:cstheme="minorHAnsi"/>
              </w:rPr>
              <w:t> 008,13</w:t>
            </w:r>
            <w:r w:rsidRPr="003A6407">
              <w:rPr>
                <w:rFonts w:asciiTheme="minorHAnsi" w:eastAsia="Calibri" w:hAnsiTheme="minorHAnsi" w:cstheme="minorHAnsi"/>
              </w:rPr>
              <w:t xml:space="preserve"> PLN. Koszt jednostkowy został skorygowany w oparciu o wartość inflacji na poziomie 15% i wynosi </w:t>
            </w:r>
            <w:r w:rsidR="007D0201" w:rsidRPr="003A6407">
              <w:rPr>
                <w:rFonts w:asciiTheme="minorHAnsi" w:eastAsia="Calibri" w:hAnsiTheme="minorHAnsi" w:cstheme="minorHAnsi"/>
              </w:rPr>
              <w:t xml:space="preserve"> 11 509,35 </w:t>
            </w:r>
            <w:r w:rsidRPr="003A6407">
              <w:rPr>
                <w:rFonts w:asciiTheme="minorHAnsi" w:eastAsia="Calibri" w:hAnsiTheme="minorHAnsi" w:cstheme="minorHAnsi"/>
              </w:rPr>
              <w:t xml:space="preserve">PLN, a obniżony do wartości dofinansowania na poziomie 70% wynosi </w:t>
            </w:r>
            <w:r w:rsidR="007D0201" w:rsidRPr="003A6407">
              <w:rPr>
                <w:rFonts w:asciiTheme="minorHAnsi" w:eastAsia="Calibri" w:hAnsiTheme="minorHAnsi" w:cstheme="minorHAnsi"/>
              </w:rPr>
              <w:t xml:space="preserve"> 8 056,54 </w:t>
            </w:r>
            <w:r w:rsidRPr="003A6407">
              <w:rPr>
                <w:rFonts w:asciiTheme="minorHAnsi" w:eastAsia="Calibri" w:hAnsiTheme="minorHAnsi" w:cstheme="minorHAnsi"/>
              </w:rPr>
              <w:t xml:space="preserve">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250F39CF" w14:textId="77777777"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[(2*3)+(6*25)+(3*68)]/11 = 32,73%. Wartość zaokrąglono do pełnej wartości 33%. </w:t>
            </w:r>
          </w:p>
          <w:p w14:paraId="542992B0" w14:textId="77777777" w:rsidR="009A0C2A" w:rsidRPr="003A6407" w:rsidRDefault="009A0C2A"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59ED57A2" w14:textId="1AFF4EE5" w:rsidR="009A0C2A" w:rsidRPr="003A6407" w:rsidRDefault="007D0201"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69 967 576,95 </w:t>
            </w:r>
            <w:r w:rsidR="009A0C2A" w:rsidRPr="003A6407">
              <w:rPr>
                <w:rFonts w:asciiTheme="minorHAnsi" w:eastAsia="Calibri" w:hAnsiTheme="minorHAnsi" w:cstheme="minorHAnsi"/>
              </w:rPr>
              <w:t xml:space="preserve">/ </w:t>
            </w:r>
            <w:r w:rsidRPr="003A6407">
              <w:rPr>
                <w:rFonts w:asciiTheme="minorHAnsi" w:eastAsia="Calibri" w:hAnsiTheme="minorHAnsi" w:cstheme="minorHAnsi"/>
              </w:rPr>
              <w:t xml:space="preserve">8 056,54 </w:t>
            </w:r>
            <w:r w:rsidR="009A0C2A" w:rsidRPr="003A6407">
              <w:rPr>
                <w:rFonts w:asciiTheme="minorHAnsi" w:eastAsia="Calibri" w:hAnsiTheme="minorHAnsi" w:cstheme="minorHAnsi"/>
              </w:rPr>
              <w:t xml:space="preserve">* (1-0,33) =  </w:t>
            </w:r>
            <w:r w:rsidRPr="003A6407">
              <w:rPr>
                <w:rFonts w:asciiTheme="minorHAnsi" w:eastAsia="Calibri" w:hAnsiTheme="minorHAnsi" w:cstheme="minorHAnsi"/>
              </w:rPr>
              <w:t xml:space="preserve"> 5 819    </w:t>
            </w:r>
            <w:r w:rsidR="009A0C2A" w:rsidRPr="003A6407">
              <w:rPr>
                <w:rFonts w:asciiTheme="minorHAnsi" w:eastAsia="Calibri" w:hAnsiTheme="minorHAnsi" w:cstheme="minorHAnsi"/>
              </w:rPr>
              <w:t>osób.</w:t>
            </w:r>
          </w:p>
          <w:p w14:paraId="0147B8B3" w14:textId="77777777" w:rsidR="009A0C2A" w:rsidRPr="003A6407" w:rsidRDefault="009A0C2A"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37854C26" w14:textId="4CDF3104" w:rsidR="009A0C2A" w:rsidRPr="001B0178" w:rsidRDefault="009A0C2A">
            <w:pPr>
              <w:pStyle w:val="Akapitzlist"/>
              <w:numPr>
                <w:ilvl w:val="0"/>
                <w:numId w:val="87"/>
              </w:numPr>
              <w:shd w:val="clear" w:color="auto" w:fill="FFFFFF"/>
              <w:spacing w:before="60" w:after="60" w:line="240" w:lineRule="auto"/>
              <w:jc w:val="both"/>
              <w:rPr>
                <w:rFonts w:asciiTheme="minorHAnsi" w:eastAsia="Calibri" w:hAnsiTheme="minorHAnsi" w:cstheme="minorHAnsi"/>
                <w:color w:val="000000"/>
              </w:rPr>
            </w:pPr>
            <w:r w:rsidRPr="001B0178">
              <w:rPr>
                <w:rFonts w:asciiTheme="minorHAnsi" w:eastAsia="Calibri" w:hAnsiTheme="minorHAnsi" w:cstheme="minorHAnsi"/>
                <w:b/>
                <w:color w:val="000000"/>
              </w:rPr>
              <w:t>ryzyko walutowe</w:t>
            </w:r>
            <w:r w:rsidRPr="001B0178">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0FC70C39" w14:textId="5FCB25A8" w:rsidR="009A0C2A" w:rsidRPr="001B0178" w:rsidRDefault="009A0C2A">
            <w:pPr>
              <w:pStyle w:val="Akapitzlist"/>
              <w:numPr>
                <w:ilvl w:val="0"/>
                <w:numId w:val="87"/>
              </w:numPr>
              <w:shd w:val="clear" w:color="auto" w:fill="FFFFFF"/>
              <w:spacing w:before="60" w:after="60" w:line="240" w:lineRule="auto"/>
              <w:jc w:val="both"/>
              <w:rPr>
                <w:rFonts w:asciiTheme="minorHAnsi" w:eastAsia="Calibri" w:hAnsiTheme="minorHAnsi" w:cstheme="minorHAnsi"/>
                <w:color w:val="000000"/>
              </w:rPr>
            </w:pPr>
            <w:r w:rsidRPr="001B0178">
              <w:rPr>
                <w:rFonts w:asciiTheme="minorHAnsi" w:eastAsia="Calibri" w:hAnsiTheme="minorHAnsi" w:cstheme="minorHAnsi"/>
                <w:b/>
                <w:color w:val="000000"/>
              </w:rPr>
              <w:t>zawieszenie płatności przez KE dla danej osi priorytetowej</w:t>
            </w:r>
            <w:r w:rsidRPr="001B0178">
              <w:rPr>
                <w:rFonts w:asciiTheme="minorHAnsi" w:eastAsia="Calibri" w:hAnsiTheme="minorHAnsi" w:cstheme="minorHAnsi"/>
                <w:color w:val="000000"/>
              </w:rPr>
              <w:t>; (istotność: umiarkowana)</w:t>
            </w:r>
          </w:p>
          <w:p w14:paraId="622CB169" w14:textId="77777777" w:rsidR="009A0C2A" w:rsidRPr="003A6407" w:rsidRDefault="009A0C2A">
            <w:pPr>
              <w:numPr>
                <w:ilvl w:val="0"/>
                <w:numId w:val="87"/>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lastRenderedPageBreak/>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679EE6A7" w14:textId="77777777" w:rsidR="009A0C2A" w:rsidRPr="003A6407" w:rsidRDefault="009A0C2A">
            <w:pPr>
              <w:numPr>
                <w:ilvl w:val="0"/>
                <w:numId w:val="87"/>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560388E1" w14:textId="77777777" w:rsidR="009A0C2A" w:rsidRPr="003A6407" w:rsidRDefault="009A0C2A">
            <w:pPr>
              <w:numPr>
                <w:ilvl w:val="0"/>
                <w:numId w:val="87"/>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60A71560" w14:textId="77777777" w:rsidR="009A0C2A" w:rsidRPr="003A6407" w:rsidRDefault="009A0C2A">
            <w:pPr>
              <w:numPr>
                <w:ilvl w:val="0"/>
                <w:numId w:val="87"/>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4EBE476" w14:textId="77777777" w:rsidR="009A0C2A" w:rsidRPr="003A6407" w:rsidRDefault="009A0C2A"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68A83B83" w14:textId="77777777" w:rsidR="009A0C2A" w:rsidRPr="003A6407" w:rsidRDefault="009A0C2A">
            <w:pPr>
              <w:numPr>
                <w:ilvl w:val="0"/>
                <w:numId w:val="8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18FFF6B8" w14:textId="77777777" w:rsidR="009A0C2A" w:rsidRPr="003A6407" w:rsidRDefault="009A0C2A">
            <w:pPr>
              <w:numPr>
                <w:ilvl w:val="0"/>
                <w:numId w:val="8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2EA8BA6D" w14:textId="77777777" w:rsidR="009A0C2A" w:rsidRPr="003A6407" w:rsidRDefault="009A0C2A">
            <w:pPr>
              <w:numPr>
                <w:ilvl w:val="0"/>
                <w:numId w:val="8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1A04A950" w14:textId="77777777" w:rsidR="009A0C2A" w:rsidRPr="003A6407" w:rsidRDefault="009A0C2A">
            <w:pPr>
              <w:numPr>
                <w:ilvl w:val="0"/>
                <w:numId w:val="8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3FE02101" w14:textId="77777777" w:rsidR="009A0C2A" w:rsidRPr="003A6407" w:rsidRDefault="009A0C2A">
            <w:pPr>
              <w:numPr>
                <w:ilvl w:val="0"/>
                <w:numId w:val="87"/>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145EED05" w14:textId="77777777" w:rsidR="009A0C2A" w:rsidRPr="003A6407" w:rsidRDefault="009A0C2A" w:rsidP="00270B09">
            <w:pPr>
              <w:spacing w:after="0" w:line="240" w:lineRule="auto"/>
              <w:contextualSpacing/>
              <w:jc w:val="both"/>
              <w:rPr>
                <w:rFonts w:asciiTheme="minorHAnsi" w:eastAsia="Calibri" w:hAnsiTheme="minorHAnsi" w:cstheme="minorHAnsi"/>
                <w:color w:val="000000"/>
              </w:rPr>
            </w:pPr>
          </w:p>
          <w:p w14:paraId="18B7A180" w14:textId="77777777" w:rsidR="009A0C2A" w:rsidRPr="003A6407" w:rsidRDefault="009A0C2A" w:rsidP="00270B09">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57BB6651" w14:textId="77777777" w:rsidR="009A0C2A" w:rsidRPr="003A6407" w:rsidRDefault="009A0C2A" w:rsidP="00270B09">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iv), na podstawie Sprawozdania rocznego z 2021 r. dla projektów o podobnym zakresie wsparcia. Biorąc pod uwagę termin zatwierdzenia programu nie jest możliwe wskazanie celu pośredniego innego niż 0 ponieważ faktycznie nie będzie mogło to być spełnione. </w:t>
            </w:r>
          </w:p>
          <w:p w14:paraId="4B5121D1" w14:textId="234F6D6E" w:rsidR="009A0C2A" w:rsidRPr="003A6407" w:rsidRDefault="009A0C2A" w:rsidP="00270B09">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w:t>
            </w:r>
            <w:r w:rsidR="007D0201" w:rsidRPr="003A6407">
              <w:rPr>
                <w:rFonts w:asciiTheme="minorHAnsi" w:eastAsia="Calibri" w:hAnsiTheme="minorHAnsi" w:cstheme="minorHAnsi"/>
                <w:b/>
                <w:bCs/>
                <w:color w:val="000000"/>
              </w:rPr>
              <w:t xml:space="preserve">Liczba uczniów szkół i placówek kształcenia zawodowego uczestniczących w stażach i praktykach u pracodawcy </w:t>
            </w:r>
            <w:r w:rsidRPr="003A6407">
              <w:rPr>
                <w:rFonts w:asciiTheme="minorHAnsi" w:eastAsia="Calibri" w:hAnsiTheme="minorHAnsi" w:cstheme="minorHAnsi"/>
                <w:b/>
                <w:bCs/>
                <w:color w:val="000000"/>
              </w:rPr>
              <w:t>w programie w 2017 r. osiągnął wartość</w:t>
            </w:r>
            <w:r w:rsidR="00863FC3" w:rsidRPr="003A6407">
              <w:rPr>
                <w:rFonts w:asciiTheme="minorHAnsi" w:eastAsia="Calibri" w:hAnsiTheme="minorHAnsi" w:cstheme="minorHAnsi"/>
                <w:b/>
                <w:bCs/>
                <w:color w:val="000000"/>
              </w:rPr>
              <w:t xml:space="preserve"> 702</w:t>
            </w:r>
            <w:r w:rsidRPr="003A6407">
              <w:rPr>
                <w:rFonts w:asciiTheme="minorHAnsi" w:eastAsia="Calibri" w:hAnsiTheme="minorHAnsi" w:cstheme="minorHAnsi"/>
                <w:b/>
                <w:bCs/>
                <w:color w:val="000000"/>
              </w:rPr>
              <w:t>, co wobec wartości z wykonania na 2021 r. (</w:t>
            </w:r>
            <w:r w:rsidR="00863FC3" w:rsidRPr="003A6407">
              <w:rPr>
                <w:rFonts w:asciiTheme="minorHAnsi" w:eastAsia="Calibri" w:hAnsiTheme="minorHAnsi" w:cstheme="minorHAnsi"/>
                <w:b/>
                <w:bCs/>
                <w:color w:val="000000"/>
              </w:rPr>
              <w:t>16 979</w:t>
            </w:r>
            <w:r w:rsidRPr="003A6407">
              <w:rPr>
                <w:rFonts w:asciiTheme="minorHAnsi" w:eastAsia="Calibri" w:hAnsiTheme="minorHAnsi" w:cstheme="minorHAnsi"/>
                <w:b/>
                <w:bCs/>
                <w:color w:val="000000"/>
              </w:rPr>
              <w:t xml:space="preserve">) stanowi </w:t>
            </w:r>
            <w:r w:rsidR="00863FC3" w:rsidRPr="003A6407">
              <w:rPr>
                <w:rFonts w:asciiTheme="minorHAnsi" w:eastAsia="Calibri" w:hAnsiTheme="minorHAnsi" w:cstheme="minorHAnsi"/>
                <w:b/>
                <w:bCs/>
                <w:color w:val="000000"/>
              </w:rPr>
              <w:t>4,13</w:t>
            </w:r>
            <w:r w:rsidRPr="003A6407">
              <w:rPr>
                <w:rFonts w:asciiTheme="minorHAnsi" w:eastAsia="Calibri" w:hAnsiTheme="minorHAnsi" w:cstheme="minorHAnsi"/>
                <w:b/>
                <w:bCs/>
                <w:color w:val="000000"/>
              </w:rPr>
              <w:t xml:space="preserve">%. </w:t>
            </w:r>
          </w:p>
          <w:p w14:paraId="028B3A74" w14:textId="7D4F7B3F" w:rsidR="009A0C2A" w:rsidRPr="003A6407" w:rsidRDefault="009A0C2A" w:rsidP="00270B09">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Mając na uwadze, że 2017 r. był trzecim rokiem wdrażania programu RPO WD, w ramach FEDS wartość pośrednią ustalono jako 0.</w:t>
            </w:r>
            <w:r w:rsidR="00C62918">
              <w:t xml:space="preserve"> </w:t>
            </w:r>
            <w:r w:rsidR="00C62918" w:rsidRPr="00C62918">
              <w:rPr>
                <w:rFonts w:asciiTheme="minorHAnsi" w:eastAsia="Calibri" w:hAnsiTheme="minorHAnsi" w:cstheme="minorHAnsi"/>
                <w:b/>
                <w:bCs/>
                <w:color w:val="000000"/>
              </w:rPr>
              <w:t>Takie postępowanie potwierdza dodatkowo doświadczenie z perspektywy 2014-2020 polegające na zmianie wartości pośrednich przed przeglądem ram wykonania w tym obszarze</w:t>
            </w:r>
            <w:r w:rsidR="00C62918">
              <w:rPr>
                <w:rFonts w:asciiTheme="minorHAnsi" w:eastAsia="Calibri" w:hAnsiTheme="minorHAnsi" w:cstheme="minorHAnsi"/>
                <w:b/>
                <w:bCs/>
                <w:color w:val="000000"/>
              </w:rPr>
              <w:t>.</w:t>
            </w:r>
          </w:p>
        </w:tc>
      </w:tr>
    </w:tbl>
    <w:p w14:paraId="5FE1C58F" w14:textId="77777777" w:rsidR="00BA4C5C" w:rsidRPr="003A6407" w:rsidRDefault="00BA4C5C" w:rsidP="00111D88">
      <w:pPr>
        <w:pStyle w:val="Nagwek2"/>
        <w:spacing w:after="200"/>
        <w:rPr>
          <w:rFonts w:asciiTheme="minorHAnsi" w:eastAsia="Times New Roman" w:hAnsiTheme="minorHAnsi" w:cstheme="minorHAnsi"/>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99454EA" w14:textId="77777777" w:rsidTr="00270B09">
        <w:trPr>
          <w:cantSplit/>
          <w:trHeight w:val="1647"/>
        </w:trPr>
        <w:tc>
          <w:tcPr>
            <w:tcW w:w="451" w:type="pct"/>
            <w:shd w:val="clear" w:color="auto" w:fill="auto"/>
            <w:vAlign w:val="center"/>
          </w:tcPr>
          <w:p w14:paraId="7364EDB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1FF8AF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43834D0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1F2F8FF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7EB3CA74"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526AB36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627192F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3A1F128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55176D6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7ECC315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A8E20F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191FE2" w:rsidRPr="003A6407" w14:paraId="6B70E35E" w14:textId="77777777" w:rsidTr="00270B09">
        <w:trPr>
          <w:trHeight w:val="340"/>
        </w:trPr>
        <w:tc>
          <w:tcPr>
            <w:tcW w:w="451" w:type="pct"/>
            <w:shd w:val="clear" w:color="auto" w:fill="auto"/>
            <w:vAlign w:val="center"/>
          </w:tcPr>
          <w:p w14:paraId="179F62C3"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0A8A681B" w14:textId="578EF120"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494" w:type="pct"/>
            <w:shd w:val="clear" w:color="auto" w:fill="auto"/>
            <w:vAlign w:val="center"/>
          </w:tcPr>
          <w:p w14:paraId="7AC8982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7C81901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1181BBA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PLFCO 06</w:t>
            </w:r>
          </w:p>
        </w:tc>
        <w:tc>
          <w:tcPr>
            <w:tcW w:w="1411" w:type="pct"/>
            <w:shd w:val="clear" w:color="auto" w:fill="auto"/>
            <w:vAlign w:val="center"/>
          </w:tcPr>
          <w:p w14:paraId="39094598"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372" w:name="_Toc120464512"/>
            <w:r w:rsidRPr="003A6407">
              <w:rPr>
                <w:rFonts w:asciiTheme="minorHAnsi" w:eastAsia="Times New Roman" w:hAnsiTheme="minorHAnsi" w:cstheme="minorHAnsi"/>
                <w:sz w:val="16"/>
                <w:szCs w:val="16"/>
              </w:rPr>
              <w:t>Liczba przedstawicieli kadry szkół i placówek systemu oświaty objętych wsparciem</w:t>
            </w:r>
            <w:bookmarkEnd w:id="372"/>
          </w:p>
        </w:tc>
        <w:tc>
          <w:tcPr>
            <w:tcW w:w="549" w:type="pct"/>
            <w:shd w:val="clear" w:color="auto" w:fill="auto"/>
            <w:vAlign w:val="center"/>
          </w:tcPr>
          <w:p w14:paraId="33BFB41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5C6C57A1" w14:textId="6B3F8CA4" w:rsidR="00BA4C5C" w:rsidRPr="003A6407" w:rsidRDefault="00985E40"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32</w:t>
            </w:r>
            <w:r w:rsidR="003B55F7" w:rsidRPr="003A6407">
              <w:rPr>
                <w:rFonts w:asciiTheme="minorHAnsi" w:eastAsia="Calibri" w:hAnsiTheme="minorHAnsi" w:cstheme="minorHAnsi"/>
                <w:noProof/>
                <w:sz w:val="16"/>
                <w:szCs w:val="16"/>
              </w:rPr>
              <w:t>,00</w:t>
            </w:r>
          </w:p>
        </w:tc>
        <w:tc>
          <w:tcPr>
            <w:tcW w:w="550" w:type="pct"/>
            <w:shd w:val="clear" w:color="auto" w:fill="auto"/>
            <w:vAlign w:val="center"/>
          </w:tcPr>
          <w:p w14:paraId="436A98B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520,00</w:t>
            </w:r>
          </w:p>
        </w:tc>
      </w:tr>
      <w:tr w:rsidR="00BA4C5C" w:rsidRPr="003A6407" w14:paraId="7EAED856" w14:textId="77777777" w:rsidTr="00270B09">
        <w:trPr>
          <w:trHeight w:val="340"/>
        </w:trPr>
        <w:tc>
          <w:tcPr>
            <w:tcW w:w="5000" w:type="pct"/>
            <w:gridSpan w:val="8"/>
            <w:shd w:val="clear" w:color="auto" w:fill="auto"/>
          </w:tcPr>
          <w:p w14:paraId="64CF6CE8"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0491DF85"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6B389F9F" w14:textId="77777777" w:rsidR="00BA4C5C" w:rsidRPr="003A6407" w:rsidRDefault="00BA4C5C" w:rsidP="00852D66">
            <w:pPr>
              <w:pStyle w:val="Akapitzlist"/>
              <w:numPr>
                <w:ilvl w:val="0"/>
                <w:numId w:val="12"/>
              </w:num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148 Wsparcie na rzecz wczesnej edukacji i opieki nad dzieckiem (z wyłączeniem infrastruktury) </w:t>
            </w:r>
          </w:p>
          <w:p w14:paraId="76507A57" w14:textId="77777777" w:rsidR="00BA4C5C" w:rsidRPr="003A6407" w:rsidRDefault="00BA4C5C" w:rsidP="00852D66">
            <w:pPr>
              <w:shd w:val="clear" w:color="auto" w:fill="FFFFFF"/>
              <w:spacing w:before="60" w:after="60" w:line="240" w:lineRule="auto"/>
              <w:ind w:left="410"/>
              <w:jc w:val="both"/>
              <w:rPr>
                <w:rFonts w:asciiTheme="minorHAnsi" w:eastAsia="Calibri" w:hAnsiTheme="minorHAnsi" w:cstheme="minorHAnsi"/>
              </w:rPr>
            </w:pPr>
            <w:r w:rsidRPr="003A6407">
              <w:rPr>
                <w:rFonts w:asciiTheme="minorHAnsi" w:eastAsia="Calibri" w:hAnsiTheme="minorHAnsi" w:cstheme="minorHAnsi"/>
              </w:rPr>
              <w:t>(19 297 401 EUR/85 873 434,5 PLN);</w:t>
            </w:r>
          </w:p>
          <w:p w14:paraId="087244E2" w14:textId="77777777" w:rsidR="00BA4C5C" w:rsidRPr="003A6407" w:rsidRDefault="00BA4C5C" w:rsidP="004868C1">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149 Wsparcie na rzecz szkolnictwa podstawowego i średniego (z wyłączeniem infrastruktury)</w:t>
            </w:r>
          </w:p>
          <w:p w14:paraId="22C94D86" w14:textId="77777777" w:rsidR="00BA4C5C" w:rsidRPr="003A6407" w:rsidRDefault="00BA4C5C" w:rsidP="004868C1">
            <w:pPr>
              <w:shd w:val="clear" w:color="auto" w:fill="FFFFFF"/>
              <w:spacing w:before="60" w:after="60" w:line="240" w:lineRule="auto"/>
              <w:ind w:left="410"/>
              <w:contextualSpacing/>
              <w:jc w:val="both"/>
              <w:rPr>
                <w:rFonts w:asciiTheme="minorHAnsi" w:eastAsia="Calibri" w:hAnsiTheme="minorHAnsi" w:cstheme="minorHAnsi"/>
              </w:rPr>
            </w:pPr>
            <w:r w:rsidRPr="003A6407">
              <w:rPr>
                <w:rFonts w:asciiTheme="minorHAnsi" w:eastAsia="Calibri" w:hAnsiTheme="minorHAnsi" w:cstheme="minorHAnsi"/>
              </w:rPr>
              <w:t>(62 892 204 EUR/279 870 307,8 PLN);</w:t>
            </w:r>
          </w:p>
          <w:p w14:paraId="1FAFC2BB" w14:textId="77777777" w:rsidR="00BA4C5C" w:rsidRPr="003A6407" w:rsidRDefault="00BA4C5C" w:rsidP="004868C1">
            <w:pPr>
              <w:shd w:val="clear" w:color="auto" w:fill="FFFFFF"/>
              <w:spacing w:before="60" w:after="60" w:line="240" w:lineRule="auto"/>
              <w:ind w:left="410"/>
              <w:contextualSpacing/>
              <w:jc w:val="both"/>
              <w:rPr>
                <w:rFonts w:asciiTheme="minorHAnsi" w:eastAsia="Calibri" w:hAnsiTheme="minorHAnsi" w:cstheme="minorHAnsi"/>
              </w:rPr>
            </w:pPr>
          </w:p>
          <w:p w14:paraId="34CE4A7D" w14:textId="77777777" w:rsidR="00BA4C5C" w:rsidRPr="003A6407" w:rsidRDefault="00BA4C5C" w:rsidP="00852D66">
            <w:p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Zakłada się, że 10% alokacji kodu 148 oraz 10% alokacji kodu 149 realizuje wskaźnik:</w:t>
            </w:r>
          </w:p>
          <w:p w14:paraId="690C6CFB" w14:textId="77777777" w:rsidR="00BA4C5C" w:rsidRPr="003A6407" w:rsidRDefault="00BA4C5C" w:rsidP="00852D66">
            <w:p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19 297 401 x 10% + 62 892 204 x 10% = 8 218 960,5</w:t>
            </w:r>
          </w:p>
          <w:p w14:paraId="1CBDD5A4" w14:textId="77777777" w:rsidR="00BA4C5C" w:rsidRPr="003A6407" w:rsidRDefault="00BA4C5C" w:rsidP="004868C1">
            <w:pPr>
              <w:shd w:val="clear" w:color="auto" w:fill="FFFFFF"/>
              <w:spacing w:before="60" w:after="60" w:line="240" w:lineRule="auto"/>
              <w:ind w:left="770"/>
              <w:contextualSpacing/>
              <w:jc w:val="both"/>
              <w:rPr>
                <w:rFonts w:asciiTheme="minorHAnsi" w:eastAsia="Calibri" w:hAnsiTheme="minorHAnsi" w:cstheme="minorHAnsi"/>
              </w:rPr>
            </w:pPr>
          </w:p>
          <w:p w14:paraId="39B9C31B"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Biorąc pod uwagę kurs EUR na poziomie 4,45 suma alokacji na realizację wskaźnika wynosi 36 574 374,23 PLN.  </w:t>
            </w:r>
          </w:p>
          <w:p w14:paraId="267EA41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58 470,48 PLN.  Koszt jednostkowy został skorygowany w oparciu o wartość inflacji na poziomie 15% i wynosi  67 241,05 PLN, a obniżony do wartości dofinansowania na poziomie 70% wynosi  47 068,74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63692865"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[(2*3)+(6*25)+(3*68)]/11 = 32,73%. Wartość zaokrąglono do pełnej wartości 33%. </w:t>
            </w:r>
          </w:p>
          <w:p w14:paraId="543F8D1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2513D856"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36 574 374,23 /  47 068,74 * (1-0,33) = 520 osób.</w:t>
            </w:r>
          </w:p>
          <w:p w14:paraId="055F2B3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2F08C960" w14:textId="77777777" w:rsidR="00BA4C5C" w:rsidRPr="003A6407" w:rsidRDefault="00BA4C5C">
            <w:pPr>
              <w:numPr>
                <w:ilvl w:val="0"/>
                <w:numId w:val="8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7F2221CB" w14:textId="77777777" w:rsidR="00BA4C5C" w:rsidRPr="003A6407" w:rsidRDefault="00BA4C5C">
            <w:pPr>
              <w:numPr>
                <w:ilvl w:val="0"/>
                <w:numId w:val="8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5B77523E" w14:textId="77777777" w:rsidR="00BA4C5C" w:rsidRPr="003A6407" w:rsidRDefault="00BA4C5C">
            <w:pPr>
              <w:numPr>
                <w:ilvl w:val="0"/>
                <w:numId w:val="8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0B9B0B23" w14:textId="77777777" w:rsidR="00BA4C5C" w:rsidRPr="003A6407" w:rsidRDefault="00BA4C5C">
            <w:pPr>
              <w:numPr>
                <w:ilvl w:val="0"/>
                <w:numId w:val="81"/>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560705CB" w14:textId="77777777" w:rsidR="00BA4C5C" w:rsidRPr="003A6407" w:rsidRDefault="00BA4C5C">
            <w:pPr>
              <w:numPr>
                <w:ilvl w:val="0"/>
                <w:numId w:val="81"/>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667632E8" w14:textId="77777777" w:rsidR="00BA4C5C" w:rsidRPr="003A6407" w:rsidRDefault="00BA4C5C">
            <w:pPr>
              <w:numPr>
                <w:ilvl w:val="0"/>
                <w:numId w:val="81"/>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5F8BD947"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131B615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1C71492E" w14:textId="77777777" w:rsidR="00BA4C5C" w:rsidRPr="003A6407" w:rsidRDefault="00BA4C5C">
            <w:pPr>
              <w:numPr>
                <w:ilvl w:val="0"/>
                <w:numId w:val="8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lastRenderedPageBreak/>
              <w:t>możliwość reagowania na skutek dynamicznie zachodzących zmian sytuacji społeczno-gospodarczej</w:t>
            </w:r>
            <w:r w:rsidRPr="003A6407">
              <w:rPr>
                <w:rFonts w:asciiTheme="minorHAnsi" w:eastAsia="Calibri" w:hAnsiTheme="minorHAnsi" w:cstheme="minorHAnsi"/>
                <w:color w:val="000000"/>
              </w:rPr>
              <w:t xml:space="preserve">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41111AA4" w14:textId="77777777" w:rsidR="00BA4C5C" w:rsidRPr="003A6407" w:rsidRDefault="00BA4C5C">
            <w:pPr>
              <w:numPr>
                <w:ilvl w:val="0"/>
                <w:numId w:val="8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837D082" w14:textId="77777777" w:rsidR="00BA4C5C" w:rsidRPr="003A6407" w:rsidRDefault="00BA4C5C">
            <w:pPr>
              <w:numPr>
                <w:ilvl w:val="0"/>
                <w:numId w:val="8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2046D748" w14:textId="77777777" w:rsidR="00BA4C5C" w:rsidRPr="003A6407" w:rsidRDefault="00BA4C5C">
            <w:pPr>
              <w:numPr>
                <w:ilvl w:val="0"/>
                <w:numId w:val="8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3BB8A48E" w14:textId="77777777" w:rsidR="00BA4C5C" w:rsidRPr="003A6407" w:rsidRDefault="00BA4C5C">
            <w:pPr>
              <w:numPr>
                <w:ilvl w:val="0"/>
                <w:numId w:val="80"/>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172B5725" w14:textId="77777777" w:rsidR="00EC0513" w:rsidRPr="003A6407" w:rsidRDefault="00EC0513" w:rsidP="00EC0513">
            <w:pPr>
              <w:spacing w:after="0" w:line="240" w:lineRule="auto"/>
              <w:contextualSpacing/>
              <w:jc w:val="both"/>
              <w:rPr>
                <w:rFonts w:asciiTheme="minorHAnsi" w:eastAsia="Calibri" w:hAnsiTheme="minorHAnsi" w:cstheme="minorHAnsi"/>
                <w:color w:val="000000"/>
              </w:rPr>
            </w:pPr>
          </w:p>
          <w:p w14:paraId="74BAE707" w14:textId="77777777" w:rsidR="00EC0513" w:rsidRPr="003A6407" w:rsidRDefault="00EC0513" w:rsidP="00EC0513">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336F72F9" w14:textId="04FB66EB" w:rsidR="00EC0513" w:rsidRPr="003A6407" w:rsidRDefault="00EC0513" w:rsidP="00EC0513">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 na podstawie Sprawozdania rocznego z 2021 r. dla projektów o podobnym zakresie wsparcia. </w:t>
            </w:r>
          </w:p>
          <w:p w14:paraId="559A89F4" w14:textId="40A2CE5F" w:rsidR="00EC0513" w:rsidRPr="003A6407" w:rsidRDefault="00EC0513" w:rsidP="00EC0513">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nauczycieli objętych wsparciem w programie dopiero w 2017 r. osiągnął wartość 2 060, co wobec wartości z wykonania na 2021 r. (11 123) stanowi zaledwie 18,52%. </w:t>
            </w:r>
          </w:p>
          <w:p w14:paraId="40D3DDD1" w14:textId="6B068483" w:rsidR="00210AB7" w:rsidRPr="003A6407" w:rsidRDefault="00210AB7" w:rsidP="00EC0513">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Wobec powyższego dla wartości pośredniej wskaźnika zastosowano tożsamy wskaźnik kompensacji w wysokości 33%. tj. wartość pośrednia będzie równa  </w:t>
            </w:r>
            <w:r w:rsidR="00985E40" w:rsidRPr="003A6407">
              <w:rPr>
                <w:rFonts w:asciiTheme="minorHAnsi" w:eastAsia="Calibri" w:hAnsiTheme="minorHAnsi" w:cstheme="minorHAnsi"/>
                <w:b/>
                <w:bCs/>
                <w:color w:val="000000"/>
              </w:rPr>
              <w:t>6,11</w:t>
            </w:r>
            <w:r w:rsidRPr="003A6407">
              <w:rPr>
                <w:rFonts w:asciiTheme="minorHAnsi" w:eastAsia="Calibri" w:hAnsiTheme="minorHAnsi" w:cstheme="minorHAnsi"/>
                <w:b/>
                <w:bCs/>
                <w:color w:val="000000"/>
              </w:rPr>
              <w:t xml:space="preserve"> % wartości docelowej i wyniesie </w:t>
            </w:r>
            <w:r w:rsidR="00985E40" w:rsidRPr="003A6407">
              <w:rPr>
                <w:rFonts w:asciiTheme="minorHAnsi" w:eastAsia="Calibri" w:hAnsiTheme="minorHAnsi" w:cstheme="minorHAnsi"/>
                <w:b/>
                <w:bCs/>
                <w:color w:val="000000"/>
              </w:rPr>
              <w:t>31,78</w:t>
            </w:r>
            <w:r w:rsidR="003956B5">
              <w:rPr>
                <w:rFonts w:asciiTheme="minorHAnsi" w:eastAsia="Calibri" w:hAnsiTheme="minorHAnsi" w:cstheme="minorHAnsi"/>
                <w:b/>
                <w:bCs/>
                <w:color w:val="000000"/>
              </w:rPr>
              <w:t xml:space="preserve"> (32)</w:t>
            </w:r>
            <w:r w:rsidRPr="003A6407">
              <w:rPr>
                <w:rFonts w:asciiTheme="minorHAnsi" w:eastAsia="Calibri" w:hAnsiTheme="minorHAnsi" w:cstheme="minorHAnsi"/>
                <w:b/>
                <w:bCs/>
                <w:color w:val="000000"/>
              </w:rPr>
              <w:t xml:space="preserve">.  </w:t>
            </w:r>
          </w:p>
          <w:p w14:paraId="58BDA6A4" w14:textId="076FF4E6" w:rsidR="00EC0513" w:rsidRPr="003A6407" w:rsidRDefault="00EC0513" w:rsidP="00EC0513">
            <w:pPr>
              <w:spacing w:after="0" w:line="240" w:lineRule="auto"/>
              <w:contextualSpacing/>
              <w:jc w:val="both"/>
              <w:rPr>
                <w:rFonts w:asciiTheme="minorHAnsi" w:eastAsia="Calibri" w:hAnsiTheme="minorHAnsi" w:cstheme="minorHAnsi"/>
                <w:color w:val="000000"/>
              </w:rPr>
            </w:pPr>
          </w:p>
        </w:tc>
      </w:tr>
    </w:tbl>
    <w:p w14:paraId="14AE57A0" w14:textId="77777777" w:rsidR="00BA4C5C" w:rsidRPr="003A6407" w:rsidRDefault="00BA4C5C" w:rsidP="00AE390E">
      <w:pPr>
        <w:rPr>
          <w:rFonts w:asciiTheme="minorHAnsi" w:hAnsiTheme="minorHAnsi" w:cstheme="minorHAnsi"/>
        </w:rPr>
      </w:pPr>
    </w:p>
    <w:p w14:paraId="7F645CAE" w14:textId="77777777" w:rsidR="00BA4C5C" w:rsidRPr="003A6407" w:rsidRDefault="00BA4C5C" w:rsidP="00111D88">
      <w:pPr>
        <w:pStyle w:val="Nagwek2"/>
        <w:spacing w:after="200"/>
        <w:rPr>
          <w:rFonts w:asciiTheme="minorHAnsi" w:eastAsia="Times New Roman" w:hAnsiTheme="minorHAnsi" w:cstheme="minorHAnsi"/>
        </w:rPr>
      </w:pPr>
      <w:bookmarkStart w:id="373" w:name="_Toc98189019"/>
      <w:bookmarkStart w:id="374" w:name="_Toc120464513"/>
      <w:r w:rsidRPr="003A6407">
        <w:rPr>
          <w:rFonts w:asciiTheme="minorHAnsi" w:eastAsia="Times New Roman" w:hAnsiTheme="minorHAnsi" w:cstheme="minorHAnsi"/>
        </w:rPr>
        <w:t>Wskaźniki rezultatu</w:t>
      </w:r>
      <w:bookmarkEnd w:id="373"/>
      <w:bookmarkEnd w:id="374"/>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071"/>
        <w:gridCol w:w="618"/>
        <w:gridCol w:w="739"/>
        <w:gridCol w:w="737"/>
        <w:gridCol w:w="736"/>
      </w:tblGrid>
      <w:tr w:rsidR="00191FE2" w:rsidRPr="003A6407" w14:paraId="32947335" w14:textId="77777777" w:rsidTr="00270B09">
        <w:trPr>
          <w:cantSplit/>
          <w:trHeight w:val="1647"/>
        </w:trPr>
        <w:tc>
          <w:tcPr>
            <w:tcW w:w="338" w:type="pct"/>
            <w:shd w:val="clear" w:color="auto" w:fill="auto"/>
            <w:vAlign w:val="center"/>
          </w:tcPr>
          <w:p w14:paraId="48446AF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3C81AA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2EB2ACB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1797D51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36D6EEE8"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6E98176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5BC7353E"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91" w:type="pct"/>
            <w:textDirection w:val="btLr"/>
            <w:vAlign w:val="center"/>
          </w:tcPr>
          <w:p w14:paraId="04526F8F"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341" w:type="pct"/>
            <w:shd w:val="clear" w:color="auto" w:fill="auto"/>
            <w:textDirection w:val="btLr"/>
            <w:vAlign w:val="center"/>
          </w:tcPr>
          <w:p w14:paraId="698E60DE"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8" w:type="pct"/>
            <w:shd w:val="clear" w:color="auto" w:fill="auto"/>
            <w:vAlign w:val="center"/>
          </w:tcPr>
          <w:p w14:paraId="16270D0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32B79F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65F3E4C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6" w:type="pct"/>
            <w:vAlign w:val="center"/>
          </w:tcPr>
          <w:p w14:paraId="589DA37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BA4C5C" w:rsidRPr="003A6407" w14:paraId="6F7AF92E" w14:textId="77777777" w:rsidTr="00270B09">
        <w:trPr>
          <w:trHeight w:val="340"/>
        </w:trPr>
        <w:tc>
          <w:tcPr>
            <w:tcW w:w="338" w:type="pct"/>
            <w:shd w:val="clear" w:color="auto" w:fill="auto"/>
            <w:vAlign w:val="center"/>
          </w:tcPr>
          <w:p w14:paraId="1E187B9A"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lastRenderedPageBreak/>
              <w:t>4 (f)</w:t>
            </w:r>
          </w:p>
          <w:p w14:paraId="04147879" w14:textId="6934899B"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367" w:type="pct"/>
            <w:shd w:val="clear" w:color="auto" w:fill="auto"/>
            <w:vAlign w:val="center"/>
          </w:tcPr>
          <w:p w14:paraId="205E609F"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5FAD831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1E8BB0B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PLFCR 01</w:t>
            </w:r>
          </w:p>
        </w:tc>
        <w:tc>
          <w:tcPr>
            <w:tcW w:w="1050" w:type="pct"/>
            <w:shd w:val="clear" w:color="auto" w:fill="auto"/>
            <w:vAlign w:val="center"/>
          </w:tcPr>
          <w:p w14:paraId="70078418" w14:textId="20CE9B05" w:rsidR="00BA4C5C" w:rsidRPr="003A6407" w:rsidRDefault="0094133E" w:rsidP="00270B09">
            <w:pPr>
              <w:keepNext/>
              <w:keepLines/>
              <w:spacing w:before="200" w:after="0"/>
              <w:jc w:val="center"/>
              <w:outlineLvl w:val="2"/>
              <w:rPr>
                <w:rFonts w:asciiTheme="minorHAnsi" w:eastAsia="Times New Roman" w:hAnsiTheme="minorHAnsi" w:cstheme="minorHAnsi"/>
                <w:bCs/>
                <w:noProof/>
                <w:sz w:val="16"/>
                <w:szCs w:val="16"/>
              </w:rPr>
            </w:pPr>
            <w:bookmarkStart w:id="375" w:name="_Toc98189020"/>
            <w:bookmarkStart w:id="376" w:name="_Toc120464514"/>
            <w:r w:rsidRPr="0094133E">
              <w:rPr>
                <w:rFonts w:asciiTheme="minorHAnsi" w:eastAsia="Times New Roman" w:hAnsiTheme="minorHAnsi" w:cstheme="minorHAnsi"/>
                <w:bCs/>
                <w:noProof/>
                <w:sz w:val="16"/>
                <w:szCs w:val="16"/>
              </w:rPr>
              <w:t>Liczba uczniów, którzy nabyli kwalifikacje lub kompetencje po opuszczeniu programu</w:t>
            </w:r>
            <w:bookmarkEnd w:id="375"/>
            <w:bookmarkEnd w:id="376"/>
          </w:p>
        </w:tc>
        <w:tc>
          <w:tcPr>
            <w:tcW w:w="409" w:type="pct"/>
            <w:shd w:val="clear" w:color="auto" w:fill="auto"/>
            <w:vAlign w:val="center"/>
          </w:tcPr>
          <w:p w14:paraId="6B63733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591" w:type="pct"/>
            <w:vAlign w:val="center"/>
          </w:tcPr>
          <w:p w14:paraId="614817C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341" w:type="pct"/>
            <w:shd w:val="clear" w:color="auto" w:fill="auto"/>
            <w:vAlign w:val="center"/>
          </w:tcPr>
          <w:p w14:paraId="25C48DC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8" w:type="pct"/>
            <w:shd w:val="clear" w:color="auto" w:fill="auto"/>
            <w:vAlign w:val="center"/>
          </w:tcPr>
          <w:p w14:paraId="007EC689" w14:textId="102F91AD"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23 441</w:t>
            </w:r>
          </w:p>
        </w:tc>
        <w:tc>
          <w:tcPr>
            <w:tcW w:w="407" w:type="pct"/>
            <w:vAlign w:val="center"/>
          </w:tcPr>
          <w:p w14:paraId="1A9329B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6" w:type="pct"/>
            <w:vAlign w:val="center"/>
          </w:tcPr>
          <w:p w14:paraId="1AB366C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768B06BC" w14:textId="77777777" w:rsidTr="00270B09">
        <w:trPr>
          <w:trHeight w:val="340"/>
        </w:trPr>
        <w:tc>
          <w:tcPr>
            <w:tcW w:w="5000" w:type="pct"/>
            <w:gridSpan w:val="11"/>
          </w:tcPr>
          <w:p w14:paraId="5BB65F3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7E6EDE99" w14:textId="6D06118E"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rezultatu PLFCR01 wydaje się być adekwatny do wskaźników produktu PLFCO04 i PLCO03, które razem zostały oszacowane na poziomie 5</w:t>
            </w:r>
            <w:r w:rsidR="001B0178">
              <w:rPr>
                <w:rFonts w:asciiTheme="minorHAnsi" w:eastAsia="Calibri" w:hAnsiTheme="minorHAnsi" w:cstheme="minorHAnsi"/>
              </w:rPr>
              <w:t>2 090</w:t>
            </w:r>
            <w:r w:rsidRPr="003A6407">
              <w:rPr>
                <w:rFonts w:asciiTheme="minorHAnsi" w:eastAsia="Calibri" w:hAnsiTheme="minorHAnsi" w:cstheme="minorHAnsi"/>
              </w:rPr>
              <w:t xml:space="preserve"> osób. Adekwatny, ale o wiele od nich węższy, to znaczy że wskaźniki produktu mierzą bardzo ogólnie „wsparcie”, a szacowany rezultat - zgodnie z metodologią pomiaru – mierzy nabycie kompetencji lub kwalifikacji rozumianych bardzo precyzyjnie i </w:t>
            </w:r>
            <w:proofErr w:type="spellStart"/>
            <w:r w:rsidRPr="003A6407">
              <w:rPr>
                <w:rFonts w:asciiTheme="minorHAnsi" w:eastAsia="Calibri" w:hAnsiTheme="minorHAnsi" w:cstheme="minorHAnsi"/>
              </w:rPr>
              <w:t>zwalidowanych</w:t>
            </w:r>
            <w:proofErr w:type="spellEnd"/>
            <w:r w:rsidRPr="003A6407">
              <w:rPr>
                <w:rFonts w:asciiTheme="minorHAnsi" w:eastAsia="Calibri" w:hAnsiTheme="minorHAnsi" w:cstheme="minorHAnsi"/>
              </w:rPr>
              <w:t xml:space="preserve">. </w:t>
            </w:r>
            <w:r w:rsidRPr="003A6407">
              <w:rPr>
                <w:rFonts w:asciiTheme="minorHAnsi" w:eastAsia="Calibri" w:hAnsiTheme="minorHAnsi" w:cstheme="minorHAnsi"/>
              </w:rPr>
              <w:br/>
            </w:r>
          </w:p>
          <w:p w14:paraId="7E5E80D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 uwagi na powyższe zakłada się, że wartość docelowa wskaźnika rezultatu to 45% sumy wskaźników produktu: Liczba uczniów szkół i placówek systemu oświaty prowadzących kształcenie ogólne objętych wsparciem oraz Liczba uczniów i słuchaczy szkół i placówek kształcenia zawodowego objętych wsparciem.</w:t>
            </w:r>
          </w:p>
          <w:p w14:paraId="0A811890"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p>
          <w:p w14:paraId="1598142C"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064A96E2" w14:textId="27B5D923"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(40 560 + 11 530) * 45% =  23 441osób.</w:t>
            </w:r>
          </w:p>
        </w:tc>
      </w:tr>
    </w:tbl>
    <w:p w14:paraId="4E8E41B3" w14:textId="77777777" w:rsidR="00BA4C5C" w:rsidRPr="003A6407" w:rsidRDefault="00BA4C5C" w:rsidP="00111D88">
      <w:pPr>
        <w:keepNext/>
        <w:keepLines/>
        <w:spacing w:before="120" w:after="120"/>
        <w:jc w:val="both"/>
        <w:outlineLvl w:val="2"/>
        <w:rPr>
          <w:rFonts w:asciiTheme="minorHAnsi" w:eastAsia="Times New Roman" w:hAnsiTheme="minorHAnsi" w:cstheme="minorHAnsi"/>
          <w:b/>
          <w:bCs/>
          <w:color w:val="4472C4"/>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5"/>
        <w:gridCol w:w="752"/>
        <w:gridCol w:w="486"/>
        <w:gridCol w:w="1903"/>
        <w:gridCol w:w="741"/>
        <w:gridCol w:w="930"/>
        <w:gridCol w:w="757"/>
        <w:gridCol w:w="739"/>
        <w:gridCol w:w="737"/>
        <w:gridCol w:w="737"/>
      </w:tblGrid>
      <w:tr w:rsidR="00191FE2" w:rsidRPr="003A6407" w14:paraId="3DF98EFA" w14:textId="77777777" w:rsidTr="00270B09">
        <w:trPr>
          <w:cantSplit/>
          <w:trHeight w:val="1845"/>
        </w:trPr>
        <w:tc>
          <w:tcPr>
            <w:tcW w:w="338" w:type="pct"/>
            <w:shd w:val="clear" w:color="auto" w:fill="auto"/>
            <w:vAlign w:val="center"/>
          </w:tcPr>
          <w:p w14:paraId="427B3CF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0CDF319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697D4CF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06FF3A1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08633B7A"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61ED6B9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6C46845B"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513" w:type="pct"/>
            <w:textDirection w:val="btLr"/>
            <w:vAlign w:val="center"/>
          </w:tcPr>
          <w:p w14:paraId="68508FD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418" w:type="pct"/>
            <w:shd w:val="clear" w:color="auto" w:fill="auto"/>
            <w:textDirection w:val="btLr"/>
            <w:vAlign w:val="center"/>
          </w:tcPr>
          <w:p w14:paraId="75AB23D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8" w:type="pct"/>
            <w:shd w:val="clear" w:color="auto" w:fill="auto"/>
            <w:vAlign w:val="center"/>
          </w:tcPr>
          <w:p w14:paraId="4189D44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5FA283F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78AE379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7" w:type="pct"/>
            <w:vAlign w:val="center"/>
          </w:tcPr>
          <w:p w14:paraId="4E98261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5EB3AB3D" w14:textId="77777777" w:rsidTr="00270B09">
        <w:trPr>
          <w:trHeight w:val="340"/>
        </w:trPr>
        <w:tc>
          <w:tcPr>
            <w:tcW w:w="338" w:type="pct"/>
            <w:shd w:val="clear" w:color="auto" w:fill="auto"/>
            <w:vAlign w:val="center"/>
          </w:tcPr>
          <w:p w14:paraId="704D0411"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(f)</w:t>
            </w:r>
          </w:p>
          <w:p w14:paraId="29EEF220" w14:textId="71300580"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4.6</w:t>
            </w:r>
          </w:p>
        </w:tc>
        <w:tc>
          <w:tcPr>
            <w:tcW w:w="367" w:type="pct"/>
            <w:shd w:val="clear" w:color="auto" w:fill="auto"/>
            <w:vAlign w:val="center"/>
          </w:tcPr>
          <w:p w14:paraId="4ECB7F4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6FDEB5D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4DF2B3EC"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PLFCR 05</w:t>
            </w:r>
          </w:p>
        </w:tc>
        <w:tc>
          <w:tcPr>
            <w:tcW w:w="1050" w:type="pct"/>
            <w:shd w:val="clear" w:color="auto" w:fill="auto"/>
            <w:vAlign w:val="center"/>
          </w:tcPr>
          <w:p w14:paraId="72ED5533"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377" w:name="_Toc98189021"/>
            <w:bookmarkStart w:id="378" w:name="_Toc120464515"/>
            <w:r w:rsidRPr="003A6407">
              <w:rPr>
                <w:rFonts w:asciiTheme="minorHAnsi" w:eastAsia="Times New Roman" w:hAnsiTheme="minorHAnsi" w:cstheme="minorHAnsi"/>
                <w:bCs/>
                <w:noProof/>
                <w:sz w:val="16"/>
                <w:szCs w:val="16"/>
              </w:rPr>
              <w:t>Liczba miejsc wychowania przedszkolnego, które funkcjonują przez co najmniej 24 miesiące po zakończeniu projektu</w:t>
            </w:r>
            <w:bookmarkEnd w:id="377"/>
            <w:bookmarkEnd w:id="378"/>
          </w:p>
        </w:tc>
        <w:tc>
          <w:tcPr>
            <w:tcW w:w="409" w:type="pct"/>
            <w:shd w:val="clear" w:color="auto" w:fill="auto"/>
            <w:vAlign w:val="center"/>
          </w:tcPr>
          <w:p w14:paraId="15EA780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sztuki</w:t>
            </w:r>
          </w:p>
        </w:tc>
        <w:tc>
          <w:tcPr>
            <w:tcW w:w="513" w:type="pct"/>
            <w:vAlign w:val="center"/>
          </w:tcPr>
          <w:p w14:paraId="5F0B204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418" w:type="pct"/>
            <w:shd w:val="clear" w:color="auto" w:fill="auto"/>
            <w:vAlign w:val="center"/>
          </w:tcPr>
          <w:p w14:paraId="48E1E9B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8" w:type="pct"/>
            <w:shd w:val="clear" w:color="auto" w:fill="auto"/>
            <w:vAlign w:val="center"/>
          </w:tcPr>
          <w:p w14:paraId="1DCF9B2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362</w:t>
            </w:r>
          </w:p>
        </w:tc>
        <w:tc>
          <w:tcPr>
            <w:tcW w:w="407" w:type="pct"/>
            <w:vAlign w:val="center"/>
          </w:tcPr>
          <w:p w14:paraId="407FC4D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7" w:type="pct"/>
            <w:vAlign w:val="center"/>
          </w:tcPr>
          <w:p w14:paraId="00AF434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71600A72" w14:textId="77777777" w:rsidTr="00270B09">
        <w:trPr>
          <w:trHeight w:val="340"/>
        </w:trPr>
        <w:tc>
          <w:tcPr>
            <w:tcW w:w="5000" w:type="pct"/>
            <w:gridSpan w:val="11"/>
          </w:tcPr>
          <w:p w14:paraId="2DBD3DD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4FF96D7E"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2EEA4A33" w14:textId="77777777" w:rsidR="00BA4C5C" w:rsidRPr="003A6407" w:rsidRDefault="00BA4C5C" w:rsidP="005D756C">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 xml:space="preserve">148 Wsparcie na rzecz wczesnej edukacji i opieki nad dzieckiem (z wyłączeniem infrastruktury) </w:t>
            </w:r>
            <w:r w:rsidRPr="003A6407">
              <w:rPr>
                <w:rFonts w:asciiTheme="minorHAnsi" w:eastAsia="Calibri" w:hAnsiTheme="minorHAnsi" w:cstheme="minorHAnsi"/>
              </w:rPr>
              <w:br/>
              <w:t>(19 297 401 EUR/85 873 434,5 PLN);</w:t>
            </w:r>
          </w:p>
          <w:p w14:paraId="6D2D4EAE" w14:textId="77777777" w:rsidR="00BA4C5C" w:rsidRPr="003A6407" w:rsidRDefault="00BA4C5C" w:rsidP="005D756C">
            <w:pPr>
              <w:shd w:val="clear" w:color="auto" w:fill="FFFFFF"/>
              <w:spacing w:before="60" w:after="60" w:line="240" w:lineRule="auto"/>
              <w:ind w:left="770"/>
              <w:contextualSpacing/>
              <w:jc w:val="both"/>
              <w:rPr>
                <w:rFonts w:asciiTheme="minorHAnsi" w:eastAsia="Calibri" w:hAnsiTheme="minorHAnsi" w:cstheme="minorHAnsi"/>
              </w:rPr>
            </w:pPr>
          </w:p>
          <w:p w14:paraId="7E306656"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Do wyliczeń wartości docelowej wskaźnika przyjęto szacunkowe wyliczenia oparte na danych historycznych dot. działania 10.1 RPO WD 2014-2020.</w:t>
            </w:r>
          </w:p>
          <w:p w14:paraId="21D2FEA2" w14:textId="77777777" w:rsidR="00BA4C5C" w:rsidRPr="003A6407" w:rsidRDefault="00BA4C5C" w:rsidP="00270B09">
            <w:pPr>
              <w:shd w:val="clear" w:color="auto" w:fill="FFFFFF"/>
              <w:spacing w:before="60" w:after="60" w:line="240" w:lineRule="auto"/>
              <w:jc w:val="both"/>
              <w:rPr>
                <w:rFonts w:asciiTheme="minorHAnsi" w:hAnsiTheme="minorHAnsi" w:cstheme="minorHAnsi"/>
              </w:rPr>
            </w:pPr>
            <w:r w:rsidRPr="003A6407">
              <w:rPr>
                <w:rFonts w:asciiTheme="minorHAnsi" w:eastAsia="Calibri" w:hAnsiTheme="minorHAnsi" w:cstheme="minorHAnsi"/>
              </w:rPr>
              <w:t xml:space="preserve">Wartość wskaźnika produktu: </w:t>
            </w:r>
            <w:r w:rsidRPr="003A6407">
              <w:rPr>
                <w:rFonts w:asciiTheme="minorHAnsi" w:hAnsiTheme="minorHAnsi" w:cstheme="minorHAnsi"/>
              </w:rPr>
              <w:t>Liczba miejsc wychowania przedszkolnego dofinansowanych w programie na dzień 31.08.2021 r. wyniosła  5 856 szt.</w:t>
            </w:r>
          </w:p>
          <w:p w14:paraId="367F5D66"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Wartość wskaźnika rezultatu: Liczba miejsc wychowania przedszkolnego, które funkcjonują 2 lata po uzyskaniu dofinansowania ze środków EFS oszacowano na dzień 31.12.2020 r. – wyniosła 2 471 szt.</w:t>
            </w:r>
          </w:p>
          <w:p w14:paraId="4F2EF60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Na tej podstawie oszacowano wartość wskaźnika rezultatu na poziomie 42,20% wykonania wskaźnika produktu:</w:t>
            </w:r>
            <w:r w:rsidRPr="003A6407">
              <w:rPr>
                <w:rFonts w:asciiTheme="minorHAnsi" w:hAnsiTheme="minorHAnsi" w:cstheme="minorHAnsi"/>
              </w:rPr>
              <w:t xml:space="preserve"> </w:t>
            </w:r>
            <w:r w:rsidRPr="003A6407">
              <w:rPr>
                <w:rFonts w:asciiTheme="minorHAnsi" w:eastAsia="Calibri" w:hAnsiTheme="minorHAnsi" w:cstheme="minorHAnsi"/>
              </w:rPr>
              <w:t>Liczba dofinansowanych miejsc wychowania przedszkolnego, którego wartość docelowa wynosi 859.</w:t>
            </w:r>
          </w:p>
          <w:p w14:paraId="57A09067"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Wyliczenia:</w:t>
            </w:r>
          </w:p>
          <w:p w14:paraId="45D0ABEA"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859 x 42,2% = 362 szt.</w:t>
            </w:r>
          </w:p>
        </w:tc>
      </w:tr>
    </w:tbl>
    <w:p w14:paraId="0C7D9A79" w14:textId="77777777" w:rsidR="00BA4C5C" w:rsidRPr="003A6407" w:rsidRDefault="00BA4C5C" w:rsidP="00111D88">
      <w:pPr>
        <w:pStyle w:val="Nagwek2"/>
        <w:spacing w:after="200"/>
        <w:rPr>
          <w:rFonts w:asciiTheme="minorHAnsi" w:eastAsia="Times New Roman" w:hAnsiTheme="minorHAnsi" w:cstheme="minorHAnsi"/>
        </w:rPr>
      </w:pPr>
    </w:p>
    <w:p w14:paraId="499BCC87" w14:textId="2C475F6E" w:rsidR="00BA4C5C" w:rsidRPr="003A6407" w:rsidRDefault="00BA4C5C" w:rsidP="00111D88">
      <w:pPr>
        <w:pStyle w:val="Nagwek2"/>
        <w:spacing w:after="200"/>
        <w:rPr>
          <w:rFonts w:asciiTheme="minorHAnsi" w:eastAsia="Times New Roman" w:hAnsiTheme="minorHAnsi" w:cstheme="minorHAnsi"/>
        </w:rPr>
      </w:pPr>
      <w:bookmarkStart w:id="379" w:name="_Toc98189022"/>
      <w:bookmarkStart w:id="380" w:name="_Toc120464516"/>
      <w:r w:rsidRPr="003A6407">
        <w:rPr>
          <w:rFonts w:asciiTheme="minorHAnsi" w:eastAsia="Times New Roman" w:hAnsiTheme="minorHAnsi" w:cstheme="minorHAnsi"/>
        </w:rPr>
        <w:t xml:space="preserve">CEL SZCZEGÓŁOWY: </w:t>
      </w:r>
      <w:r w:rsidR="006D7D84" w:rsidRPr="006D7D84">
        <w:rPr>
          <w:rFonts w:asciiTheme="minorHAnsi" w:eastAsia="Times New Roman" w:hAnsiTheme="minorHAnsi" w:cstheme="minorHAnsi"/>
        </w:rP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379"/>
      <w:bookmarkEnd w:id="380"/>
    </w:p>
    <w:p w14:paraId="79023633" w14:textId="77777777" w:rsidR="00BA4C5C" w:rsidRPr="003A6407" w:rsidRDefault="00BA4C5C" w:rsidP="00111D88">
      <w:pPr>
        <w:pStyle w:val="Nagwek2"/>
        <w:spacing w:after="200"/>
        <w:rPr>
          <w:rFonts w:asciiTheme="minorHAnsi" w:hAnsiTheme="minorHAnsi" w:cstheme="minorHAnsi"/>
        </w:rPr>
      </w:pPr>
      <w:bookmarkStart w:id="381" w:name="_Toc98189023"/>
      <w:bookmarkStart w:id="382" w:name="_Toc120464517"/>
      <w:r w:rsidRPr="003A6407">
        <w:rPr>
          <w:rFonts w:asciiTheme="minorHAnsi" w:hAnsiTheme="minorHAnsi" w:cstheme="minorHAnsi"/>
        </w:rPr>
        <w:t>Wskaźniki produktu</w:t>
      </w:r>
      <w:bookmarkEnd w:id="381"/>
      <w:bookmarkEnd w:id="382"/>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F1AE0C4" w14:textId="77777777" w:rsidTr="00270B09">
        <w:trPr>
          <w:cantSplit/>
          <w:trHeight w:val="1647"/>
        </w:trPr>
        <w:tc>
          <w:tcPr>
            <w:tcW w:w="451" w:type="pct"/>
            <w:shd w:val="clear" w:color="auto" w:fill="auto"/>
            <w:vAlign w:val="center"/>
          </w:tcPr>
          <w:p w14:paraId="64E63697"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6EC926A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494" w:type="pct"/>
            <w:shd w:val="clear" w:color="auto" w:fill="auto"/>
            <w:vAlign w:val="center"/>
          </w:tcPr>
          <w:p w14:paraId="35DBDE4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558" w:type="pct"/>
            <w:shd w:val="clear" w:color="auto" w:fill="auto"/>
            <w:vAlign w:val="center"/>
          </w:tcPr>
          <w:p w14:paraId="4EEB4A4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360" w:type="pct"/>
            <w:shd w:val="clear" w:color="auto" w:fill="auto"/>
            <w:textDirection w:val="btLr"/>
            <w:vAlign w:val="center"/>
          </w:tcPr>
          <w:p w14:paraId="338E0CCB"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411" w:type="pct"/>
            <w:shd w:val="clear" w:color="auto" w:fill="auto"/>
            <w:vAlign w:val="center"/>
          </w:tcPr>
          <w:p w14:paraId="6B8D90A6"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549" w:type="pct"/>
            <w:shd w:val="clear" w:color="auto" w:fill="auto"/>
            <w:vAlign w:val="center"/>
          </w:tcPr>
          <w:p w14:paraId="30F3266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27" w:type="pct"/>
            <w:shd w:val="clear" w:color="auto" w:fill="auto"/>
            <w:vAlign w:val="center"/>
          </w:tcPr>
          <w:p w14:paraId="7B14AE5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pośredni (2024)</w:t>
            </w:r>
          </w:p>
          <w:p w14:paraId="6371C5B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550" w:type="pct"/>
            <w:shd w:val="clear" w:color="auto" w:fill="auto"/>
            <w:vAlign w:val="center"/>
          </w:tcPr>
          <w:p w14:paraId="1EBA72E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71D763C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r>
      <w:tr w:rsidR="00BA4C5C" w:rsidRPr="003A6407" w14:paraId="132E9897" w14:textId="77777777" w:rsidTr="00270B09">
        <w:trPr>
          <w:trHeight w:val="340"/>
        </w:trPr>
        <w:tc>
          <w:tcPr>
            <w:tcW w:w="451" w:type="pct"/>
            <w:shd w:val="clear" w:color="auto" w:fill="auto"/>
            <w:vAlign w:val="center"/>
          </w:tcPr>
          <w:p w14:paraId="0E6E1F89"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(g)</w:t>
            </w:r>
          </w:p>
          <w:p w14:paraId="752DB091" w14:textId="08D5C6B6"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4.7</w:t>
            </w:r>
          </w:p>
        </w:tc>
        <w:tc>
          <w:tcPr>
            <w:tcW w:w="494" w:type="pct"/>
            <w:shd w:val="clear" w:color="auto" w:fill="auto"/>
            <w:vAlign w:val="center"/>
          </w:tcPr>
          <w:p w14:paraId="74DBA42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558" w:type="pct"/>
            <w:shd w:val="clear" w:color="auto" w:fill="auto"/>
            <w:vAlign w:val="center"/>
          </w:tcPr>
          <w:p w14:paraId="2934972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360" w:type="pct"/>
            <w:shd w:val="clear" w:color="auto" w:fill="auto"/>
            <w:vAlign w:val="center"/>
          </w:tcPr>
          <w:p w14:paraId="61967A51" w14:textId="3BA07840"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PLGCO01</w:t>
            </w:r>
          </w:p>
        </w:tc>
        <w:tc>
          <w:tcPr>
            <w:tcW w:w="1411" w:type="pct"/>
            <w:shd w:val="clear" w:color="auto" w:fill="auto"/>
            <w:vAlign w:val="center"/>
          </w:tcPr>
          <w:p w14:paraId="64DF7181" w14:textId="77777777" w:rsidR="00BA4C5C" w:rsidRPr="003A6407" w:rsidRDefault="00BA4C5C" w:rsidP="00270B09">
            <w:pPr>
              <w:keepNext/>
              <w:keepLines/>
              <w:spacing w:before="200" w:after="0"/>
              <w:jc w:val="center"/>
              <w:outlineLvl w:val="2"/>
              <w:rPr>
                <w:rFonts w:asciiTheme="minorHAnsi" w:eastAsia="Calibri" w:hAnsiTheme="minorHAnsi" w:cstheme="minorHAnsi"/>
                <w:noProof/>
                <w:sz w:val="16"/>
                <w:szCs w:val="16"/>
              </w:rPr>
            </w:pPr>
            <w:bookmarkStart w:id="383" w:name="_Toc98189024"/>
            <w:bookmarkStart w:id="384" w:name="_Toc120464518"/>
            <w:r w:rsidRPr="003A6407">
              <w:rPr>
                <w:rFonts w:asciiTheme="minorHAnsi" w:eastAsia="Times New Roman" w:hAnsiTheme="minorHAnsi" w:cstheme="minorHAnsi"/>
                <w:bCs/>
                <w:noProof/>
                <w:sz w:val="16"/>
                <w:szCs w:val="16"/>
              </w:rPr>
              <w:t>Liczba osób dorosłych objętych usługami rozwojowymi</w:t>
            </w:r>
            <w:bookmarkEnd w:id="383"/>
            <w:bookmarkEnd w:id="384"/>
          </w:p>
        </w:tc>
        <w:tc>
          <w:tcPr>
            <w:tcW w:w="549" w:type="pct"/>
            <w:shd w:val="clear" w:color="auto" w:fill="auto"/>
            <w:vAlign w:val="center"/>
          </w:tcPr>
          <w:p w14:paraId="6B125A4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27" w:type="pct"/>
            <w:shd w:val="clear" w:color="auto" w:fill="auto"/>
            <w:vAlign w:val="center"/>
          </w:tcPr>
          <w:p w14:paraId="3A1E054C" w14:textId="6EE43156" w:rsidR="00BA4C5C" w:rsidRPr="003A6407" w:rsidRDefault="003671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220</w:t>
            </w:r>
            <w:r w:rsidR="00BA4C5C" w:rsidRPr="003A6407">
              <w:rPr>
                <w:rFonts w:asciiTheme="minorHAnsi" w:eastAsia="Calibri" w:hAnsiTheme="minorHAnsi" w:cstheme="minorHAnsi"/>
                <w:noProof/>
                <w:sz w:val="16"/>
                <w:szCs w:val="16"/>
              </w:rPr>
              <w:t>,00</w:t>
            </w:r>
          </w:p>
        </w:tc>
        <w:tc>
          <w:tcPr>
            <w:tcW w:w="550" w:type="pct"/>
            <w:shd w:val="clear" w:color="auto" w:fill="auto"/>
            <w:vAlign w:val="center"/>
          </w:tcPr>
          <w:p w14:paraId="2CBE14B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7 343</w:t>
            </w:r>
          </w:p>
        </w:tc>
      </w:tr>
      <w:tr w:rsidR="00BA4C5C" w:rsidRPr="003A6407" w14:paraId="6B81A5D9" w14:textId="77777777" w:rsidTr="00270B09">
        <w:trPr>
          <w:trHeight w:val="340"/>
        </w:trPr>
        <w:tc>
          <w:tcPr>
            <w:tcW w:w="5000" w:type="pct"/>
            <w:gridSpan w:val="8"/>
            <w:shd w:val="clear" w:color="auto" w:fill="auto"/>
          </w:tcPr>
          <w:p w14:paraId="7DA08AFB"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1300ACE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Wskaźnik realizuje kod interwencji:</w:t>
            </w:r>
          </w:p>
          <w:p w14:paraId="1BF50A95" w14:textId="77777777" w:rsidR="00BA4C5C" w:rsidRPr="003A6407" w:rsidRDefault="00BA4C5C" w:rsidP="00270B09">
            <w:pPr>
              <w:numPr>
                <w:ilvl w:val="0"/>
                <w:numId w:val="12"/>
              </w:numPr>
              <w:shd w:val="clear" w:color="auto" w:fill="FFFFFF"/>
              <w:spacing w:before="60" w:after="60" w:line="240" w:lineRule="auto"/>
              <w:contextualSpacing/>
              <w:jc w:val="both"/>
              <w:rPr>
                <w:rFonts w:asciiTheme="minorHAnsi" w:eastAsia="Calibri" w:hAnsiTheme="minorHAnsi" w:cstheme="minorHAnsi"/>
              </w:rPr>
            </w:pPr>
            <w:r w:rsidRPr="003A6407">
              <w:rPr>
                <w:rFonts w:asciiTheme="minorHAnsi" w:eastAsia="Calibri" w:hAnsiTheme="minorHAnsi" w:cstheme="minorHAnsi"/>
              </w:rPr>
              <w:t>151 Wsparcie na rzecz kształcenia dorosłych (z wyłączeniem infrastruktury) (36 297 401 EUR/ 161 523 434,45    PLN);</w:t>
            </w:r>
          </w:p>
          <w:p w14:paraId="22A3BD9D"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Zakłada się, że 90% alokacji kodu 151 przeznaczona będzie na realizację działań w ramach BUR, natomiast 10% alokacji będzie wydatkowane na wsparcie w ramach LOWE.</w:t>
            </w:r>
          </w:p>
          <w:p w14:paraId="7EADEE7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Biorąc pod uwagę powyższe oraz kurs EUR na poziomie 4,45 suma alokacji na realizację wskaźnika wynosi 145 371 090,96PLN.</w:t>
            </w:r>
          </w:p>
          <w:p w14:paraId="71A19761"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Historyczny koszt jednostkowy na bazie doświadczeń z perspektywy 2014-2020 wynosi 16 476,66PLN.  Koszt jednostkowy został skorygowany w oparciu o wartość inflacji na poziomie 15% i wynosi 18 948,16 PLN, a obniżony do wartości dofinansowania na poziomie 70% wynosi 13 263,71 PLN; na podstawie tych danych wyliczono wartość wskaźnika. Jednocześnie na podstawie </w:t>
            </w:r>
            <w:proofErr w:type="spellStart"/>
            <w:r w:rsidRPr="003A6407">
              <w:rPr>
                <w:rFonts w:asciiTheme="minorHAnsi" w:eastAsia="Calibri" w:hAnsiTheme="minorHAnsi" w:cstheme="minorHAnsi"/>
              </w:rPr>
              <w:t>ryzyk</w:t>
            </w:r>
            <w:proofErr w:type="spellEnd"/>
            <w:r w:rsidRPr="003A6407">
              <w:rPr>
                <w:rFonts w:asciiTheme="minorHAnsi" w:eastAsia="Calibri" w:hAnsiTheme="minorHAnsi" w:cstheme="minorHAnsi"/>
              </w:rPr>
              <w:t xml:space="preserve"> związanych z realizacją tego typu projektów określono wskaźnik kompensacji: </w:t>
            </w:r>
          </w:p>
          <w:p w14:paraId="5F3949C4"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R: [(2*3)+(6*25)+(3*68)]/11 = 32,73%. Wartość zaokrąglono do pełnej wartości 33%. </w:t>
            </w:r>
          </w:p>
          <w:p w14:paraId="33CFC2D7"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44727564"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145 371 090,96/ 13 263,71 * (1-0,33) =     7 343    osób.</w:t>
            </w:r>
          </w:p>
          <w:p w14:paraId="760E5B83"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color w:val="000000"/>
              </w:rPr>
            </w:pPr>
            <w:r w:rsidRPr="003A6407">
              <w:rPr>
                <w:rFonts w:asciiTheme="minorHAnsi" w:eastAsia="Calibri" w:hAnsiTheme="minorHAnsi" w:cstheme="minorHAnsi"/>
                <w:color w:val="000000"/>
              </w:rPr>
              <w:t>Należy zwrócić szczególną uwagę na następujące (</w:t>
            </w:r>
            <w:r w:rsidRPr="003A6407">
              <w:rPr>
                <w:rFonts w:asciiTheme="minorHAnsi" w:eastAsia="Calibri" w:hAnsiTheme="minorHAnsi" w:cstheme="minorHAnsi"/>
                <w:color w:val="000000"/>
                <w:u w:val="single"/>
              </w:rPr>
              <w:t>ogólne</w:t>
            </w:r>
            <w:r w:rsidRPr="003A6407">
              <w:rPr>
                <w:rFonts w:asciiTheme="minorHAnsi" w:eastAsia="Calibri" w:hAnsiTheme="minorHAnsi" w:cstheme="minorHAnsi"/>
                <w:color w:val="000000"/>
              </w:rPr>
              <w:t>) czynniki ryzyka, które mogą mieć wpływ na poziom osiągnięcia założonej wartości docelowej:</w:t>
            </w:r>
          </w:p>
          <w:p w14:paraId="1FD996CB" w14:textId="77777777" w:rsidR="00BA4C5C" w:rsidRPr="003A6407" w:rsidRDefault="00BA4C5C">
            <w:pPr>
              <w:numPr>
                <w:ilvl w:val="0"/>
                <w:numId w:val="4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walutowe</w:t>
            </w:r>
            <w:r w:rsidRPr="003A6407">
              <w:rPr>
                <w:rFonts w:asciiTheme="minorHAnsi" w:eastAsia="Calibri" w:hAnsiTheme="minorHAnsi" w:cstheme="minorHAns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797ABA4A" w14:textId="77777777" w:rsidR="00BA4C5C" w:rsidRPr="003A6407" w:rsidRDefault="00BA4C5C">
            <w:pPr>
              <w:numPr>
                <w:ilvl w:val="0"/>
                <w:numId w:val="4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zawieszenie płatności przez KE dla danej osi priorytetowej</w:t>
            </w:r>
            <w:r w:rsidRPr="003A6407">
              <w:rPr>
                <w:rFonts w:asciiTheme="minorHAnsi" w:eastAsia="Calibri" w:hAnsiTheme="minorHAnsi" w:cstheme="minorHAnsi"/>
                <w:color w:val="000000"/>
              </w:rPr>
              <w:t>; (istotność: umiarkowana)</w:t>
            </w:r>
          </w:p>
          <w:p w14:paraId="7449B333" w14:textId="77777777" w:rsidR="00BA4C5C" w:rsidRPr="003A6407" w:rsidRDefault="00BA4C5C">
            <w:pPr>
              <w:numPr>
                <w:ilvl w:val="0"/>
                <w:numId w:val="4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czynniki które mogą wpłynąć na harmonogram realizacji planów działania dot. spełnienia warunków wstępnych (ex </w:t>
            </w:r>
            <w:proofErr w:type="spellStart"/>
            <w:r w:rsidRPr="003A6407">
              <w:rPr>
                <w:rFonts w:asciiTheme="minorHAnsi" w:eastAsia="Calibri" w:hAnsiTheme="minorHAnsi" w:cstheme="minorHAnsi"/>
                <w:b/>
                <w:bCs/>
                <w:color w:val="000000"/>
              </w:rPr>
              <w:t>ante</w:t>
            </w:r>
            <w:proofErr w:type="spellEnd"/>
            <w:r w:rsidRPr="003A6407">
              <w:rPr>
                <w:rFonts w:asciiTheme="minorHAnsi" w:eastAsia="Calibri" w:hAnsiTheme="minorHAnsi" w:cstheme="minorHAnsi"/>
                <w:b/>
                <w:bCs/>
                <w:color w:val="000000"/>
              </w:rPr>
              <w:t>),</w:t>
            </w:r>
            <w:r w:rsidRPr="003A6407">
              <w:rPr>
                <w:rFonts w:asciiTheme="minorHAnsi" w:eastAsia="Calibri" w:hAnsiTheme="minorHAnsi" w:cstheme="minorHAnsi"/>
                <w:color w:val="000000"/>
              </w:rPr>
              <w:t xml:space="preserve"> a które są poza kompetencjami IZ oraz instytucji odpowiedzialnych za spełnienie tych warunków; (istotność: umiarkowana)</w:t>
            </w:r>
          </w:p>
          <w:p w14:paraId="4A6C915B" w14:textId="77777777" w:rsidR="00BA4C5C" w:rsidRPr="003A6407" w:rsidRDefault="00BA4C5C">
            <w:pPr>
              <w:numPr>
                <w:ilvl w:val="0"/>
                <w:numId w:val="43"/>
              </w:numPr>
              <w:shd w:val="clear" w:color="auto" w:fill="FFFFFF"/>
              <w:spacing w:before="60" w:after="6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ostateczne ustalenia dot. Występowania i poziomu pomocy publicznej</w:t>
            </w:r>
            <w:r w:rsidRPr="003A6407">
              <w:rPr>
                <w:rFonts w:asciiTheme="minorHAnsi" w:eastAsia="Calibri" w:hAnsiTheme="minorHAnsi" w:cstheme="minorHAnsi"/>
                <w:color w:val="000000"/>
              </w:rPr>
              <w:t>; (istotność: niska)</w:t>
            </w:r>
          </w:p>
          <w:p w14:paraId="42112434" w14:textId="77777777" w:rsidR="00BA4C5C" w:rsidRPr="003A6407" w:rsidRDefault="00BA4C5C">
            <w:pPr>
              <w:numPr>
                <w:ilvl w:val="0"/>
                <w:numId w:val="43"/>
              </w:numPr>
              <w:shd w:val="clear" w:color="auto" w:fill="FFFFFF"/>
              <w:spacing w:before="60" w:after="60" w:line="240" w:lineRule="auto"/>
              <w:contextualSpacing/>
              <w:jc w:val="both"/>
              <w:rPr>
                <w:rFonts w:asciiTheme="minorHAnsi" w:eastAsia="Calibri" w:hAnsiTheme="minorHAnsi" w:cstheme="minorHAnsi"/>
                <w:b/>
                <w:color w:val="000000"/>
              </w:rPr>
            </w:pPr>
            <w:r w:rsidRPr="003A6407">
              <w:rPr>
                <w:rFonts w:asciiTheme="minorHAnsi" w:eastAsia="Calibri" w:hAnsiTheme="minorHAnsi" w:cstheme="minorHAnsi"/>
                <w:b/>
                <w:color w:val="000000"/>
              </w:rPr>
              <w:t>opóźnienia, bądź niewykonanie projektu związane z procedurami wynikającymi z zamówień publicznych</w:t>
            </w:r>
            <w:r w:rsidRPr="003A6407">
              <w:rPr>
                <w:rFonts w:asciiTheme="minorHAnsi" w:eastAsia="Calibri" w:hAnsiTheme="minorHAnsi" w:cstheme="minorHAnsi"/>
                <w:bCs/>
                <w:color w:val="000000"/>
              </w:rPr>
              <w:t>; (istotność: poważna)</w:t>
            </w:r>
          </w:p>
          <w:p w14:paraId="26A6B80F" w14:textId="77777777" w:rsidR="00BA4C5C" w:rsidRPr="003A6407" w:rsidRDefault="00BA4C5C">
            <w:pPr>
              <w:numPr>
                <w:ilvl w:val="0"/>
                <w:numId w:val="43"/>
              </w:numPr>
              <w:shd w:val="clear" w:color="auto" w:fill="FFFFFF"/>
              <w:spacing w:before="60" w:after="60" w:line="240" w:lineRule="auto"/>
              <w:contextualSpacing/>
              <w:jc w:val="both"/>
              <w:rPr>
                <w:rFonts w:asciiTheme="minorHAnsi" w:eastAsia="Calibri" w:hAnsiTheme="minorHAnsi" w:cstheme="minorHAnsi"/>
                <w:bCs/>
                <w:color w:val="000000"/>
              </w:rPr>
            </w:pPr>
            <w:r w:rsidRPr="003A6407">
              <w:rPr>
                <w:rFonts w:asciiTheme="minorHAnsi" w:eastAsia="Calibri" w:hAnsiTheme="minorHAnsi" w:cstheme="minorHAnsi"/>
                <w:b/>
                <w:color w:val="000000"/>
              </w:rPr>
              <w:lastRenderedPageBreak/>
              <w:t xml:space="preserve">wpływ pandemii koronawirusa SARS-CoV-2 </w:t>
            </w:r>
            <w:r w:rsidRPr="003A6407">
              <w:rPr>
                <w:rFonts w:asciiTheme="minorHAnsi" w:eastAsia="Calibri" w:hAnsiTheme="minorHAnsi" w:cstheme="minorHAns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4EFD0C4" w14:textId="77777777" w:rsidR="00BA4C5C" w:rsidRPr="003A6407" w:rsidRDefault="00BA4C5C" w:rsidP="00270B09">
            <w:pPr>
              <w:shd w:val="clear" w:color="auto" w:fill="FFFFFF"/>
              <w:spacing w:before="60" w:after="60" w:line="240" w:lineRule="auto"/>
              <w:ind w:left="720"/>
              <w:contextualSpacing/>
              <w:jc w:val="both"/>
              <w:rPr>
                <w:rFonts w:asciiTheme="minorHAnsi" w:eastAsia="Calibri" w:hAnsiTheme="minorHAnsi" w:cstheme="minorHAnsi"/>
                <w:bCs/>
                <w:color w:val="000000"/>
              </w:rPr>
            </w:pPr>
          </w:p>
          <w:p w14:paraId="5F28EDAE"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bCs/>
                <w:color w:val="000000"/>
              </w:rPr>
            </w:pPr>
            <w:r w:rsidRPr="003A6407">
              <w:rPr>
                <w:rFonts w:asciiTheme="minorHAnsi" w:eastAsia="Calibri" w:hAnsiTheme="minorHAnsi" w:cstheme="minorHAnsi"/>
                <w:bCs/>
                <w:color w:val="000000"/>
              </w:rPr>
              <w:t xml:space="preserve">Z uwagi na specyfikę projektów społecznych należy wziąć pod uwagę kolejne ryzyka </w:t>
            </w:r>
            <w:r w:rsidRPr="003A6407">
              <w:rPr>
                <w:rFonts w:asciiTheme="minorHAnsi" w:eastAsia="Calibri" w:hAnsiTheme="minorHAnsi" w:cstheme="minorHAnsi"/>
                <w:bCs/>
                <w:color w:val="000000"/>
                <w:u w:val="single"/>
              </w:rPr>
              <w:t>szczegółowe</w:t>
            </w:r>
            <w:r w:rsidRPr="003A6407">
              <w:rPr>
                <w:rFonts w:asciiTheme="minorHAnsi" w:eastAsia="Calibri" w:hAnsiTheme="minorHAnsi" w:cstheme="minorHAnsi"/>
                <w:bCs/>
                <w:color w:val="000000"/>
              </w:rPr>
              <w:t>:</w:t>
            </w:r>
            <w:r w:rsidRPr="003A6407">
              <w:rPr>
                <w:rFonts w:asciiTheme="minorHAnsi" w:eastAsia="Calibri" w:hAnsiTheme="minorHAnsi" w:cstheme="minorHAnsi"/>
                <w:color w:val="000000"/>
              </w:rPr>
              <w:tab/>
            </w:r>
          </w:p>
          <w:p w14:paraId="40331D6E" w14:textId="77777777" w:rsidR="00BA4C5C" w:rsidRPr="003A6407" w:rsidRDefault="00BA4C5C">
            <w:pPr>
              <w:numPr>
                <w:ilvl w:val="0"/>
                <w:numId w:val="4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3A6407">
              <w:rPr>
                <w:rFonts w:asciiTheme="minorHAnsi" w:eastAsia="Calibri" w:hAnsiTheme="minorHAnsi" w:cstheme="minorHAnsi"/>
                <w:b/>
                <w:color w:val="000000"/>
              </w:rPr>
              <w:t>powodzeniem beneficjentów</w:t>
            </w:r>
            <w:r w:rsidRPr="003A6407">
              <w:rPr>
                <w:rFonts w:asciiTheme="minorHAnsi" w:eastAsia="Calibri" w:hAnsiTheme="minorHAnsi" w:cstheme="minorHAnsi"/>
                <w:color w:val="000000"/>
              </w:rPr>
              <w:t>. Należy mieć wówczas możliwość kierowania wsparcia w ramach innego typu przedsięwzięcia, bez obawy nieosiągnięcia zaplanowanego do osiągnięcia wskaźnika; (istotność: umiarkowana)</w:t>
            </w:r>
          </w:p>
          <w:p w14:paraId="03FCCA0C" w14:textId="77777777" w:rsidR="00BA4C5C" w:rsidRPr="003A6407" w:rsidRDefault="00BA4C5C">
            <w:pPr>
              <w:numPr>
                <w:ilvl w:val="0"/>
                <w:numId w:val="4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zmieniającej się ceny</w:t>
            </w:r>
            <w:r w:rsidRPr="003A6407">
              <w:rPr>
                <w:rFonts w:asciiTheme="minorHAnsi" w:eastAsia="Calibri" w:hAnsiTheme="minorHAnsi" w:cstheme="minorHAns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13DFF3F9" w14:textId="77777777" w:rsidR="00BA4C5C" w:rsidRPr="003A6407" w:rsidRDefault="00BA4C5C">
            <w:pPr>
              <w:numPr>
                <w:ilvl w:val="0"/>
                <w:numId w:val="4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realizacji projektów o niższej efektywności niż dotychczas</w:t>
            </w:r>
            <w:r w:rsidRPr="003A6407">
              <w:rPr>
                <w:rFonts w:asciiTheme="minorHAnsi" w:eastAsia="Calibri" w:hAnsiTheme="minorHAnsi" w:cstheme="minorHAns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119F411F" w14:textId="77777777" w:rsidR="00BA4C5C" w:rsidRPr="003A6407" w:rsidRDefault="00BA4C5C">
            <w:pPr>
              <w:numPr>
                <w:ilvl w:val="0"/>
                <w:numId w:val="4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wniesienia wkładu własnego przez beneficjentów</w:t>
            </w:r>
            <w:r w:rsidRPr="003A6407">
              <w:rPr>
                <w:rFonts w:asciiTheme="minorHAnsi" w:eastAsia="Calibri" w:hAnsiTheme="minorHAnsi" w:cstheme="minorHAns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51BA481F" w14:textId="77777777" w:rsidR="00BA4C5C" w:rsidRPr="003A6407" w:rsidRDefault="00BA4C5C">
            <w:pPr>
              <w:numPr>
                <w:ilvl w:val="0"/>
                <w:numId w:val="44"/>
              </w:num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color w:val="000000"/>
              </w:rPr>
              <w:t>ryzyko niezdefiniowane</w:t>
            </w:r>
            <w:r w:rsidRPr="003A6407">
              <w:rPr>
                <w:rFonts w:asciiTheme="minorHAnsi" w:eastAsia="Calibri" w:hAnsiTheme="minorHAnsi" w:cstheme="minorHAns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73432707" w14:textId="77777777" w:rsidR="00FC32E6" w:rsidRPr="003A6407" w:rsidRDefault="00FC32E6" w:rsidP="00FC32E6">
            <w:pPr>
              <w:spacing w:after="0" w:line="240" w:lineRule="auto"/>
              <w:contextualSpacing/>
              <w:jc w:val="both"/>
              <w:rPr>
                <w:rFonts w:asciiTheme="minorHAnsi" w:eastAsia="Calibri" w:hAnsiTheme="minorHAnsi" w:cstheme="minorHAnsi"/>
                <w:color w:val="000000"/>
              </w:rPr>
            </w:pPr>
          </w:p>
          <w:p w14:paraId="723D3A71" w14:textId="77777777" w:rsidR="00FC32E6" w:rsidRPr="003A6407" w:rsidRDefault="00FC32E6" w:rsidP="00FC32E6">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00C92CD1" w14:textId="77777777" w:rsidR="00FC32E6" w:rsidRPr="003A6407" w:rsidRDefault="00FC32E6" w:rsidP="00FC32E6">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Przeanalizowano dane historyczne z wdrażania RPO WD 2014-2020 (PI 10 iii), na podstawie Sprawozdania rocznego z 2021 r. dla projektów o podobnym zakresie wsparcia. Biorąc pod uwagę termin zatwierdzenia programu nie jest możliwe wskazanie celu pośredniego innego niż 0 ponieważ faktycznie nie będzie mogło to być spełnione. </w:t>
            </w:r>
          </w:p>
          <w:p w14:paraId="40C8F124" w14:textId="77777777" w:rsidR="00FC32E6" w:rsidRPr="003A6407" w:rsidRDefault="00FC32E6" w:rsidP="00FC32E6">
            <w:pPr>
              <w:spacing w:after="0" w:line="240" w:lineRule="auto"/>
              <w:contextualSpacing/>
              <w:jc w:val="both"/>
              <w:rPr>
                <w:rFonts w:asciiTheme="minorHAnsi" w:eastAsia="Calibri" w:hAnsiTheme="minorHAnsi" w:cstheme="minorHAnsi"/>
                <w:b/>
                <w:bCs/>
                <w:color w:val="000000"/>
              </w:rPr>
            </w:pPr>
            <w:r w:rsidRPr="003A6407">
              <w:rPr>
                <w:rFonts w:asciiTheme="minorHAnsi" w:eastAsia="Calibri" w:hAnsiTheme="minorHAnsi" w:cstheme="minorHAnsi"/>
                <w:b/>
                <w:bCs/>
                <w:color w:val="000000"/>
              </w:rPr>
              <w:t xml:space="preserve">Zgodnie z danymi ze sprawozdania rocznego za 2021 rok z realizacji RPO WD 2014-2020 wskaźnik pn. Liczba osób w wieku 25 lat i więcej objętych wsparciem w programie w 2016 r. osiągnął wartość 0, co wobec wartości z wykonania na 2021 r. (23 910) stanowi 0 %. </w:t>
            </w:r>
          </w:p>
          <w:p w14:paraId="2591F571" w14:textId="4345A5CF" w:rsidR="00FC32E6" w:rsidRPr="003A6407" w:rsidRDefault="00FC32E6" w:rsidP="00FC32E6">
            <w:pPr>
              <w:spacing w:after="0" w:line="240" w:lineRule="auto"/>
              <w:contextualSpacing/>
              <w:jc w:val="both"/>
              <w:rPr>
                <w:rFonts w:asciiTheme="minorHAnsi" w:eastAsia="Calibri" w:hAnsiTheme="minorHAnsi" w:cstheme="minorHAnsi"/>
                <w:color w:val="000000"/>
              </w:rPr>
            </w:pPr>
            <w:r w:rsidRPr="003A6407">
              <w:rPr>
                <w:rFonts w:asciiTheme="minorHAnsi" w:eastAsia="Calibri" w:hAnsiTheme="minorHAnsi" w:cstheme="minorHAnsi"/>
                <w:b/>
                <w:bCs/>
                <w:color w:val="000000"/>
              </w:rPr>
              <w:t xml:space="preserve">Mając na uwadze, że 2016 r. był już trzecim rokiem wdrażania programu RPO WD 2014-2020, a rok 2024 będzie de facto dopiero drugim rokiem wdrażania FEDS, wartość pośrednią dla tego wskaźnika ustalono </w:t>
            </w:r>
            <w:r w:rsidR="0094133E">
              <w:rPr>
                <w:rFonts w:asciiTheme="minorHAnsi" w:eastAsia="Calibri" w:hAnsiTheme="minorHAnsi" w:cstheme="minorHAnsi"/>
                <w:b/>
                <w:bCs/>
                <w:color w:val="000000"/>
              </w:rPr>
              <w:t>na poziomie 3% wartości docelowej</w:t>
            </w:r>
            <w:r w:rsidRPr="003A6407">
              <w:rPr>
                <w:rFonts w:asciiTheme="minorHAnsi" w:eastAsia="Calibri" w:hAnsiTheme="minorHAnsi" w:cstheme="minorHAnsi"/>
                <w:b/>
                <w:bCs/>
                <w:color w:val="000000"/>
              </w:rPr>
              <w:t>.</w:t>
            </w:r>
          </w:p>
        </w:tc>
      </w:tr>
    </w:tbl>
    <w:p w14:paraId="67C45FB4" w14:textId="77777777" w:rsidR="00BA4C5C" w:rsidRPr="003A6407" w:rsidRDefault="00BA4C5C" w:rsidP="00111D88">
      <w:pPr>
        <w:pStyle w:val="Nagwek2"/>
        <w:spacing w:after="200"/>
        <w:rPr>
          <w:rFonts w:asciiTheme="minorHAnsi" w:eastAsia="Times New Roman" w:hAnsiTheme="minorHAnsi" w:cstheme="minorHAnsi"/>
        </w:rPr>
      </w:pPr>
    </w:p>
    <w:p w14:paraId="73986F8D" w14:textId="77777777" w:rsidR="00BA4C5C" w:rsidRPr="003A6407" w:rsidRDefault="00BA4C5C" w:rsidP="00111D88">
      <w:pPr>
        <w:pStyle w:val="Nagwek2"/>
        <w:spacing w:after="200"/>
        <w:rPr>
          <w:rFonts w:asciiTheme="minorHAnsi" w:eastAsia="Times New Roman" w:hAnsiTheme="minorHAnsi" w:cstheme="minorHAnsi"/>
        </w:rPr>
      </w:pPr>
      <w:bookmarkStart w:id="385" w:name="_Toc98189025"/>
      <w:bookmarkStart w:id="386" w:name="_Toc120464519"/>
      <w:r w:rsidRPr="003A6407">
        <w:rPr>
          <w:rFonts w:asciiTheme="minorHAnsi" w:eastAsia="Times New Roman" w:hAnsiTheme="minorHAnsi" w:cstheme="minorHAnsi"/>
        </w:rPr>
        <w:t>Wskaźniki rezultatu</w:t>
      </w:r>
      <w:bookmarkEnd w:id="385"/>
      <w:bookmarkEnd w:id="386"/>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214"/>
        <w:gridCol w:w="475"/>
        <w:gridCol w:w="739"/>
        <w:gridCol w:w="737"/>
        <w:gridCol w:w="736"/>
      </w:tblGrid>
      <w:tr w:rsidR="00191FE2" w:rsidRPr="003A6407" w14:paraId="2273BCAF" w14:textId="77777777" w:rsidTr="00270B09">
        <w:trPr>
          <w:cantSplit/>
          <w:trHeight w:val="1647"/>
        </w:trPr>
        <w:tc>
          <w:tcPr>
            <w:tcW w:w="338" w:type="pct"/>
            <w:shd w:val="clear" w:color="auto" w:fill="auto"/>
            <w:vAlign w:val="center"/>
          </w:tcPr>
          <w:p w14:paraId="39FC7B6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CP 4</w:t>
            </w:r>
          </w:p>
          <w:p w14:paraId="26169F3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szczegółowy</w:t>
            </w:r>
          </w:p>
        </w:tc>
        <w:tc>
          <w:tcPr>
            <w:tcW w:w="367" w:type="pct"/>
            <w:shd w:val="clear" w:color="auto" w:fill="auto"/>
            <w:vAlign w:val="center"/>
          </w:tcPr>
          <w:p w14:paraId="4CE7E74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Fundusz</w:t>
            </w:r>
          </w:p>
        </w:tc>
        <w:tc>
          <w:tcPr>
            <w:tcW w:w="415" w:type="pct"/>
            <w:shd w:val="clear" w:color="auto" w:fill="auto"/>
            <w:vAlign w:val="center"/>
          </w:tcPr>
          <w:p w14:paraId="77A0CC95"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Kategoria regionu</w:t>
            </w:r>
          </w:p>
        </w:tc>
        <w:tc>
          <w:tcPr>
            <w:tcW w:w="268" w:type="pct"/>
            <w:shd w:val="clear" w:color="auto" w:fill="auto"/>
            <w:textDirection w:val="btLr"/>
            <w:vAlign w:val="center"/>
          </w:tcPr>
          <w:p w14:paraId="6ED57400" w14:textId="77777777" w:rsidR="00BA4C5C" w:rsidRPr="003A6407" w:rsidRDefault="00BA4C5C" w:rsidP="00270B09">
            <w:pPr>
              <w:shd w:val="clear" w:color="auto" w:fill="FFFFFF"/>
              <w:spacing w:before="120" w:after="120" w:line="240" w:lineRule="auto"/>
              <w:ind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Nr identyfikacyjny [5]</w:t>
            </w:r>
          </w:p>
        </w:tc>
        <w:tc>
          <w:tcPr>
            <w:tcW w:w="1050" w:type="pct"/>
            <w:shd w:val="clear" w:color="auto" w:fill="auto"/>
            <w:vAlign w:val="center"/>
          </w:tcPr>
          <w:p w14:paraId="0DD01838"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Wskaźnik [255]</w:t>
            </w:r>
          </w:p>
        </w:tc>
        <w:tc>
          <w:tcPr>
            <w:tcW w:w="409" w:type="pct"/>
            <w:shd w:val="clear" w:color="auto" w:fill="auto"/>
            <w:textDirection w:val="btLr"/>
            <w:vAlign w:val="center"/>
          </w:tcPr>
          <w:p w14:paraId="033DC555" w14:textId="77777777" w:rsidR="00BA4C5C" w:rsidRPr="003A6407" w:rsidRDefault="00BA4C5C" w:rsidP="00270B09">
            <w:pPr>
              <w:shd w:val="clear" w:color="auto" w:fill="FFFFFF"/>
              <w:spacing w:before="120" w:after="120" w:line="240" w:lineRule="auto"/>
              <w:ind w:left="113" w:right="113"/>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Jednostka miary</w:t>
            </w:r>
          </w:p>
        </w:tc>
        <w:tc>
          <w:tcPr>
            <w:tcW w:w="670" w:type="pct"/>
            <w:textDirection w:val="btLr"/>
            <w:vAlign w:val="center"/>
          </w:tcPr>
          <w:p w14:paraId="73C80F1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Wartość bazowa lub wartość odniesienia</w:t>
            </w:r>
          </w:p>
        </w:tc>
        <w:tc>
          <w:tcPr>
            <w:tcW w:w="262" w:type="pct"/>
            <w:shd w:val="clear" w:color="auto" w:fill="auto"/>
            <w:textDirection w:val="btLr"/>
            <w:vAlign w:val="center"/>
          </w:tcPr>
          <w:p w14:paraId="5CF6DA1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Rok referencyjny</w:t>
            </w:r>
          </w:p>
        </w:tc>
        <w:tc>
          <w:tcPr>
            <w:tcW w:w="408" w:type="pct"/>
            <w:shd w:val="clear" w:color="auto" w:fill="auto"/>
            <w:vAlign w:val="center"/>
          </w:tcPr>
          <w:p w14:paraId="05189552"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Cel (2029)</w:t>
            </w:r>
          </w:p>
          <w:p w14:paraId="1B2527C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p>
        </w:tc>
        <w:tc>
          <w:tcPr>
            <w:tcW w:w="407" w:type="pct"/>
            <w:vAlign w:val="center"/>
          </w:tcPr>
          <w:p w14:paraId="7B73F7F3"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Zródło danych [200]</w:t>
            </w:r>
          </w:p>
        </w:tc>
        <w:tc>
          <w:tcPr>
            <w:tcW w:w="406" w:type="pct"/>
            <w:vAlign w:val="center"/>
          </w:tcPr>
          <w:p w14:paraId="2AFC0C61"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b/>
                <w:noProof/>
                <w:sz w:val="16"/>
                <w:szCs w:val="16"/>
              </w:rPr>
            </w:pPr>
            <w:r w:rsidRPr="003A6407">
              <w:rPr>
                <w:rFonts w:asciiTheme="minorHAnsi" w:eastAsia="Calibri" w:hAnsiTheme="minorHAnsi" w:cstheme="minorHAnsi"/>
                <w:b/>
                <w:noProof/>
                <w:sz w:val="16"/>
                <w:szCs w:val="16"/>
              </w:rPr>
              <w:t>Uwagi</w:t>
            </w:r>
          </w:p>
        </w:tc>
      </w:tr>
      <w:tr w:rsidR="00191FE2" w:rsidRPr="003A6407" w14:paraId="1F1ED7E8" w14:textId="77777777" w:rsidTr="00270B09">
        <w:trPr>
          <w:trHeight w:val="340"/>
        </w:trPr>
        <w:tc>
          <w:tcPr>
            <w:tcW w:w="338" w:type="pct"/>
            <w:shd w:val="clear" w:color="auto" w:fill="auto"/>
            <w:vAlign w:val="center"/>
          </w:tcPr>
          <w:p w14:paraId="14DA9998" w14:textId="77777777" w:rsidR="00BA4C5C"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4 (g)</w:t>
            </w:r>
          </w:p>
          <w:p w14:paraId="4D1A3813" w14:textId="026DE823" w:rsidR="006D7D84" w:rsidRPr="003A6407" w:rsidRDefault="006D7D84"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4.7</w:t>
            </w:r>
          </w:p>
        </w:tc>
        <w:tc>
          <w:tcPr>
            <w:tcW w:w="367" w:type="pct"/>
            <w:shd w:val="clear" w:color="auto" w:fill="auto"/>
            <w:vAlign w:val="center"/>
          </w:tcPr>
          <w:p w14:paraId="01E61B14"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EFS</w:t>
            </w:r>
          </w:p>
        </w:tc>
        <w:tc>
          <w:tcPr>
            <w:tcW w:w="415" w:type="pct"/>
            <w:shd w:val="clear" w:color="auto" w:fill="auto"/>
            <w:vAlign w:val="center"/>
          </w:tcPr>
          <w:p w14:paraId="73A9908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przejściowy</w:t>
            </w:r>
          </w:p>
        </w:tc>
        <w:tc>
          <w:tcPr>
            <w:tcW w:w="268" w:type="pct"/>
            <w:shd w:val="clear" w:color="auto" w:fill="auto"/>
            <w:vAlign w:val="center"/>
          </w:tcPr>
          <w:p w14:paraId="4B196E38" w14:textId="1A60E1B2" w:rsidR="00BA4C5C" w:rsidRPr="003A6407" w:rsidRDefault="00387F9D" w:rsidP="00270B09">
            <w:pPr>
              <w:shd w:val="clear" w:color="auto" w:fill="FFFFFF"/>
              <w:spacing w:before="120" w:after="120" w:line="240" w:lineRule="auto"/>
              <w:jc w:val="center"/>
              <w:rPr>
                <w:rFonts w:asciiTheme="minorHAnsi" w:eastAsia="Calibri" w:hAnsiTheme="minorHAnsi" w:cstheme="minorHAnsi"/>
                <w:noProof/>
                <w:sz w:val="16"/>
                <w:szCs w:val="16"/>
              </w:rPr>
            </w:pPr>
            <w:r>
              <w:rPr>
                <w:rFonts w:asciiTheme="minorHAnsi" w:eastAsia="Calibri" w:hAnsiTheme="minorHAnsi" w:cstheme="minorHAnsi"/>
                <w:noProof/>
                <w:sz w:val="16"/>
                <w:szCs w:val="16"/>
              </w:rPr>
              <w:t>EECR03</w:t>
            </w:r>
          </w:p>
        </w:tc>
        <w:tc>
          <w:tcPr>
            <w:tcW w:w="1050" w:type="pct"/>
            <w:shd w:val="clear" w:color="auto" w:fill="auto"/>
            <w:vAlign w:val="center"/>
          </w:tcPr>
          <w:p w14:paraId="29A64485" w14:textId="11BF16D9" w:rsidR="00BA4C5C" w:rsidRPr="003A6407" w:rsidRDefault="00387F9D" w:rsidP="00270B09">
            <w:pPr>
              <w:keepNext/>
              <w:keepLines/>
              <w:spacing w:before="200" w:after="0"/>
              <w:jc w:val="center"/>
              <w:outlineLvl w:val="2"/>
              <w:rPr>
                <w:rFonts w:asciiTheme="minorHAnsi" w:eastAsia="Calibri" w:hAnsiTheme="minorHAnsi" w:cstheme="minorHAnsi"/>
                <w:noProof/>
                <w:sz w:val="16"/>
                <w:szCs w:val="16"/>
              </w:rPr>
            </w:pPr>
            <w:bookmarkStart w:id="387" w:name="_Toc98189026"/>
            <w:bookmarkStart w:id="388" w:name="_Toc120464520"/>
            <w:r>
              <w:rPr>
                <w:rFonts w:asciiTheme="minorHAnsi" w:eastAsia="Times New Roman" w:hAnsiTheme="minorHAnsi" w:cstheme="minorHAnsi"/>
                <w:bCs/>
                <w:noProof/>
                <w:sz w:val="16"/>
                <w:szCs w:val="16"/>
              </w:rPr>
              <w:t>Uczestnicy uzyskujący</w:t>
            </w:r>
            <w:r w:rsidR="00BA4C5C" w:rsidRPr="003A6407">
              <w:rPr>
                <w:rFonts w:asciiTheme="minorHAnsi" w:eastAsia="Times New Roman" w:hAnsiTheme="minorHAnsi" w:cstheme="minorHAnsi"/>
                <w:bCs/>
                <w:noProof/>
                <w:sz w:val="16"/>
                <w:szCs w:val="16"/>
              </w:rPr>
              <w:t xml:space="preserve"> kwalifikacje po opuszczeniu programu</w:t>
            </w:r>
            <w:bookmarkEnd w:id="387"/>
            <w:bookmarkEnd w:id="388"/>
          </w:p>
        </w:tc>
        <w:tc>
          <w:tcPr>
            <w:tcW w:w="409" w:type="pct"/>
            <w:shd w:val="clear" w:color="auto" w:fill="auto"/>
            <w:vAlign w:val="center"/>
          </w:tcPr>
          <w:p w14:paraId="6A9F648D"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osoby</w:t>
            </w:r>
          </w:p>
        </w:tc>
        <w:tc>
          <w:tcPr>
            <w:tcW w:w="670" w:type="pct"/>
            <w:vAlign w:val="center"/>
          </w:tcPr>
          <w:p w14:paraId="7FE164F0"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0,00</w:t>
            </w:r>
          </w:p>
        </w:tc>
        <w:tc>
          <w:tcPr>
            <w:tcW w:w="262" w:type="pct"/>
            <w:shd w:val="clear" w:color="auto" w:fill="auto"/>
            <w:vAlign w:val="center"/>
          </w:tcPr>
          <w:p w14:paraId="04EA44BA"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2022</w:t>
            </w:r>
          </w:p>
        </w:tc>
        <w:tc>
          <w:tcPr>
            <w:tcW w:w="408" w:type="pct"/>
            <w:shd w:val="clear" w:color="auto" w:fill="auto"/>
            <w:vAlign w:val="center"/>
          </w:tcPr>
          <w:p w14:paraId="2A5B38A9"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5 140</w:t>
            </w:r>
          </w:p>
        </w:tc>
        <w:tc>
          <w:tcPr>
            <w:tcW w:w="407" w:type="pct"/>
            <w:vAlign w:val="center"/>
          </w:tcPr>
          <w:p w14:paraId="089981DE"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r w:rsidRPr="003A6407">
              <w:rPr>
                <w:rFonts w:asciiTheme="minorHAnsi" w:eastAsia="Calibri" w:hAnsiTheme="minorHAnsi" w:cstheme="minorHAnsi"/>
                <w:noProof/>
                <w:sz w:val="16"/>
                <w:szCs w:val="16"/>
              </w:rPr>
              <w:t>SL</w:t>
            </w:r>
          </w:p>
        </w:tc>
        <w:tc>
          <w:tcPr>
            <w:tcW w:w="406" w:type="pct"/>
            <w:vAlign w:val="center"/>
          </w:tcPr>
          <w:p w14:paraId="0417C64B" w14:textId="77777777" w:rsidR="00BA4C5C" w:rsidRPr="003A6407" w:rsidRDefault="00BA4C5C" w:rsidP="00270B09">
            <w:pPr>
              <w:shd w:val="clear" w:color="auto" w:fill="FFFFFF"/>
              <w:spacing w:before="120" w:after="120" w:line="240" w:lineRule="auto"/>
              <w:jc w:val="center"/>
              <w:rPr>
                <w:rFonts w:asciiTheme="minorHAnsi" w:eastAsia="Calibri" w:hAnsiTheme="minorHAnsi" w:cstheme="minorHAnsi"/>
                <w:noProof/>
                <w:sz w:val="16"/>
                <w:szCs w:val="16"/>
              </w:rPr>
            </w:pPr>
          </w:p>
        </w:tc>
      </w:tr>
      <w:tr w:rsidR="00BA4C5C" w:rsidRPr="003A6407" w14:paraId="4A62C051" w14:textId="77777777" w:rsidTr="002B58A1">
        <w:trPr>
          <w:trHeight w:val="340"/>
        </w:trPr>
        <w:tc>
          <w:tcPr>
            <w:tcW w:w="5000" w:type="pct"/>
            <w:gridSpan w:val="11"/>
          </w:tcPr>
          <w:p w14:paraId="7D4D9CA5"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Metodologia:</w:t>
            </w:r>
          </w:p>
          <w:p w14:paraId="257F5D14"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 xml:space="preserve">Na podstawie danych historycznych RPO WD 2014-2020, gdzie efektywność Działania 10.4 w ramach wskaźnika: Liczba osób, które uzyskały kwalifikacje w ramach pozaszkolnych form kształcenia wynosiła 70%, a efektywność Działania 10.3 (również realizująca tą formę wsparcia, gdzie kwalifikacje podnoszą osoby 25+, 50+ oraz o niskich kwalifikacjach) to ok. 76%. Co oznacza, że tylko 70% -76% uczestników wsparcia nabyło kompetencje zgodnie z definicją wskaźnika. </w:t>
            </w:r>
          </w:p>
          <w:p w14:paraId="22229AEA"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Z uwagi na powyższe zakłada się, że wartość docelowa wskaźnika rezultatu to 70% wartości wskaźnika produktu: Liczba osób dorosłych objętych usługami rozwojowymi.</w:t>
            </w:r>
          </w:p>
          <w:p w14:paraId="249DC3E6"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p>
          <w:p w14:paraId="53710D92" w14:textId="77777777"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Wyliczenie:</w:t>
            </w:r>
          </w:p>
          <w:p w14:paraId="33226AAA" w14:textId="01687836" w:rsidR="00BA4C5C" w:rsidRPr="003A6407" w:rsidRDefault="00BA4C5C" w:rsidP="00270B09">
            <w:pPr>
              <w:shd w:val="clear" w:color="auto" w:fill="FFFFFF"/>
              <w:spacing w:before="60" w:after="60" w:line="240" w:lineRule="auto"/>
              <w:jc w:val="both"/>
              <w:rPr>
                <w:rFonts w:asciiTheme="minorHAnsi" w:eastAsia="Calibri" w:hAnsiTheme="minorHAnsi" w:cstheme="minorHAnsi"/>
              </w:rPr>
            </w:pPr>
            <w:r w:rsidRPr="003A6407">
              <w:rPr>
                <w:rFonts w:asciiTheme="minorHAnsi" w:eastAsia="Calibri" w:hAnsiTheme="minorHAnsi" w:cstheme="minorHAnsi"/>
              </w:rPr>
              <w:t>7 343 * 70% = 5 140 osoby.</w:t>
            </w:r>
          </w:p>
        </w:tc>
      </w:tr>
    </w:tbl>
    <w:p w14:paraId="4978C4FB" w14:textId="77777777" w:rsidR="00BA4C5C" w:rsidRPr="003A6407" w:rsidRDefault="00BA4C5C" w:rsidP="000B32E2">
      <w:pPr>
        <w:rPr>
          <w:rFonts w:asciiTheme="minorHAnsi" w:eastAsia="Calibri" w:hAnsiTheme="minorHAnsi" w:cstheme="minorHAnsi"/>
        </w:rPr>
      </w:pPr>
    </w:p>
    <w:p w14:paraId="4A0C9C13" w14:textId="20FDB76E" w:rsidR="002C7A7F" w:rsidRPr="003A6407" w:rsidRDefault="006D7D84" w:rsidP="002C7A7F">
      <w:pPr>
        <w:keepNext/>
        <w:keepLines/>
        <w:spacing w:before="480" w:after="0"/>
        <w:outlineLvl w:val="0"/>
        <w:rPr>
          <w:rFonts w:eastAsia="Times New Roman" w:cs="Times New Roman"/>
          <w:b/>
          <w:bCs/>
          <w:color w:val="365F91"/>
          <w:sz w:val="28"/>
          <w:szCs w:val="28"/>
        </w:rPr>
      </w:pPr>
      <w:bookmarkStart w:id="389" w:name="_Toc120464521"/>
      <w:r w:rsidRPr="006D7D84">
        <w:rPr>
          <w:rFonts w:eastAsia="Times New Roman" w:cs="Times New Roman"/>
          <w:b/>
          <w:bCs/>
          <w:color w:val="365F91"/>
          <w:sz w:val="28"/>
          <w:szCs w:val="28"/>
        </w:rPr>
        <w:t xml:space="preserve">PRIORYTET </w:t>
      </w:r>
      <w:r>
        <w:rPr>
          <w:rFonts w:eastAsia="Times New Roman" w:cs="Times New Roman"/>
          <w:b/>
          <w:bCs/>
          <w:color w:val="365F91"/>
          <w:sz w:val="28"/>
          <w:szCs w:val="28"/>
        </w:rPr>
        <w:t>9</w:t>
      </w:r>
      <w:r w:rsidRPr="006D7D84">
        <w:rPr>
          <w:rFonts w:eastAsia="Times New Roman" w:cs="Times New Roman"/>
          <w:b/>
          <w:bCs/>
          <w:color w:val="365F91"/>
          <w:sz w:val="28"/>
          <w:szCs w:val="28"/>
        </w:rPr>
        <w:t xml:space="preserve">: FUNDUSZE EUROPEJSKIE </w:t>
      </w:r>
      <w:r>
        <w:rPr>
          <w:rFonts w:eastAsia="Times New Roman" w:cs="Times New Roman"/>
          <w:b/>
          <w:bCs/>
          <w:color w:val="365F91"/>
          <w:sz w:val="28"/>
          <w:szCs w:val="28"/>
        </w:rPr>
        <w:t xml:space="preserve">NA RZECZ TRANSFORMACJI OBSZARÓW GÓRNICZYCH </w:t>
      </w:r>
      <w:r w:rsidR="00E37971">
        <w:rPr>
          <w:rFonts w:eastAsia="Times New Roman" w:cs="Times New Roman"/>
          <w:b/>
          <w:bCs/>
          <w:color w:val="365F91"/>
          <w:sz w:val="28"/>
          <w:szCs w:val="28"/>
        </w:rPr>
        <w:t xml:space="preserve">NA DOLNYM ŚLĄSKU </w:t>
      </w:r>
      <w:r w:rsidR="002C7A7F" w:rsidRPr="003A6407">
        <w:rPr>
          <w:rFonts w:eastAsia="Times New Roman" w:cs="Times New Roman"/>
          <w:b/>
          <w:bCs/>
          <w:color w:val="365F91"/>
          <w:sz w:val="28"/>
          <w:szCs w:val="28"/>
        </w:rPr>
        <w:t>(</w:t>
      </w:r>
      <w:r w:rsidR="002C7A7F" w:rsidRPr="003A6407">
        <w:rPr>
          <w:rFonts w:eastAsia="Times New Roman" w:cs="Times New Roman"/>
          <w:b/>
          <w:bCs/>
          <w:color w:val="365F91"/>
          <w:sz w:val="28"/>
          <w:szCs w:val="28"/>
          <w:lang w:val="x-none"/>
        </w:rPr>
        <w:t>CP6</w:t>
      </w:r>
      <w:r w:rsidR="002C7A7F" w:rsidRPr="003A6407">
        <w:rPr>
          <w:rFonts w:eastAsia="Times New Roman" w:cs="Times New Roman"/>
          <w:b/>
          <w:bCs/>
          <w:color w:val="365F91"/>
          <w:sz w:val="28"/>
          <w:szCs w:val="28"/>
        </w:rPr>
        <w:t>)</w:t>
      </w:r>
      <w:bookmarkEnd w:id="228"/>
      <w:bookmarkEnd w:id="389"/>
    </w:p>
    <w:p w14:paraId="158A4344" w14:textId="77777777" w:rsidR="00505E89" w:rsidRPr="003A6407" w:rsidRDefault="00505E89" w:rsidP="002C7A7F">
      <w:pPr>
        <w:rPr>
          <w:rFonts w:eastAsia="Calibri"/>
        </w:rPr>
      </w:pPr>
    </w:p>
    <w:p w14:paraId="1DA2F672" w14:textId="2722ECE8" w:rsidR="002C7A7F" w:rsidRPr="003A6407" w:rsidRDefault="002C7A7F" w:rsidP="002C7A7F">
      <w:pPr>
        <w:keepNext/>
        <w:keepLines/>
        <w:spacing w:before="200"/>
        <w:jc w:val="both"/>
        <w:outlineLvl w:val="1"/>
        <w:rPr>
          <w:rFonts w:eastAsia="Calibri" w:cstheme="majorBidi"/>
          <w:b/>
          <w:bCs/>
          <w:color w:val="4F81BD" w:themeColor="accent1"/>
          <w:sz w:val="24"/>
          <w:szCs w:val="26"/>
        </w:rPr>
      </w:pPr>
      <w:bookmarkStart w:id="390" w:name="_Toc114662376"/>
      <w:bookmarkStart w:id="391" w:name="_Toc120464522"/>
      <w:r w:rsidRPr="003A6407">
        <w:rPr>
          <w:rFonts w:eastAsia="Calibri" w:cstheme="majorBidi"/>
          <w:b/>
          <w:bCs/>
          <w:color w:val="4F81BD" w:themeColor="accent1"/>
          <w:sz w:val="24"/>
          <w:szCs w:val="26"/>
        </w:rPr>
        <w:t xml:space="preserve">CEL SZCZEGÓŁOWY: </w:t>
      </w:r>
      <w:r w:rsidR="00E37971" w:rsidRPr="00E37971">
        <w:rPr>
          <w:rFonts w:eastAsia="Calibri" w:cstheme="majorBidi"/>
          <w:b/>
          <w:bCs/>
          <w:color w:val="4F81BD" w:themeColor="accent1"/>
          <w:sz w:val="24"/>
          <w:szCs w:val="26"/>
        </w:rPr>
        <w:t>JSO8.1.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bookmarkEnd w:id="390"/>
      <w:bookmarkEnd w:id="391"/>
    </w:p>
    <w:p w14:paraId="0FD52DDD" w14:textId="25CD81E5" w:rsidR="002C7A7F" w:rsidRDefault="002C7A7F" w:rsidP="00BC2057">
      <w:pPr>
        <w:pStyle w:val="Nagwek2"/>
        <w:rPr>
          <w:rFonts w:eastAsia="Times New Roman"/>
        </w:rPr>
      </w:pPr>
      <w:bookmarkStart w:id="392" w:name="_Toc95917153"/>
      <w:bookmarkStart w:id="393" w:name="_Toc97895943"/>
      <w:bookmarkStart w:id="394" w:name="_Toc114662377"/>
      <w:bookmarkStart w:id="395" w:name="_Toc120464523"/>
      <w:r w:rsidRPr="003A6407">
        <w:rPr>
          <w:rFonts w:eastAsia="Times New Roman"/>
        </w:rPr>
        <w:t>Wskaźniki produktu</w:t>
      </w:r>
      <w:bookmarkEnd w:id="392"/>
      <w:bookmarkEnd w:id="393"/>
      <w:bookmarkEnd w:id="394"/>
      <w:bookmarkEnd w:id="395"/>
    </w:p>
    <w:p w14:paraId="57FD0781" w14:textId="2115CD7C" w:rsidR="000B200D" w:rsidRDefault="000B200D" w:rsidP="000B200D"/>
    <w:p w14:paraId="5C78DDEB" w14:textId="366DF31A" w:rsidR="000B200D" w:rsidRPr="000B200D" w:rsidRDefault="000B200D" w:rsidP="000B200D">
      <w:pPr>
        <w:rPr>
          <w:b/>
          <w:bCs/>
        </w:rPr>
      </w:pPr>
      <w:r w:rsidRPr="000B200D">
        <w:rPr>
          <w:b/>
          <w:bCs/>
        </w:rPr>
        <w:t>Cel społeczny:</w:t>
      </w: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0B200D" w:rsidRPr="00CF4FA1" w14:paraId="0AF670B2" w14:textId="77777777" w:rsidTr="00B5591A">
        <w:trPr>
          <w:cantSplit/>
          <w:trHeight w:val="1647"/>
        </w:trPr>
        <w:tc>
          <w:tcPr>
            <w:tcW w:w="451" w:type="pct"/>
            <w:shd w:val="clear" w:color="auto" w:fill="auto"/>
          </w:tcPr>
          <w:p w14:paraId="12677762"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bookmarkStart w:id="396" w:name="_Hlk97831536"/>
            <w:r w:rsidRPr="00CF4FA1">
              <w:rPr>
                <w:rFonts w:eastAsia="Calibri" w:cs="Times New Roman"/>
                <w:b/>
                <w:noProof/>
                <w:sz w:val="16"/>
                <w:szCs w:val="16"/>
              </w:rPr>
              <w:t>CP 6</w:t>
            </w:r>
          </w:p>
          <w:p w14:paraId="265BA6C5"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Cel szczegółowy </w:t>
            </w:r>
          </w:p>
        </w:tc>
        <w:tc>
          <w:tcPr>
            <w:tcW w:w="494" w:type="pct"/>
            <w:shd w:val="clear" w:color="auto" w:fill="auto"/>
          </w:tcPr>
          <w:p w14:paraId="2519A7F0"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Fundusz</w:t>
            </w:r>
          </w:p>
        </w:tc>
        <w:tc>
          <w:tcPr>
            <w:tcW w:w="558" w:type="pct"/>
            <w:shd w:val="clear" w:color="auto" w:fill="auto"/>
          </w:tcPr>
          <w:p w14:paraId="644C69E4"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Kategoria regionu</w:t>
            </w:r>
          </w:p>
        </w:tc>
        <w:tc>
          <w:tcPr>
            <w:tcW w:w="423" w:type="pct"/>
            <w:shd w:val="clear" w:color="auto" w:fill="auto"/>
            <w:textDirection w:val="btLr"/>
          </w:tcPr>
          <w:p w14:paraId="62874983" w14:textId="77777777" w:rsidR="000B200D" w:rsidRPr="00CF4FA1" w:rsidRDefault="000B200D" w:rsidP="00CF4FA1">
            <w:pPr>
              <w:shd w:val="clear" w:color="auto" w:fill="FFFFFF"/>
              <w:spacing w:before="120" w:after="120" w:line="240" w:lineRule="auto"/>
              <w:ind w:left="113" w:right="113"/>
              <w:jc w:val="center"/>
              <w:rPr>
                <w:rFonts w:eastAsia="Calibri" w:cs="Times New Roman"/>
                <w:b/>
                <w:noProof/>
                <w:sz w:val="16"/>
                <w:szCs w:val="16"/>
              </w:rPr>
            </w:pPr>
            <w:r w:rsidRPr="00CF4FA1">
              <w:rPr>
                <w:rFonts w:eastAsia="Calibri" w:cs="Times New Roman"/>
                <w:b/>
                <w:noProof/>
                <w:sz w:val="16"/>
                <w:szCs w:val="16"/>
              </w:rPr>
              <w:t>Nr identyfikacyjny [5]</w:t>
            </w:r>
          </w:p>
        </w:tc>
        <w:tc>
          <w:tcPr>
            <w:tcW w:w="1348" w:type="pct"/>
            <w:shd w:val="clear" w:color="auto" w:fill="auto"/>
          </w:tcPr>
          <w:p w14:paraId="7B1BFFD3"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Wskaźnik [255] </w:t>
            </w:r>
          </w:p>
        </w:tc>
        <w:tc>
          <w:tcPr>
            <w:tcW w:w="549" w:type="pct"/>
            <w:shd w:val="clear" w:color="auto" w:fill="auto"/>
          </w:tcPr>
          <w:p w14:paraId="7C324EAA"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Jednostka miary</w:t>
            </w:r>
          </w:p>
        </w:tc>
        <w:tc>
          <w:tcPr>
            <w:tcW w:w="627" w:type="pct"/>
            <w:shd w:val="clear" w:color="auto" w:fill="auto"/>
          </w:tcPr>
          <w:p w14:paraId="3100CA44"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Cel pośredni (2024)</w:t>
            </w:r>
          </w:p>
          <w:p w14:paraId="065C6BF2"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p>
        </w:tc>
        <w:tc>
          <w:tcPr>
            <w:tcW w:w="550" w:type="pct"/>
            <w:shd w:val="clear" w:color="auto" w:fill="auto"/>
          </w:tcPr>
          <w:p w14:paraId="22A5E334"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Cel (2029)</w:t>
            </w:r>
          </w:p>
          <w:p w14:paraId="510A15E2"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p>
        </w:tc>
      </w:tr>
      <w:tr w:rsidR="000B200D" w:rsidRPr="00CF4FA1" w14:paraId="2CEA0FB5" w14:textId="77777777" w:rsidTr="002C70B7">
        <w:trPr>
          <w:trHeight w:val="340"/>
        </w:trPr>
        <w:tc>
          <w:tcPr>
            <w:tcW w:w="451" w:type="pct"/>
            <w:shd w:val="clear" w:color="auto" w:fill="auto"/>
            <w:vAlign w:val="center"/>
          </w:tcPr>
          <w:p w14:paraId="2B4E1E3A"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lastRenderedPageBreak/>
              <w:t>8.1</w:t>
            </w:r>
          </w:p>
        </w:tc>
        <w:tc>
          <w:tcPr>
            <w:tcW w:w="494" w:type="pct"/>
            <w:shd w:val="clear" w:color="auto" w:fill="auto"/>
            <w:vAlign w:val="center"/>
          </w:tcPr>
          <w:p w14:paraId="6EEA6E6F"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FST</w:t>
            </w:r>
          </w:p>
        </w:tc>
        <w:tc>
          <w:tcPr>
            <w:tcW w:w="558" w:type="pct"/>
            <w:shd w:val="clear" w:color="auto" w:fill="auto"/>
            <w:vAlign w:val="center"/>
          </w:tcPr>
          <w:p w14:paraId="329B9096"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przejściowy</w:t>
            </w:r>
          </w:p>
        </w:tc>
        <w:tc>
          <w:tcPr>
            <w:tcW w:w="423" w:type="pct"/>
            <w:shd w:val="clear" w:color="auto" w:fill="auto"/>
            <w:vAlign w:val="center"/>
          </w:tcPr>
          <w:p w14:paraId="15069280"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bookmarkStart w:id="397" w:name="_Hlk98147064"/>
            <w:r w:rsidRPr="002C70B7">
              <w:rPr>
                <w:rFonts w:eastAsia="Calibri" w:cs="Times New Roman"/>
                <w:i/>
                <w:noProof/>
                <w:sz w:val="16"/>
                <w:szCs w:val="16"/>
              </w:rPr>
              <w:t>EECO 0</w:t>
            </w:r>
            <w:bookmarkEnd w:id="397"/>
            <w:r w:rsidRPr="002C70B7">
              <w:rPr>
                <w:rFonts w:eastAsia="Calibri" w:cs="Times New Roman"/>
                <w:i/>
                <w:noProof/>
                <w:sz w:val="16"/>
                <w:szCs w:val="16"/>
              </w:rPr>
              <w:t>2</w:t>
            </w:r>
          </w:p>
        </w:tc>
        <w:tc>
          <w:tcPr>
            <w:tcW w:w="1348" w:type="pct"/>
            <w:shd w:val="clear" w:color="auto" w:fill="auto"/>
            <w:vAlign w:val="center"/>
          </w:tcPr>
          <w:p w14:paraId="382F0155" w14:textId="6319585A" w:rsidR="000B200D" w:rsidRPr="002C70B7" w:rsidRDefault="003956B5" w:rsidP="002C70B7">
            <w:pPr>
              <w:keepNext/>
              <w:keepLines/>
              <w:spacing w:before="200" w:after="0"/>
              <w:jc w:val="center"/>
              <w:outlineLvl w:val="2"/>
              <w:rPr>
                <w:rFonts w:eastAsia="Calibri" w:cs="Times New Roman"/>
                <w:i/>
                <w:noProof/>
                <w:sz w:val="16"/>
                <w:szCs w:val="16"/>
              </w:rPr>
            </w:pPr>
            <w:bookmarkStart w:id="398" w:name="_Toc120464524"/>
            <w:r w:rsidRPr="003956B5">
              <w:rPr>
                <w:rFonts w:asciiTheme="minorHAnsi" w:eastAsia="Times New Roman" w:hAnsiTheme="minorHAnsi" w:cstheme="minorHAnsi"/>
                <w:bCs/>
                <w:i/>
                <w:iCs/>
                <w:noProof/>
                <w:sz w:val="16"/>
                <w:szCs w:val="16"/>
              </w:rPr>
              <w:t>Bezrobotni, w tym długotrwale bezrobotni</w:t>
            </w:r>
            <w:bookmarkEnd w:id="398"/>
          </w:p>
        </w:tc>
        <w:tc>
          <w:tcPr>
            <w:tcW w:w="549" w:type="pct"/>
            <w:shd w:val="clear" w:color="auto" w:fill="auto"/>
            <w:vAlign w:val="center"/>
          </w:tcPr>
          <w:p w14:paraId="7E52E2A1"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osoby</w:t>
            </w:r>
          </w:p>
        </w:tc>
        <w:tc>
          <w:tcPr>
            <w:tcW w:w="627" w:type="pct"/>
            <w:shd w:val="clear" w:color="auto" w:fill="auto"/>
            <w:vAlign w:val="center"/>
          </w:tcPr>
          <w:p w14:paraId="4CCD4900" w14:textId="67A5254D" w:rsidR="000B200D" w:rsidRPr="002C70B7" w:rsidRDefault="009E3C6B" w:rsidP="002C70B7">
            <w:pPr>
              <w:shd w:val="clear" w:color="auto" w:fill="FFFFFF"/>
              <w:spacing w:before="120" w:after="120" w:line="240" w:lineRule="auto"/>
              <w:jc w:val="center"/>
              <w:rPr>
                <w:rFonts w:eastAsia="Calibri" w:cs="Times New Roman"/>
                <w:i/>
                <w:noProof/>
                <w:sz w:val="16"/>
                <w:szCs w:val="16"/>
              </w:rPr>
            </w:pPr>
            <w:r>
              <w:rPr>
                <w:rFonts w:eastAsia="Calibri" w:cs="Times New Roman"/>
                <w:i/>
                <w:noProof/>
                <w:sz w:val="16"/>
                <w:szCs w:val="16"/>
              </w:rPr>
              <w:t>122</w:t>
            </w:r>
            <w:r w:rsidR="000B200D">
              <w:rPr>
                <w:rFonts w:eastAsia="Calibri" w:cs="Times New Roman"/>
                <w:i/>
                <w:noProof/>
                <w:sz w:val="16"/>
                <w:szCs w:val="16"/>
              </w:rPr>
              <w:t>,00</w:t>
            </w:r>
          </w:p>
        </w:tc>
        <w:tc>
          <w:tcPr>
            <w:tcW w:w="550" w:type="pct"/>
            <w:shd w:val="clear" w:color="auto" w:fill="auto"/>
            <w:vAlign w:val="center"/>
          </w:tcPr>
          <w:p w14:paraId="7A76716B" w14:textId="526BD725" w:rsidR="000B200D" w:rsidRPr="002C70B7" w:rsidRDefault="00607A06" w:rsidP="002C70B7">
            <w:pPr>
              <w:shd w:val="clear" w:color="auto" w:fill="FFFFFF"/>
              <w:spacing w:before="120" w:after="120" w:line="240" w:lineRule="auto"/>
              <w:jc w:val="center"/>
              <w:rPr>
                <w:rFonts w:eastAsia="Calibri" w:cs="Times New Roman"/>
                <w:i/>
                <w:noProof/>
                <w:sz w:val="16"/>
                <w:szCs w:val="16"/>
              </w:rPr>
            </w:pPr>
            <w:r>
              <w:rPr>
                <w:rFonts w:eastAsia="Calibri" w:cs="Times New Roman"/>
                <w:i/>
                <w:noProof/>
                <w:sz w:val="16"/>
                <w:szCs w:val="16"/>
              </w:rPr>
              <w:t>816</w:t>
            </w:r>
            <w:r w:rsidR="000B200D">
              <w:rPr>
                <w:rFonts w:eastAsia="Calibri" w:cs="Times New Roman"/>
                <w:i/>
                <w:noProof/>
                <w:sz w:val="16"/>
                <w:szCs w:val="16"/>
              </w:rPr>
              <w:t>,00</w:t>
            </w:r>
          </w:p>
        </w:tc>
      </w:tr>
      <w:tr w:rsidR="000B200D" w:rsidRPr="00CF4FA1" w14:paraId="08F53695" w14:textId="77777777" w:rsidTr="00B5591A">
        <w:trPr>
          <w:trHeight w:val="340"/>
        </w:trPr>
        <w:tc>
          <w:tcPr>
            <w:tcW w:w="5000" w:type="pct"/>
            <w:gridSpan w:val="8"/>
            <w:shd w:val="clear" w:color="auto" w:fill="auto"/>
          </w:tcPr>
          <w:p w14:paraId="2A6953B8" w14:textId="77777777" w:rsidR="000B200D" w:rsidRPr="00CF4FA1" w:rsidRDefault="000B200D" w:rsidP="00CF4FA1">
            <w:pPr>
              <w:shd w:val="clear" w:color="auto" w:fill="FFFFFF"/>
              <w:spacing w:before="60" w:after="60" w:line="240" w:lineRule="auto"/>
              <w:jc w:val="both"/>
              <w:rPr>
                <w:rFonts w:eastAsia="Calibri"/>
              </w:rPr>
            </w:pPr>
            <w:r w:rsidRPr="00CF4FA1">
              <w:rPr>
                <w:rFonts w:eastAsia="Calibri"/>
              </w:rPr>
              <w:t>Metodologia:</w:t>
            </w:r>
          </w:p>
          <w:p w14:paraId="25BD7FD4" w14:textId="77777777" w:rsidR="000B200D" w:rsidRPr="00CF4FA1" w:rsidRDefault="000B200D" w:rsidP="00CF4FA1">
            <w:pPr>
              <w:shd w:val="clear" w:color="auto" w:fill="FFFFFF"/>
              <w:spacing w:before="60" w:after="60" w:line="240" w:lineRule="auto"/>
              <w:jc w:val="both"/>
              <w:rPr>
                <w:rFonts w:eastAsia="Calibri"/>
                <w:i/>
              </w:rPr>
            </w:pPr>
            <w:r w:rsidRPr="00CF4FA1">
              <w:rPr>
                <w:rFonts w:eastAsia="Calibri"/>
                <w:i/>
              </w:rPr>
              <w:t>Wskaźnik realizuje kod interwencji:</w:t>
            </w:r>
          </w:p>
          <w:p w14:paraId="71DDB484" w14:textId="602593F4" w:rsidR="000B200D" w:rsidRPr="00CF4FA1" w:rsidRDefault="000B200D" w:rsidP="00CF4FA1">
            <w:pPr>
              <w:numPr>
                <w:ilvl w:val="0"/>
                <w:numId w:val="12"/>
              </w:numPr>
              <w:shd w:val="clear" w:color="auto" w:fill="FFFFFF"/>
              <w:spacing w:before="60" w:after="60" w:line="240" w:lineRule="auto"/>
              <w:contextualSpacing/>
              <w:jc w:val="both"/>
              <w:rPr>
                <w:rFonts w:eastAsia="Calibri" w:cs="Times New Roman"/>
                <w:i/>
                <w:sz w:val="22"/>
                <w:szCs w:val="22"/>
              </w:rPr>
            </w:pPr>
            <w:r w:rsidRPr="00CF4FA1">
              <w:rPr>
                <w:rFonts w:eastAsia="Calibri" w:cs="Times New Roman"/>
                <w:i/>
              </w:rPr>
              <w:t>163 Promowanie integracji społecznej osób zagrożonych ubóstwem lub wykluczeniem społecznym, w tym osób najbardziej potrzebujących i dzieci (</w:t>
            </w:r>
            <w:r w:rsidR="00607A06">
              <w:rPr>
                <w:rFonts w:eastAsia="Calibri" w:cs="Times New Roman"/>
                <w:i/>
              </w:rPr>
              <w:t>14</w:t>
            </w:r>
            <w:r w:rsidRPr="00CF4FA1">
              <w:rPr>
                <w:rFonts w:eastAsia="Calibri" w:cs="Times New Roman"/>
                <w:i/>
              </w:rPr>
              <w:t> 000 000 EUR).</w:t>
            </w:r>
          </w:p>
          <w:p w14:paraId="61631740" w14:textId="5DFFEE1B" w:rsidR="000B200D" w:rsidRPr="00CF4FA1" w:rsidRDefault="000B200D" w:rsidP="00CF4FA1">
            <w:pPr>
              <w:shd w:val="clear" w:color="auto" w:fill="FFFFFF"/>
              <w:spacing w:beforeLines="150" w:before="360" w:afterLines="60" w:after="144" w:line="240" w:lineRule="auto"/>
              <w:jc w:val="both"/>
              <w:rPr>
                <w:rFonts w:eastAsia="Calibri"/>
                <w:i/>
              </w:rPr>
            </w:pPr>
            <w:r w:rsidRPr="00CF4FA1">
              <w:rPr>
                <w:rFonts w:eastAsia="Calibri"/>
                <w:i/>
              </w:rPr>
              <w:t xml:space="preserve">Szacując wartość docelową wskaźnika zakłada się, w oparciu o dane dotyczące wsparcia osób bezrobotnych w ramach działania 9.1 RPO WD 2014-2020, że ok. 37% alokacji z kodu 163, tj. </w:t>
            </w:r>
            <w:r w:rsidR="00607A06">
              <w:rPr>
                <w:rFonts w:eastAsia="Calibri"/>
                <w:i/>
              </w:rPr>
              <w:t>5 180</w:t>
            </w:r>
            <w:r w:rsidRPr="00CF4FA1">
              <w:rPr>
                <w:rFonts w:eastAsia="Calibri"/>
                <w:i/>
              </w:rPr>
              <w:t xml:space="preserve"> 000 EUR będzie realizować wskaźnik. </w:t>
            </w:r>
          </w:p>
          <w:p w14:paraId="317FD049" w14:textId="224EF91D"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t xml:space="preserve">Biorąc pod uwagę kurs EUR na poziomie 4,45 alokacja na realizację wskaźnika wynosi </w:t>
            </w:r>
            <w:r w:rsidR="00607A06">
              <w:rPr>
                <w:rFonts w:eastAsia="Calibri"/>
                <w:i/>
              </w:rPr>
              <w:t>23 051</w:t>
            </w:r>
            <w:r>
              <w:rPr>
                <w:rFonts w:eastAsia="Calibri"/>
                <w:i/>
              </w:rPr>
              <w:t> </w:t>
            </w:r>
            <w:r w:rsidRPr="00650D05">
              <w:rPr>
                <w:rFonts w:eastAsia="Calibri"/>
                <w:i/>
              </w:rPr>
              <w:t>000</w:t>
            </w:r>
            <w:r>
              <w:rPr>
                <w:rFonts w:eastAsia="Calibri"/>
                <w:i/>
              </w:rPr>
              <w:t xml:space="preserve"> </w:t>
            </w:r>
            <w:r w:rsidRPr="00CF4FA1">
              <w:rPr>
                <w:rFonts w:eastAsia="Calibri"/>
                <w:i/>
              </w:rPr>
              <w:t>PLN.</w:t>
            </w:r>
          </w:p>
          <w:p w14:paraId="0F6658CA" w14:textId="77777777"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t>Historyczny koszt jednostkowy na bazie doświadczeń z perspektywy 2014-2020 wynosi 27 101,23 PLN</w:t>
            </w:r>
            <w:r w:rsidRPr="00CF4FA1">
              <w:rPr>
                <w:rFonts w:eastAsia="Calibri"/>
                <w:i/>
                <w:vertAlign w:val="superscript"/>
              </w:rPr>
              <w:footnoteReference w:id="2"/>
            </w:r>
            <w:r>
              <w:rPr>
                <w:rFonts w:eastAsia="Calibri"/>
                <w:i/>
              </w:rPr>
              <w:t xml:space="preserve">. </w:t>
            </w:r>
            <w:r w:rsidRPr="00650D05">
              <w:rPr>
                <w:rFonts w:eastAsia="Calibri"/>
                <w:i/>
              </w:rPr>
              <w:t xml:space="preserve">Koszt jednostkowy został skorygowany w oparciu o wartość inflacji na poziomie 15% i wynosi  31 166,41 PLN, a obniżony do wartości dofinansowania na poziomie 70% wynosi 21 816,49 PLN. </w:t>
            </w:r>
            <w:r>
              <w:rPr>
                <w:rFonts w:eastAsia="Calibri"/>
                <w:i/>
              </w:rPr>
              <w:t>N</w:t>
            </w:r>
            <w:r w:rsidRPr="00CF4FA1">
              <w:rPr>
                <w:rFonts w:eastAsia="Calibri"/>
                <w:i/>
              </w:rPr>
              <w:t xml:space="preserve">a podstawie tych danych wyliczono wartość wskaźnika. Jednocześnie na podstawie </w:t>
            </w:r>
            <w:proofErr w:type="spellStart"/>
            <w:r w:rsidRPr="00CF4FA1">
              <w:rPr>
                <w:rFonts w:eastAsia="Calibri"/>
                <w:i/>
              </w:rPr>
              <w:t>ryzyk</w:t>
            </w:r>
            <w:proofErr w:type="spellEnd"/>
            <w:r w:rsidRPr="00CF4FA1">
              <w:rPr>
                <w:rFonts w:eastAsia="Calibri"/>
                <w:i/>
              </w:rPr>
              <w:t xml:space="preserve"> związanych z realizacją tego typu projektów określono wskaźnik kompensacji: </w:t>
            </w:r>
          </w:p>
          <w:p w14:paraId="6468EFCF" w14:textId="77777777"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t>R: [(3*3)+(6*25)+(2*68)]/11 = 26,8%. Wartość zaokrąglono do pełnej wartości 27%.</w:t>
            </w:r>
          </w:p>
          <w:p w14:paraId="28C4BB68" w14:textId="77777777"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t>Wyliczenie:</w:t>
            </w:r>
          </w:p>
          <w:p w14:paraId="1E564B24" w14:textId="426267A2" w:rsidR="000B200D" w:rsidRPr="00CF4FA1" w:rsidRDefault="00607A06" w:rsidP="00CF4FA1">
            <w:pPr>
              <w:shd w:val="clear" w:color="auto" w:fill="FFFFFF"/>
              <w:spacing w:beforeLines="60" w:before="144" w:afterLines="60" w:after="144" w:line="240" w:lineRule="auto"/>
              <w:jc w:val="both"/>
              <w:rPr>
                <w:rFonts w:eastAsia="Calibri"/>
                <w:i/>
              </w:rPr>
            </w:pPr>
            <w:r>
              <w:rPr>
                <w:rFonts w:eastAsia="Calibri"/>
              </w:rPr>
              <w:t>23 051 000</w:t>
            </w:r>
            <w:r w:rsidR="000B200D" w:rsidRPr="00650D05">
              <w:rPr>
                <w:rFonts w:eastAsia="Calibri"/>
                <w:i/>
              </w:rPr>
              <w:t xml:space="preserve"> </w:t>
            </w:r>
            <w:r w:rsidR="000B200D" w:rsidRPr="00CF4FA1">
              <w:rPr>
                <w:rFonts w:eastAsia="Calibri"/>
                <w:i/>
              </w:rPr>
              <w:t xml:space="preserve">/ </w:t>
            </w:r>
            <w:r w:rsidR="000B200D" w:rsidRPr="00650D05">
              <w:rPr>
                <w:rFonts w:eastAsia="Calibri"/>
                <w:i/>
              </w:rPr>
              <w:t xml:space="preserve">21 816,49 </w:t>
            </w:r>
            <w:r w:rsidR="000B200D" w:rsidRPr="00CF4FA1">
              <w:rPr>
                <w:rFonts w:eastAsia="Calibri"/>
                <w:i/>
              </w:rPr>
              <w:t xml:space="preserve">* (1-0,27) = </w:t>
            </w:r>
            <w:r>
              <w:rPr>
                <w:rFonts w:eastAsia="Calibri"/>
                <w:i/>
              </w:rPr>
              <w:t xml:space="preserve">816 </w:t>
            </w:r>
            <w:r w:rsidR="000B200D" w:rsidRPr="00CF4FA1">
              <w:rPr>
                <w:rFonts w:eastAsia="Calibri"/>
                <w:i/>
              </w:rPr>
              <w:t>osób.</w:t>
            </w:r>
          </w:p>
          <w:p w14:paraId="6F8D6D0E" w14:textId="77777777" w:rsidR="000B200D" w:rsidRPr="00CF4FA1" w:rsidRDefault="000B200D" w:rsidP="00CF4FA1">
            <w:pPr>
              <w:shd w:val="clear" w:color="auto" w:fill="FFFFFF"/>
              <w:spacing w:beforeLines="60" w:before="144" w:afterLines="60" w:after="144" w:line="240" w:lineRule="auto"/>
              <w:jc w:val="both"/>
              <w:rPr>
                <w:rFonts w:eastAsia="Calibri"/>
                <w:color w:val="000000"/>
              </w:rPr>
            </w:pPr>
            <w:r w:rsidRPr="00CF4FA1">
              <w:rPr>
                <w:rFonts w:eastAsia="Calibri"/>
                <w:color w:val="000000"/>
              </w:rPr>
              <w:t>Należy zwrócić szczególną uwagę na następujące (</w:t>
            </w:r>
            <w:r w:rsidRPr="00CF4FA1">
              <w:rPr>
                <w:rFonts w:eastAsia="Calibri"/>
                <w:color w:val="000000"/>
                <w:u w:val="single"/>
              </w:rPr>
              <w:t>ogólne</w:t>
            </w:r>
            <w:r w:rsidRPr="00CF4FA1">
              <w:rPr>
                <w:rFonts w:eastAsia="Calibri"/>
                <w:color w:val="000000"/>
              </w:rPr>
              <w:t>) czynniki ryzyka, które mogą mieć wpływ na poziom osiągnięcia założonej wartości docelowej:</w:t>
            </w:r>
          </w:p>
          <w:p w14:paraId="1F9DAF25" w14:textId="77777777" w:rsidR="000B200D" w:rsidRPr="00CF4FA1" w:rsidRDefault="000B200D">
            <w:pPr>
              <w:numPr>
                <w:ilvl w:val="0"/>
                <w:numId w:val="47"/>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walutowe</w:t>
            </w:r>
            <w:r w:rsidRPr="00CF4FA1">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7F54D80F" w14:textId="77777777" w:rsidR="000B200D" w:rsidRPr="00CF4FA1" w:rsidRDefault="000B200D">
            <w:pPr>
              <w:numPr>
                <w:ilvl w:val="0"/>
                <w:numId w:val="47"/>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zawieszenie płatności przez KE dla danej osi priorytetowej</w:t>
            </w:r>
            <w:r w:rsidRPr="00CF4FA1">
              <w:rPr>
                <w:rFonts w:eastAsia="Calibri" w:cs="Times New Roman"/>
                <w:color w:val="000000"/>
              </w:rPr>
              <w:t>; (istotność: umiarkowana)</w:t>
            </w:r>
          </w:p>
          <w:p w14:paraId="74F1AB6F" w14:textId="77777777" w:rsidR="000B200D" w:rsidRPr="00CF4FA1" w:rsidRDefault="000B200D">
            <w:pPr>
              <w:numPr>
                <w:ilvl w:val="0"/>
                <w:numId w:val="47"/>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bCs/>
                <w:color w:val="000000"/>
              </w:rPr>
              <w:t xml:space="preserve">czynniki które mogą wpłynąć na harmonogram realizacji planów działania dot. spełnienia warunków wstępnych (ex </w:t>
            </w:r>
            <w:proofErr w:type="spellStart"/>
            <w:r w:rsidRPr="00CF4FA1">
              <w:rPr>
                <w:rFonts w:eastAsia="Calibri" w:cs="Times New Roman"/>
                <w:b/>
                <w:bCs/>
                <w:color w:val="000000"/>
              </w:rPr>
              <w:t>ante</w:t>
            </w:r>
            <w:proofErr w:type="spellEnd"/>
            <w:r w:rsidRPr="00CF4FA1">
              <w:rPr>
                <w:rFonts w:eastAsia="Calibri" w:cs="Times New Roman"/>
                <w:b/>
                <w:bCs/>
                <w:color w:val="000000"/>
              </w:rPr>
              <w:t>),</w:t>
            </w:r>
            <w:r w:rsidRPr="00CF4FA1">
              <w:rPr>
                <w:rFonts w:eastAsia="Calibri" w:cs="Times New Roman"/>
                <w:color w:val="000000"/>
              </w:rPr>
              <w:t xml:space="preserve"> a które są poza kompetencjami IZ oraz instytucji odpowiedzialnych za spełnienie tych warunków; (istotność: umiarkowana)</w:t>
            </w:r>
          </w:p>
          <w:p w14:paraId="764AC86B" w14:textId="77777777" w:rsidR="000B200D" w:rsidRPr="00CF4FA1" w:rsidRDefault="000B200D">
            <w:pPr>
              <w:numPr>
                <w:ilvl w:val="0"/>
                <w:numId w:val="47"/>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ostateczne ustalenia dot. Występowania i poziomu pomocy publicznej</w:t>
            </w:r>
            <w:r w:rsidRPr="00CF4FA1">
              <w:rPr>
                <w:rFonts w:eastAsia="Calibri" w:cs="Times New Roman"/>
                <w:color w:val="000000"/>
              </w:rPr>
              <w:t>; (istotność: niska)</w:t>
            </w:r>
          </w:p>
          <w:p w14:paraId="2DF79DE5" w14:textId="77777777" w:rsidR="000B200D" w:rsidRPr="00CF4FA1" w:rsidRDefault="000B200D">
            <w:pPr>
              <w:numPr>
                <w:ilvl w:val="0"/>
                <w:numId w:val="47"/>
              </w:numPr>
              <w:shd w:val="clear" w:color="auto" w:fill="FFFFFF"/>
              <w:spacing w:beforeLines="60" w:before="144" w:afterLines="60" w:after="144" w:line="240" w:lineRule="auto"/>
              <w:contextualSpacing/>
              <w:jc w:val="both"/>
              <w:rPr>
                <w:rFonts w:eastAsia="Calibri" w:cs="Times New Roman"/>
                <w:b/>
                <w:color w:val="000000"/>
              </w:rPr>
            </w:pPr>
            <w:r w:rsidRPr="00CF4FA1">
              <w:rPr>
                <w:rFonts w:eastAsia="Calibri" w:cs="Times New Roman"/>
                <w:b/>
                <w:color w:val="000000"/>
              </w:rPr>
              <w:t>opóźnienia, bądź niewykonanie projektu związane z procedurami wynikającymi z zamówień publicznych</w:t>
            </w:r>
            <w:r w:rsidRPr="00CF4FA1">
              <w:rPr>
                <w:rFonts w:eastAsia="Calibri" w:cs="Times New Roman"/>
                <w:bCs/>
                <w:color w:val="000000"/>
              </w:rPr>
              <w:t>; (istotność: poważna)</w:t>
            </w:r>
          </w:p>
          <w:p w14:paraId="0F7118C3" w14:textId="77777777" w:rsidR="000B200D" w:rsidRPr="00CF4FA1" w:rsidRDefault="000B200D">
            <w:pPr>
              <w:numPr>
                <w:ilvl w:val="0"/>
                <w:numId w:val="47"/>
              </w:numPr>
              <w:shd w:val="clear" w:color="auto" w:fill="FFFFFF"/>
              <w:spacing w:beforeLines="60" w:before="144" w:afterLines="60" w:after="144" w:line="240" w:lineRule="auto"/>
              <w:contextualSpacing/>
              <w:jc w:val="both"/>
              <w:rPr>
                <w:rFonts w:eastAsia="Calibri" w:cs="Times New Roman"/>
                <w:bCs/>
                <w:color w:val="000000"/>
              </w:rPr>
            </w:pPr>
            <w:r w:rsidRPr="00CF4FA1">
              <w:rPr>
                <w:rFonts w:eastAsia="Calibri" w:cs="Times New Roman"/>
                <w:b/>
                <w:color w:val="000000"/>
              </w:rPr>
              <w:t xml:space="preserve">wpływ pandemii koronawirusa SARS-CoV-2 </w:t>
            </w:r>
            <w:r w:rsidRPr="00CF4FA1">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00CF97A8" w14:textId="77777777" w:rsidR="000B200D" w:rsidRPr="00CF4FA1" w:rsidRDefault="000B200D" w:rsidP="00CF4FA1">
            <w:pPr>
              <w:shd w:val="clear" w:color="auto" w:fill="FFFFFF"/>
              <w:spacing w:before="100" w:beforeAutospacing="1" w:after="100" w:afterAutospacing="1" w:line="240" w:lineRule="auto"/>
              <w:jc w:val="both"/>
              <w:rPr>
                <w:rFonts w:eastAsia="Calibri"/>
                <w:bCs/>
                <w:color w:val="000000"/>
              </w:rPr>
            </w:pPr>
            <w:r w:rsidRPr="00CF4FA1">
              <w:rPr>
                <w:rFonts w:eastAsia="Calibri"/>
                <w:bCs/>
                <w:color w:val="000000"/>
              </w:rPr>
              <w:t xml:space="preserve">Z uwagi na specyfikę projektów społecznych należy wziąć pod uwagę kolejne ryzyka </w:t>
            </w:r>
            <w:r w:rsidRPr="00CF4FA1">
              <w:rPr>
                <w:rFonts w:eastAsia="Calibri"/>
                <w:bCs/>
                <w:color w:val="000000"/>
                <w:u w:val="single"/>
              </w:rPr>
              <w:t>szczegółowe</w:t>
            </w:r>
            <w:r w:rsidRPr="00CF4FA1">
              <w:rPr>
                <w:rFonts w:eastAsia="Calibri"/>
                <w:bCs/>
                <w:color w:val="000000"/>
              </w:rPr>
              <w:t>:</w:t>
            </w:r>
            <w:r w:rsidRPr="00CF4FA1">
              <w:rPr>
                <w:rFonts w:eastAsia="Calibri"/>
                <w:color w:val="000000"/>
              </w:rPr>
              <w:tab/>
            </w:r>
          </w:p>
          <w:p w14:paraId="36F9BEF4" w14:textId="77777777" w:rsidR="000B200D" w:rsidRPr="00CF4FA1" w:rsidRDefault="000B200D">
            <w:pPr>
              <w:numPr>
                <w:ilvl w:val="0"/>
                <w:numId w:val="69"/>
              </w:numPr>
              <w:spacing w:beforeLines="60" w:before="144" w:afterLines="60" w:after="144" w:line="240" w:lineRule="auto"/>
              <w:contextualSpacing/>
              <w:jc w:val="both"/>
              <w:rPr>
                <w:rFonts w:eastAsia="Calibri" w:cs="Times New Roman"/>
                <w:color w:val="000000"/>
              </w:rPr>
            </w:pPr>
            <w:r w:rsidRPr="00CF4FA1">
              <w:rPr>
                <w:rFonts w:eastAsia="Calibri" w:cs="Times New Roman"/>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CF4FA1">
              <w:rPr>
                <w:rFonts w:eastAsia="Calibri" w:cs="Times New Roman"/>
                <w:b/>
                <w:color w:val="000000"/>
              </w:rPr>
              <w:t>powodzeniem beneficjentów</w:t>
            </w:r>
            <w:r w:rsidRPr="00CF4FA1">
              <w:rPr>
                <w:rFonts w:eastAsia="Calibri" w:cs="Times New Roman"/>
                <w:color w:val="000000"/>
              </w:rPr>
              <w:t>. Należy mieć wówczas możliwość kierowania wsparcia w ramach innego typu przedsięwzięcia, bez obawy nieosiągnięcia zaplanowanego do osiągnięcia wskaźnika; (istotność: umiarkowana)</w:t>
            </w:r>
          </w:p>
          <w:p w14:paraId="261F75F4" w14:textId="77777777" w:rsidR="000B200D" w:rsidRPr="00CF4FA1" w:rsidRDefault="000B200D">
            <w:pPr>
              <w:numPr>
                <w:ilvl w:val="0"/>
                <w:numId w:val="69"/>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lastRenderedPageBreak/>
              <w:t>ryzyko zmieniającej się ceny</w:t>
            </w:r>
            <w:r w:rsidRPr="00CF4FA1">
              <w:rPr>
                <w:rFonts w:eastAsia="Calibri" w:cs="Times New Roman"/>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1FFCD262" w14:textId="77777777" w:rsidR="000B200D" w:rsidRPr="00CF4FA1" w:rsidRDefault="000B200D">
            <w:pPr>
              <w:numPr>
                <w:ilvl w:val="0"/>
                <w:numId w:val="69"/>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realizacji projektów o niższej efektywności niż dotychczas</w:t>
            </w:r>
            <w:r w:rsidRPr="00CF4FA1">
              <w:rPr>
                <w:rFonts w:eastAsia="Calibri" w:cs="Times New Roman"/>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411FAAAE" w14:textId="77777777" w:rsidR="000B200D" w:rsidRPr="00CF4FA1" w:rsidRDefault="000B200D">
            <w:pPr>
              <w:numPr>
                <w:ilvl w:val="0"/>
                <w:numId w:val="69"/>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wniesienia wkładu własnego przez beneficjentów</w:t>
            </w:r>
            <w:r w:rsidRPr="00CF4FA1">
              <w:rPr>
                <w:rFonts w:eastAsia="Calibri" w:cs="Times New Roman"/>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(istotność: niska)</w:t>
            </w:r>
          </w:p>
          <w:p w14:paraId="76E3AE13" w14:textId="2D911B4B" w:rsidR="000B200D" w:rsidRDefault="000B200D">
            <w:pPr>
              <w:numPr>
                <w:ilvl w:val="0"/>
                <w:numId w:val="69"/>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niezdefiniowane</w:t>
            </w:r>
            <w:r w:rsidRPr="00CF4FA1">
              <w:rPr>
                <w:rFonts w:eastAsia="Calibri" w:cs="Times New Roman"/>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32D0D2D4" w14:textId="1034ECE7" w:rsidR="009E3C6B" w:rsidRDefault="009E3C6B" w:rsidP="009E3C6B">
            <w:pPr>
              <w:spacing w:beforeLines="60" w:before="144" w:afterLines="60" w:after="144" w:line="240" w:lineRule="auto"/>
              <w:contextualSpacing/>
              <w:jc w:val="both"/>
              <w:rPr>
                <w:rFonts w:eastAsia="Calibri" w:cs="Times New Roman"/>
                <w:color w:val="000000"/>
              </w:rPr>
            </w:pPr>
          </w:p>
          <w:p w14:paraId="414F0094" w14:textId="77777777" w:rsidR="009E3C6B" w:rsidRPr="009E3C6B" w:rsidRDefault="009E3C6B" w:rsidP="009E3C6B">
            <w:pPr>
              <w:spacing w:beforeLines="60" w:before="144" w:afterLines="60" w:after="144" w:line="240" w:lineRule="auto"/>
              <w:contextualSpacing/>
              <w:jc w:val="both"/>
              <w:rPr>
                <w:rFonts w:eastAsia="Calibri" w:cs="Times New Roman"/>
                <w:b/>
                <w:bCs/>
                <w:color w:val="000000"/>
              </w:rPr>
            </w:pPr>
            <w:r w:rsidRPr="009E3C6B">
              <w:rPr>
                <w:rFonts w:eastAsia="Calibri" w:cs="Times New Roman"/>
                <w:b/>
                <w:bCs/>
                <w:color w:val="000000"/>
              </w:rPr>
              <w:t>Uzasadnienie dla celu pośredniego:</w:t>
            </w:r>
          </w:p>
          <w:p w14:paraId="5971243F" w14:textId="0ED5F420" w:rsidR="009E3C6B" w:rsidRPr="00CF4FA1" w:rsidRDefault="009E3C6B" w:rsidP="009E3C6B">
            <w:pPr>
              <w:spacing w:beforeLines="60" w:before="144" w:afterLines="60" w:after="144" w:line="240" w:lineRule="auto"/>
              <w:contextualSpacing/>
              <w:jc w:val="both"/>
              <w:rPr>
                <w:rFonts w:eastAsia="Calibri" w:cs="Times New Roman"/>
                <w:color w:val="000000"/>
              </w:rPr>
            </w:pPr>
            <w:r w:rsidRPr="009E3C6B">
              <w:rPr>
                <w:rFonts w:eastAsia="Calibri" w:cs="Times New Roman"/>
                <w:color w:val="000000"/>
              </w:rPr>
              <w:t>Przeanalizowano dane historyczne z wdrażania RPO WD 2014-2020 na podstawie danych sprawozdawczych ustalono wartość celu pośredniego na poziomie 15% wartości docelowej.</w:t>
            </w:r>
          </w:p>
          <w:p w14:paraId="1799F914" w14:textId="77777777" w:rsidR="000B200D" w:rsidRPr="00CF4FA1" w:rsidRDefault="000B200D" w:rsidP="00CF4FA1">
            <w:pPr>
              <w:spacing w:after="0" w:line="240" w:lineRule="auto"/>
              <w:contextualSpacing/>
              <w:jc w:val="both"/>
              <w:rPr>
                <w:rFonts w:eastAsia="Calibri" w:cs="Times New Roman"/>
                <w:color w:val="000000"/>
              </w:rPr>
            </w:pPr>
          </w:p>
        </w:tc>
      </w:tr>
      <w:bookmarkEnd w:id="396"/>
    </w:tbl>
    <w:p w14:paraId="423B9C17" w14:textId="77777777" w:rsidR="000B200D" w:rsidRPr="00CF4FA1" w:rsidRDefault="000B200D" w:rsidP="00CF4FA1">
      <w:pPr>
        <w:keepNext/>
        <w:keepLines/>
        <w:spacing w:before="200"/>
        <w:jc w:val="both"/>
        <w:outlineLvl w:val="1"/>
        <w:rPr>
          <w:rFonts w:eastAsia="Times New Roman" w:cstheme="majorBidi"/>
          <w:b/>
          <w:bCs/>
          <w:color w:val="4F81BD" w:themeColor="accent1"/>
          <w:sz w:val="24"/>
          <w:szCs w:val="26"/>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0B200D" w:rsidRPr="00CF4FA1" w14:paraId="345F8DF4" w14:textId="77777777" w:rsidTr="00B5591A">
        <w:trPr>
          <w:cantSplit/>
          <w:trHeight w:val="1647"/>
        </w:trPr>
        <w:tc>
          <w:tcPr>
            <w:tcW w:w="451" w:type="pct"/>
            <w:shd w:val="clear" w:color="auto" w:fill="auto"/>
          </w:tcPr>
          <w:p w14:paraId="03DFED69"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bookmarkStart w:id="399" w:name="_Hlk97881655"/>
            <w:r w:rsidRPr="00CF4FA1">
              <w:rPr>
                <w:rFonts w:eastAsia="Calibri" w:cs="Times New Roman"/>
                <w:b/>
                <w:noProof/>
                <w:sz w:val="16"/>
                <w:szCs w:val="16"/>
              </w:rPr>
              <w:t>CP 6</w:t>
            </w:r>
          </w:p>
          <w:p w14:paraId="40A37A76"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Cel szczegółowy </w:t>
            </w:r>
          </w:p>
        </w:tc>
        <w:tc>
          <w:tcPr>
            <w:tcW w:w="494" w:type="pct"/>
            <w:shd w:val="clear" w:color="auto" w:fill="auto"/>
          </w:tcPr>
          <w:p w14:paraId="5A9DC5E0"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Fundusz</w:t>
            </w:r>
          </w:p>
        </w:tc>
        <w:tc>
          <w:tcPr>
            <w:tcW w:w="558" w:type="pct"/>
            <w:shd w:val="clear" w:color="auto" w:fill="auto"/>
          </w:tcPr>
          <w:p w14:paraId="71BD0760"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Kategoria regionu</w:t>
            </w:r>
          </w:p>
        </w:tc>
        <w:tc>
          <w:tcPr>
            <w:tcW w:w="423" w:type="pct"/>
            <w:shd w:val="clear" w:color="auto" w:fill="auto"/>
            <w:textDirection w:val="btLr"/>
          </w:tcPr>
          <w:p w14:paraId="7BD0E861" w14:textId="77777777" w:rsidR="000B200D" w:rsidRPr="00CF4FA1" w:rsidRDefault="000B200D" w:rsidP="00CF4FA1">
            <w:pPr>
              <w:shd w:val="clear" w:color="auto" w:fill="FFFFFF"/>
              <w:spacing w:before="120" w:after="120" w:line="240" w:lineRule="auto"/>
              <w:ind w:left="113" w:right="113"/>
              <w:jc w:val="center"/>
              <w:rPr>
                <w:rFonts w:eastAsia="Calibri" w:cs="Times New Roman"/>
                <w:b/>
                <w:noProof/>
                <w:sz w:val="16"/>
                <w:szCs w:val="16"/>
              </w:rPr>
            </w:pPr>
            <w:r w:rsidRPr="00CF4FA1">
              <w:rPr>
                <w:rFonts w:eastAsia="Calibri" w:cs="Times New Roman"/>
                <w:b/>
                <w:noProof/>
                <w:sz w:val="16"/>
                <w:szCs w:val="16"/>
              </w:rPr>
              <w:t>Nr identyfikacyjny [5]</w:t>
            </w:r>
          </w:p>
        </w:tc>
        <w:tc>
          <w:tcPr>
            <w:tcW w:w="1348" w:type="pct"/>
            <w:shd w:val="clear" w:color="auto" w:fill="auto"/>
          </w:tcPr>
          <w:p w14:paraId="186FD0D8"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Wskaźnik [255] </w:t>
            </w:r>
          </w:p>
        </w:tc>
        <w:tc>
          <w:tcPr>
            <w:tcW w:w="549" w:type="pct"/>
            <w:shd w:val="clear" w:color="auto" w:fill="auto"/>
          </w:tcPr>
          <w:p w14:paraId="14ABAED6"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Jednostka miary</w:t>
            </w:r>
          </w:p>
        </w:tc>
        <w:tc>
          <w:tcPr>
            <w:tcW w:w="627" w:type="pct"/>
            <w:shd w:val="clear" w:color="auto" w:fill="auto"/>
          </w:tcPr>
          <w:p w14:paraId="195EFC58"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Cel pośredni (2024)</w:t>
            </w:r>
          </w:p>
          <w:p w14:paraId="6C038313"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p>
        </w:tc>
        <w:tc>
          <w:tcPr>
            <w:tcW w:w="550" w:type="pct"/>
            <w:shd w:val="clear" w:color="auto" w:fill="auto"/>
          </w:tcPr>
          <w:p w14:paraId="5DC85833"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Cel (2029)</w:t>
            </w:r>
          </w:p>
          <w:p w14:paraId="69EC96BC"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p>
        </w:tc>
      </w:tr>
      <w:tr w:rsidR="000B200D" w:rsidRPr="00CF4FA1" w14:paraId="6371440B" w14:textId="77777777" w:rsidTr="002C70B7">
        <w:trPr>
          <w:trHeight w:val="340"/>
        </w:trPr>
        <w:tc>
          <w:tcPr>
            <w:tcW w:w="451" w:type="pct"/>
            <w:shd w:val="clear" w:color="auto" w:fill="auto"/>
            <w:vAlign w:val="center"/>
          </w:tcPr>
          <w:p w14:paraId="50D59372"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8.1</w:t>
            </w:r>
          </w:p>
        </w:tc>
        <w:tc>
          <w:tcPr>
            <w:tcW w:w="494" w:type="pct"/>
            <w:shd w:val="clear" w:color="auto" w:fill="auto"/>
            <w:vAlign w:val="center"/>
          </w:tcPr>
          <w:p w14:paraId="2C865308"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FST</w:t>
            </w:r>
          </w:p>
        </w:tc>
        <w:tc>
          <w:tcPr>
            <w:tcW w:w="558" w:type="pct"/>
            <w:shd w:val="clear" w:color="auto" w:fill="auto"/>
            <w:vAlign w:val="center"/>
          </w:tcPr>
          <w:p w14:paraId="382C32D9"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przejściowy</w:t>
            </w:r>
          </w:p>
        </w:tc>
        <w:tc>
          <w:tcPr>
            <w:tcW w:w="423" w:type="pct"/>
            <w:shd w:val="clear" w:color="auto" w:fill="auto"/>
            <w:vAlign w:val="center"/>
          </w:tcPr>
          <w:p w14:paraId="12A7799D"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bookmarkStart w:id="400" w:name="_Hlk98147104"/>
            <w:r w:rsidRPr="002C70B7">
              <w:rPr>
                <w:rFonts w:eastAsia="Calibri" w:cs="Times New Roman"/>
                <w:i/>
                <w:noProof/>
                <w:sz w:val="16"/>
                <w:szCs w:val="16"/>
              </w:rPr>
              <w:t>EECO 0</w:t>
            </w:r>
            <w:bookmarkEnd w:id="400"/>
            <w:r w:rsidRPr="002C70B7">
              <w:rPr>
                <w:rFonts w:eastAsia="Calibri" w:cs="Times New Roman"/>
                <w:i/>
                <w:noProof/>
                <w:sz w:val="16"/>
                <w:szCs w:val="16"/>
              </w:rPr>
              <w:t>4</w:t>
            </w:r>
          </w:p>
        </w:tc>
        <w:tc>
          <w:tcPr>
            <w:tcW w:w="1348" w:type="pct"/>
            <w:shd w:val="clear" w:color="auto" w:fill="auto"/>
            <w:vAlign w:val="center"/>
          </w:tcPr>
          <w:p w14:paraId="3DF13A27" w14:textId="7BF463E8" w:rsidR="000B200D" w:rsidRPr="002C70B7" w:rsidRDefault="003956B5" w:rsidP="002C70B7">
            <w:pPr>
              <w:keepNext/>
              <w:keepLines/>
              <w:spacing w:before="200" w:after="0"/>
              <w:jc w:val="center"/>
              <w:outlineLvl w:val="2"/>
              <w:rPr>
                <w:rFonts w:eastAsia="Calibri" w:cs="Times New Roman"/>
                <w:i/>
                <w:noProof/>
                <w:sz w:val="16"/>
                <w:szCs w:val="16"/>
              </w:rPr>
            </w:pPr>
            <w:bookmarkStart w:id="401" w:name="_Toc120464525"/>
            <w:r w:rsidRPr="003956B5">
              <w:rPr>
                <w:rFonts w:asciiTheme="minorHAnsi" w:eastAsia="Times New Roman" w:hAnsiTheme="minorHAnsi" w:cstheme="minorHAnsi"/>
                <w:bCs/>
                <w:i/>
                <w:iCs/>
                <w:noProof/>
                <w:sz w:val="16"/>
                <w:szCs w:val="16"/>
              </w:rPr>
              <w:t>Osoba bierna zawodowo</w:t>
            </w:r>
            <w:bookmarkEnd w:id="401"/>
          </w:p>
        </w:tc>
        <w:tc>
          <w:tcPr>
            <w:tcW w:w="549" w:type="pct"/>
            <w:shd w:val="clear" w:color="auto" w:fill="auto"/>
            <w:vAlign w:val="center"/>
          </w:tcPr>
          <w:p w14:paraId="6A50B3E5"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osoby</w:t>
            </w:r>
          </w:p>
        </w:tc>
        <w:tc>
          <w:tcPr>
            <w:tcW w:w="627" w:type="pct"/>
            <w:shd w:val="clear" w:color="auto" w:fill="auto"/>
            <w:vAlign w:val="center"/>
          </w:tcPr>
          <w:p w14:paraId="35124E34" w14:textId="722FCE12" w:rsidR="000B200D" w:rsidRPr="002C70B7" w:rsidRDefault="00B26FAC" w:rsidP="002C70B7">
            <w:pPr>
              <w:shd w:val="clear" w:color="auto" w:fill="FFFFFF"/>
              <w:spacing w:before="120" w:after="120" w:line="240" w:lineRule="auto"/>
              <w:jc w:val="center"/>
              <w:rPr>
                <w:rFonts w:eastAsia="Calibri" w:cs="Times New Roman"/>
                <w:i/>
                <w:noProof/>
                <w:sz w:val="16"/>
                <w:szCs w:val="16"/>
              </w:rPr>
            </w:pPr>
            <w:r>
              <w:rPr>
                <w:rFonts w:eastAsia="Calibri" w:cs="Times New Roman"/>
                <w:i/>
                <w:noProof/>
                <w:sz w:val="16"/>
                <w:szCs w:val="16"/>
              </w:rPr>
              <w:t>00</w:t>
            </w:r>
            <w:r w:rsidR="000B200D" w:rsidRPr="002C70B7">
              <w:rPr>
                <w:rFonts w:eastAsia="Calibri" w:cs="Times New Roman"/>
                <w:i/>
                <w:noProof/>
                <w:sz w:val="16"/>
                <w:szCs w:val="16"/>
              </w:rPr>
              <w:t>,00</w:t>
            </w:r>
          </w:p>
        </w:tc>
        <w:tc>
          <w:tcPr>
            <w:tcW w:w="550" w:type="pct"/>
            <w:shd w:val="clear" w:color="auto" w:fill="auto"/>
            <w:vAlign w:val="center"/>
          </w:tcPr>
          <w:p w14:paraId="1A4EFDF4" w14:textId="44B3B235" w:rsidR="000B200D" w:rsidRPr="002C70B7" w:rsidRDefault="00607A06" w:rsidP="002C70B7">
            <w:pPr>
              <w:shd w:val="clear" w:color="auto" w:fill="FFFFFF"/>
              <w:spacing w:before="120" w:after="120" w:line="240" w:lineRule="auto"/>
              <w:jc w:val="center"/>
              <w:rPr>
                <w:rFonts w:eastAsia="Calibri" w:cs="Times New Roman"/>
                <w:i/>
                <w:noProof/>
                <w:sz w:val="16"/>
                <w:szCs w:val="16"/>
              </w:rPr>
            </w:pPr>
            <w:r>
              <w:rPr>
                <w:rFonts w:eastAsia="Calibri" w:cs="Times New Roman"/>
                <w:i/>
                <w:noProof/>
                <w:sz w:val="16"/>
                <w:szCs w:val="16"/>
              </w:rPr>
              <w:t>1 673</w:t>
            </w:r>
          </w:p>
        </w:tc>
      </w:tr>
      <w:tr w:rsidR="000B200D" w:rsidRPr="00CF4FA1" w14:paraId="1F7899E3" w14:textId="77777777" w:rsidTr="00B5591A">
        <w:trPr>
          <w:trHeight w:val="340"/>
        </w:trPr>
        <w:tc>
          <w:tcPr>
            <w:tcW w:w="5000" w:type="pct"/>
            <w:gridSpan w:val="8"/>
            <w:shd w:val="clear" w:color="auto" w:fill="auto"/>
          </w:tcPr>
          <w:p w14:paraId="0B4C4200" w14:textId="77777777" w:rsidR="000B200D" w:rsidRPr="00CF4FA1" w:rsidRDefault="000B200D" w:rsidP="00CF4FA1">
            <w:pPr>
              <w:shd w:val="clear" w:color="auto" w:fill="FFFFFF"/>
              <w:spacing w:before="60" w:after="60" w:line="240" w:lineRule="auto"/>
              <w:jc w:val="both"/>
              <w:rPr>
                <w:rFonts w:eastAsia="Calibri"/>
              </w:rPr>
            </w:pPr>
            <w:r w:rsidRPr="00CF4FA1">
              <w:rPr>
                <w:rFonts w:eastAsia="Calibri"/>
              </w:rPr>
              <w:t>Metodologia:</w:t>
            </w:r>
          </w:p>
          <w:p w14:paraId="078CB1FA" w14:textId="77777777" w:rsidR="000B200D" w:rsidRPr="00CF4FA1" w:rsidRDefault="000B200D" w:rsidP="00CF4FA1">
            <w:pPr>
              <w:shd w:val="clear" w:color="auto" w:fill="FFFFFF"/>
              <w:spacing w:before="60" w:after="60" w:line="240" w:lineRule="auto"/>
              <w:jc w:val="both"/>
              <w:rPr>
                <w:rFonts w:eastAsia="Calibri"/>
                <w:i/>
              </w:rPr>
            </w:pPr>
            <w:r w:rsidRPr="00CF4FA1">
              <w:rPr>
                <w:rFonts w:eastAsia="Calibri"/>
                <w:i/>
              </w:rPr>
              <w:t>Wskaźnik realizuje kod interwencji:</w:t>
            </w:r>
          </w:p>
          <w:p w14:paraId="3B946B3C" w14:textId="2E71ED9E" w:rsidR="000B200D" w:rsidRPr="00CF4FA1" w:rsidRDefault="000B200D" w:rsidP="00CF4FA1">
            <w:pPr>
              <w:numPr>
                <w:ilvl w:val="0"/>
                <w:numId w:val="12"/>
              </w:numPr>
              <w:shd w:val="clear" w:color="auto" w:fill="FFFFFF"/>
              <w:spacing w:before="60" w:after="60" w:line="240" w:lineRule="auto"/>
              <w:contextualSpacing/>
              <w:jc w:val="both"/>
              <w:rPr>
                <w:rFonts w:eastAsia="Calibri" w:cs="Times New Roman"/>
                <w:i/>
                <w:sz w:val="22"/>
                <w:szCs w:val="22"/>
              </w:rPr>
            </w:pPr>
            <w:r w:rsidRPr="00CF4FA1">
              <w:rPr>
                <w:rFonts w:eastAsia="Calibri" w:cs="Times New Roman"/>
                <w:i/>
              </w:rPr>
              <w:t>163 Promowanie integracji społecznej osób zagrożonych ubóstwem lub wykluczeniem społecznym, w tym osób najbardziej potrzebujących i dzieci (</w:t>
            </w:r>
            <w:r w:rsidR="00607A06">
              <w:rPr>
                <w:rFonts w:eastAsia="Calibri" w:cs="Times New Roman"/>
                <w:i/>
              </w:rPr>
              <w:t>14</w:t>
            </w:r>
            <w:r w:rsidRPr="00CF4FA1">
              <w:rPr>
                <w:rFonts w:eastAsia="Calibri" w:cs="Times New Roman"/>
                <w:i/>
              </w:rPr>
              <w:t> 000 000 EUR).</w:t>
            </w:r>
          </w:p>
          <w:p w14:paraId="47E2A51A" w14:textId="156E94F4" w:rsidR="000B200D" w:rsidRPr="00CF4FA1" w:rsidRDefault="000B200D" w:rsidP="00CF4FA1">
            <w:pPr>
              <w:shd w:val="clear" w:color="auto" w:fill="FFFFFF"/>
              <w:spacing w:beforeLines="150" w:before="360" w:afterLines="60" w:after="144" w:line="240" w:lineRule="auto"/>
              <w:jc w:val="both"/>
              <w:rPr>
                <w:rFonts w:eastAsia="Calibri"/>
                <w:i/>
              </w:rPr>
            </w:pPr>
            <w:r w:rsidRPr="00CF4FA1">
              <w:rPr>
                <w:rFonts w:eastAsia="Calibri"/>
                <w:i/>
              </w:rPr>
              <w:t xml:space="preserve">Szacując wartość docelową wskaźnika zakłada się, w oparciu o dane dotyczące wsparcia osób biernych zawodowo w ramach działania 9.1 RPO WD 2014-2020, że 60% alokacji z kodu 163, tj. </w:t>
            </w:r>
            <w:r w:rsidR="00607A06">
              <w:rPr>
                <w:rFonts w:eastAsia="Calibri"/>
                <w:i/>
              </w:rPr>
              <w:t>8 400</w:t>
            </w:r>
            <w:r w:rsidRPr="00CF4FA1">
              <w:rPr>
                <w:rFonts w:eastAsia="Calibri"/>
                <w:i/>
              </w:rPr>
              <w:t xml:space="preserve"> 000 EUR będzie realizować wskaźnik. </w:t>
            </w:r>
          </w:p>
          <w:p w14:paraId="5CE4BB26" w14:textId="4E08D124"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t xml:space="preserve">Biorąc pod uwagę kurs EUR na poziomie 4,45 alokacja na realizację wskaźnika wynosi </w:t>
            </w:r>
            <w:r w:rsidR="00607A06">
              <w:rPr>
                <w:rFonts w:eastAsia="Calibri"/>
                <w:i/>
              </w:rPr>
              <w:t>37 380</w:t>
            </w:r>
            <w:r w:rsidRPr="00CF4FA1">
              <w:rPr>
                <w:rFonts w:eastAsia="Calibri"/>
                <w:i/>
              </w:rPr>
              <w:t xml:space="preserve"> 000 PLN.</w:t>
            </w:r>
          </w:p>
          <w:p w14:paraId="4DEC7F70" w14:textId="77777777"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lastRenderedPageBreak/>
              <w:t>Historyczny koszt jednostkowy na bazie doświadczeń z perspektywy 2014-2020 wynosi 21 374,62 PLN</w:t>
            </w:r>
            <w:r w:rsidRPr="00CF4FA1">
              <w:rPr>
                <w:rFonts w:eastAsia="Calibri"/>
                <w:i/>
                <w:vertAlign w:val="superscript"/>
              </w:rPr>
              <w:footnoteReference w:id="3"/>
            </w:r>
            <w:r>
              <w:rPr>
                <w:rFonts w:eastAsia="Calibri"/>
                <w:i/>
              </w:rPr>
              <w:t>.</w:t>
            </w:r>
            <w:r w:rsidRPr="00CF4FA1">
              <w:rPr>
                <w:rFonts w:eastAsia="Calibri"/>
                <w:i/>
              </w:rPr>
              <w:t xml:space="preserve"> </w:t>
            </w:r>
            <w:r w:rsidRPr="000C748B">
              <w:rPr>
                <w:rFonts w:eastAsia="Calibri"/>
                <w:i/>
              </w:rPr>
              <w:t xml:space="preserve">Koszt jednostkowy został skorygowany w oparciu o wartość inflacji na poziomie 15% i wynosi 24 580,81 PLN, a obniżony do wartości dofinansowania na poziomie 70% wynosi  17 206,57 PLN. Na podstawie tych danych wyliczono wartość wskaźnika. Jednocześnie na podstawie </w:t>
            </w:r>
            <w:proofErr w:type="spellStart"/>
            <w:r w:rsidRPr="000C748B">
              <w:rPr>
                <w:rFonts w:eastAsia="Calibri"/>
                <w:i/>
              </w:rPr>
              <w:t>ryzyk</w:t>
            </w:r>
            <w:proofErr w:type="spellEnd"/>
            <w:r w:rsidRPr="000C748B">
              <w:rPr>
                <w:rFonts w:eastAsia="Calibri"/>
                <w:i/>
              </w:rPr>
              <w:t xml:space="preserve"> związanych z realizacją tego typu projektów określono wskaźnik kompensacji</w:t>
            </w:r>
            <w:r w:rsidRPr="00CF4FA1">
              <w:rPr>
                <w:rFonts w:eastAsia="Calibri"/>
                <w:i/>
              </w:rPr>
              <w:t xml:space="preserve"> </w:t>
            </w:r>
          </w:p>
          <w:p w14:paraId="04E1D557" w14:textId="77777777" w:rsidR="000B200D" w:rsidRPr="00CF4FA1" w:rsidRDefault="000B200D" w:rsidP="00CF4FA1">
            <w:pPr>
              <w:spacing w:beforeLines="60" w:before="144" w:afterLines="60" w:after="144" w:line="240" w:lineRule="auto"/>
              <w:jc w:val="both"/>
              <w:rPr>
                <w:rFonts w:eastAsia="Calibri"/>
                <w:i/>
              </w:rPr>
            </w:pPr>
            <w:r w:rsidRPr="00CF4FA1">
              <w:rPr>
                <w:rFonts w:eastAsia="Calibri"/>
                <w:i/>
              </w:rPr>
              <w:t xml:space="preserve">R: [(3*3)+(6*25)+(2*68)]/11 = 26,8%. Wartość zaokrąglono do pełnej wartości 27%. </w:t>
            </w:r>
          </w:p>
          <w:p w14:paraId="66C2226D" w14:textId="77777777" w:rsidR="000B200D" w:rsidRPr="00CF4FA1" w:rsidRDefault="000B200D" w:rsidP="00CF4FA1">
            <w:pPr>
              <w:shd w:val="clear" w:color="auto" w:fill="FFFFFF"/>
              <w:spacing w:beforeLines="60" w:before="144" w:afterLines="60" w:after="144" w:line="240" w:lineRule="auto"/>
              <w:jc w:val="both"/>
              <w:rPr>
                <w:rFonts w:eastAsia="Calibri"/>
                <w:i/>
              </w:rPr>
            </w:pPr>
            <w:r w:rsidRPr="00CF4FA1">
              <w:rPr>
                <w:rFonts w:eastAsia="Calibri"/>
                <w:i/>
              </w:rPr>
              <w:t>Wyliczenie:</w:t>
            </w:r>
          </w:p>
          <w:p w14:paraId="40AF95CD" w14:textId="2CE89BB7" w:rsidR="000B200D" w:rsidRPr="00CF4FA1" w:rsidRDefault="00607A06" w:rsidP="00CF4FA1">
            <w:pPr>
              <w:shd w:val="clear" w:color="auto" w:fill="FFFFFF"/>
              <w:spacing w:beforeLines="60" w:before="144" w:afterLines="60" w:after="144" w:line="240" w:lineRule="auto"/>
              <w:jc w:val="both"/>
              <w:rPr>
                <w:rFonts w:eastAsia="Calibri"/>
                <w:i/>
              </w:rPr>
            </w:pPr>
            <w:r>
              <w:rPr>
                <w:rFonts w:eastAsia="Calibri"/>
                <w:i/>
              </w:rPr>
              <w:t>37 380 </w:t>
            </w:r>
            <w:r w:rsidRPr="00CF4FA1">
              <w:rPr>
                <w:rFonts w:eastAsia="Calibri"/>
                <w:i/>
              </w:rPr>
              <w:t xml:space="preserve">000 </w:t>
            </w:r>
            <w:r w:rsidR="000B200D" w:rsidRPr="00CF4FA1">
              <w:rPr>
                <w:rFonts w:eastAsia="Calibri"/>
                <w:i/>
              </w:rPr>
              <w:t xml:space="preserve">/ </w:t>
            </w:r>
            <w:r w:rsidR="000B200D" w:rsidRPr="000C748B">
              <w:rPr>
                <w:rFonts w:eastAsia="Calibri"/>
                <w:i/>
              </w:rPr>
              <w:t>17 206,57</w:t>
            </w:r>
            <w:r w:rsidR="000B200D" w:rsidRPr="00CF4FA1">
              <w:rPr>
                <w:rFonts w:eastAsia="Calibri"/>
                <w:i/>
              </w:rPr>
              <w:t xml:space="preserve">* (1-0,27) = </w:t>
            </w:r>
            <w:r>
              <w:rPr>
                <w:rFonts w:eastAsia="Calibri"/>
                <w:i/>
              </w:rPr>
              <w:t>1 673</w:t>
            </w:r>
            <w:r w:rsidR="000B200D" w:rsidRPr="00CF4FA1">
              <w:rPr>
                <w:rFonts w:eastAsia="Calibri"/>
                <w:i/>
              </w:rPr>
              <w:t xml:space="preserve"> osób.</w:t>
            </w:r>
          </w:p>
          <w:p w14:paraId="2B12AA06" w14:textId="77777777" w:rsidR="000B200D" w:rsidRPr="00CF4FA1" w:rsidRDefault="000B200D" w:rsidP="00CF4FA1">
            <w:pPr>
              <w:shd w:val="clear" w:color="auto" w:fill="FFFFFF"/>
              <w:spacing w:beforeLines="60" w:before="144" w:afterLines="60" w:after="144" w:line="240" w:lineRule="auto"/>
              <w:jc w:val="both"/>
              <w:rPr>
                <w:rFonts w:eastAsia="Calibri"/>
                <w:color w:val="000000"/>
              </w:rPr>
            </w:pPr>
            <w:r w:rsidRPr="00CF4FA1">
              <w:rPr>
                <w:rFonts w:eastAsia="Calibri"/>
                <w:color w:val="000000"/>
              </w:rPr>
              <w:t>Należy zwrócić szczególną uwagę na następujące (</w:t>
            </w:r>
            <w:r w:rsidRPr="00CF4FA1">
              <w:rPr>
                <w:rFonts w:eastAsia="Calibri"/>
                <w:color w:val="000000"/>
                <w:u w:val="single"/>
              </w:rPr>
              <w:t>ogólne</w:t>
            </w:r>
            <w:r w:rsidRPr="00CF4FA1">
              <w:rPr>
                <w:rFonts w:eastAsia="Calibri"/>
                <w:color w:val="000000"/>
              </w:rPr>
              <w:t>) czynniki ryzyka, które mogą mieć wpływ na poziom osiągnięcia założonej wartości docelowej:</w:t>
            </w:r>
          </w:p>
          <w:p w14:paraId="061165C6" w14:textId="77777777" w:rsidR="000B200D" w:rsidRPr="00CF4FA1" w:rsidRDefault="000B200D">
            <w:pPr>
              <w:numPr>
                <w:ilvl w:val="0"/>
                <w:numId w:val="70"/>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walutowe</w:t>
            </w:r>
            <w:r w:rsidRPr="00CF4FA1">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647A1C3E" w14:textId="77777777" w:rsidR="000B200D" w:rsidRPr="00CF4FA1" w:rsidRDefault="000B200D">
            <w:pPr>
              <w:numPr>
                <w:ilvl w:val="0"/>
                <w:numId w:val="70"/>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zawieszenie płatności przez KE dla danej osi priorytetowej</w:t>
            </w:r>
            <w:r w:rsidRPr="00CF4FA1">
              <w:rPr>
                <w:rFonts w:eastAsia="Calibri" w:cs="Times New Roman"/>
                <w:color w:val="000000"/>
              </w:rPr>
              <w:t>; (istotność: umiarkowana)</w:t>
            </w:r>
          </w:p>
          <w:p w14:paraId="3B9A6305" w14:textId="77777777" w:rsidR="000B200D" w:rsidRPr="00CF4FA1" w:rsidRDefault="000B200D">
            <w:pPr>
              <w:numPr>
                <w:ilvl w:val="0"/>
                <w:numId w:val="70"/>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bCs/>
                <w:color w:val="000000"/>
              </w:rPr>
              <w:t xml:space="preserve">czynniki które mogą wpłynąć na harmonogram realizacji planów działania dot. spełnienia warunków wstępnych (ex </w:t>
            </w:r>
            <w:proofErr w:type="spellStart"/>
            <w:r w:rsidRPr="00CF4FA1">
              <w:rPr>
                <w:rFonts w:eastAsia="Calibri" w:cs="Times New Roman"/>
                <w:b/>
                <w:bCs/>
                <w:color w:val="000000"/>
              </w:rPr>
              <w:t>ante</w:t>
            </w:r>
            <w:proofErr w:type="spellEnd"/>
            <w:r w:rsidRPr="00CF4FA1">
              <w:rPr>
                <w:rFonts w:eastAsia="Calibri" w:cs="Times New Roman"/>
                <w:b/>
                <w:bCs/>
                <w:color w:val="000000"/>
              </w:rPr>
              <w:t>),</w:t>
            </w:r>
            <w:r w:rsidRPr="00CF4FA1">
              <w:rPr>
                <w:rFonts w:eastAsia="Calibri" w:cs="Times New Roman"/>
                <w:color w:val="000000"/>
              </w:rPr>
              <w:t xml:space="preserve"> a które są poza kompetencjami IZ oraz instytucji odpowiedzialnych za spełnienie tych warunków; (istotność: umiarkowana)</w:t>
            </w:r>
          </w:p>
          <w:p w14:paraId="2CD59142" w14:textId="77777777" w:rsidR="000B200D" w:rsidRPr="00CF4FA1" w:rsidRDefault="000B200D">
            <w:pPr>
              <w:numPr>
                <w:ilvl w:val="0"/>
                <w:numId w:val="70"/>
              </w:numPr>
              <w:shd w:val="clear" w:color="auto" w:fill="FFFFFF"/>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ostateczne ustalenia dot. Występowania i poziomu pomocy publicznej</w:t>
            </w:r>
            <w:r w:rsidRPr="00CF4FA1">
              <w:rPr>
                <w:rFonts w:eastAsia="Calibri" w:cs="Times New Roman"/>
                <w:color w:val="000000"/>
              </w:rPr>
              <w:t>; (istotność: niska)</w:t>
            </w:r>
          </w:p>
          <w:p w14:paraId="18324DAC" w14:textId="77777777" w:rsidR="000B200D" w:rsidRPr="00CF4FA1" w:rsidRDefault="000B200D">
            <w:pPr>
              <w:numPr>
                <w:ilvl w:val="0"/>
                <w:numId w:val="70"/>
              </w:numPr>
              <w:shd w:val="clear" w:color="auto" w:fill="FFFFFF"/>
              <w:spacing w:beforeLines="60" w:before="144" w:afterLines="60" w:after="144" w:line="240" w:lineRule="auto"/>
              <w:contextualSpacing/>
              <w:jc w:val="both"/>
              <w:rPr>
                <w:rFonts w:eastAsia="Calibri" w:cs="Times New Roman"/>
                <w:b/>
                <w:color w:val="000000"/>
              </w:rPr>
            </w:pPr>
            <w:r w:rsidRPr="00CF4FA1">
              <w:rPr>
                <w:rFonts w:eastAsia="Calibri" w:cs="Times New Roman"/>
                <w:b/>
                <w:color w:val="000000"/>
              </w:rPr>
              <w:t>opóźnienia, bądź niewykonanie projektu związane z procedurami wynikającymi z zamówień publicznych</w:t>
            </w:r>
            <w:r w:rsidRPr="00CF4FA1">
              <w:rPr>
                <w:rFonts w:eastAsia="Calibri" w:cs="Times New Roman"/>
                <w:bCs/>
                <w:color w:val="000000"/>
              </w:rPr>
              <w:t>; (istotność: poważna)</w:t>
            </w:r>
          </w:p>
          <w:p w14:paraId="5CDA77E7" w14:textId="77777777" w:rsidR="000B200D" w:rsidRPr="00CF4FA1" w:rsidRDefault="000B200D">
            <w:pPr>
              <w:numPr>
                <w:ilvl w:val="0"/>
                <w:numId w:val="70"/>
              </w:numPr>
              <w:shd w:val="clear" w:color="auto" w:fill="FFFFFF"/>
              <w:spacing w:beforeLines="60" w:before="144" w:afterLines="60" w:after="144" w:line="240" w:lineRule="auto"/>
              <w:contextualSpacing/>
              <w:jc w:val="both"/>
              <w:rPr>
                <w:rFonts w:eastAsia="Calibri" w:cs="Times New Roman"/>
                <w:bCs/>
                <w:color w:val="000000"/>
              </w:rPr>
            </w:pPr>
            <w:r w:rsidRPr="00CF4FA1">
              <w:rPr>
                <w:rFonts w:eastAsia="Calibri" w:cs="Times New Roman"/>
                <w:b/>
                <w:color w:val="000000"/>
              </w:rPr>
              <w:t xml:space="preserve">wpływ pandemii koronawirusa SARS-CoV-2 </w:t>
            </w:r>
            <w:r w:rsidRPr="00CF4FA1">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4436D081" w14:textId="77777777" w:rsidR="000B200D" w:rsidRPr="00CF4FA1" w:rsidRDefault="000B200D" w:rsidP="00CF4FA1">
            <w:pPr>
              <w:shd w:val="clear" w:color="auto" w:fill="FFFFFF"/>
              <w:spacing w:beforeLines="60" w:before="144" w:afterLines="60" w:after="144" w:line="240" w:lineRule="auto"/>
              <w:jc w:val="both"/>
              <w:rPr>
                <w:rFonts w:eastAsia="Calibri"/>
                <w:bCs/>
                <w:color w:val="000000"/>
              </w:rPr>
            </w:pPr>
            <w:r w:rsidRPr="00CF4FA1">
              <w:rPr>
                <w:rFonts w:eastAsia="Calibri"/>
                <w:bCs/>
                <w:color w:val="000000"/>
              </w:rPr>
              <w:t xml:space="preserve">Z uwagi na specyfikę projektów społecznych należy wziąć pod uwagę kolejne ryzyka </w:t>
            </w:r>
            <w:r w:rsidRPr="00CF4FA1">
              <w:rPr>
                <w:rFonts w:eastAsia="Calibri"/>
                <w:bCs/>
                <w:color w:val="000000"/>
                <w:u w:val="single"/>
              </w:rPr>
              <w:t>szczegółowe</w:t>
            </w:r>
            <w:r w:rsidRPr="00CF4FA1">
              <w:rPr>
                <w:rFonts w:eastAsia="Calibri"/>
                <w:bCs/>
                <w:color w:val="000000"/>
              </w:rPr>
              <w:t>:</w:t>
            </w:r>
            <w:r w:rsidRPr="00CF4FA1">
              <w:rPr>
                <w:rFonts w:eastAsia="Calibri"/>
                <w:color w:val="000000"/>
              </w:rPr>
              <w:tab/>
            </w:r>
          </w:p>
          <w:p w14:paraId="05E9BACF" w14:textId="77777777" w:rsidR="000B200D" w:rsidRPr="00CF4FA1" w:rsidRDefault="000B200D">
            <w:pPr>
              <w:numPr>
                <w:ilvl w:val="0"/>
                <w:numId w:val="71"/>
              </w:numPr>
              <w:spacing w:beforeLines="60" w:before="144" w:afterLines="60" w:after="144" w:line="240" w:lineRule="auto"/>
              <w:contextualSpacing/>
              <w:jc w:val="both"/>
              <w:rPr>
                <w:rFonts w:eastAsia="Calibri" w:cs="Times New Roman"/>
                <w:color w:val="000000"/>
              </w:rPr>
            </w:pPr>
            <w:r w:rsidRPr="00CF4FA1">
              <w:rPr>
                <w:rFonts w:eastAsia="Calibri" w:cs="Times New Roman"/>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CF4FA1">
              <w:rPr>
                <w:rFonts w:eastAsia="Calibri" w:cs="Times New Roman"/>
                <w:b/>
                <w:color w:val="000000"/>
              </w:rPr>
              <w:t>powodzeniem beneficjentów</w:t>
            </w:r>
            <w:r w:rsidRPr="00CF4FA1">
              <w:rPr>
                <w:rFonts w:eastAsia="Calibri" w:cs="Times New Roman"/>
                <w:color w:val="000000"/>
              </w:rPr>
              <w:t>. Należy mieć wówczas możliwość kierowania wsparcia w ramach innego typu przedsięwzięcia, bez obawy nieosiągnięcia zaplanowanego do osiągnięcia wskaźnika; (istotność: umiarkowana)</w:t>
            </w:r>
          </w:p>
          <w:p w14:paraId="72B057C9" w14:textId="77777777" w:rsidR="000B200D" w:rsidRPr="00CF4FA1" w:rsidRDefault="000B200D">
            <w:pPr>
              <w:numPr>
                <w:ilvl w:val="0"/>
                <w:numId w:val="71"/>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zmieniającej się ceny</w:t>
            </w:r>
            <w:r w:rsidRPr="00CF4FA1">
              <w:rPr>
                <w:rFonts w:eastAsia="Calibri" w:cs="Times New Roman"/>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7224A9E2" w14:textId="77777777" w:rsidR="000B200D" w:rsidRPr="00CF4FA1" w:rsidRDefault="000B200D">
            <w:pPr>
              <w:numPr>
                <w:ilvl w:val="0"/>
                <w:numId w:val="71"/>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realizacji projektów o niższej efektywności niż dotychczas</w:t>
            </w:r>
            <w:r w:rsidRPr="00CF4FA1">
              <w:rPr>
                <w:rFonts w:eastAsia="Calibri" w:cs="Times New Roman"/>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w:t>
            </w:r>
            <w:r w:rsidRPr="00CF4FA1">
              <w:rPr>
                <w:rFonts w:eastAsia="Calibri" w:cs="Times New Roman"/>
                <w:color w:val="000000"/>
              </w:rPr>
              <w:lastRenderedPageBreak/>
              <w:t>formalnych oraz administracyjnych możne znacząco zniechęcić o ubieganie się o pomoc; (istotność: umiarkowana)</w:t>
            </w:r>
          </w:p>
          <w:p w14:paraId="03964AA7" w14:textId="77777777" w:rsidR="000B200D" w:rsidRPr="00CF4FA1" w:rsidRDefault="000B200D">
            <w:pPr>
              <w:numPr>
                <w:ilvl w:val="0"/>
                <w:numId w:val="71"/>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wniesienia wkładu własnego przez beneficjentów</w:t>
            </w:r>
            <w:r w:rsidRPr="00CF4FA1">
              <w:rPr>
                <w:rFonts w:eastAsia="Calibri" w:cs="Times New Roman"/>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 (istotność: niska)</w:t>
            </w:r>
          </w:p>
          <w:p w14:paraId="37BA8C69" w14:textId="77777777" w:rsidR="000B200D" w:rsidRPr="00CF4FA1" w:rsidRDefault="000B200D">
            <w:pPr>
              <w:numPr>
                <w:ilvl w:val="0"/>
                <w:numId w:val="71"/>
              </w:numPr>
              <w:spacing w:beforeLines="60" w:before="144" w:afterLines="60" w:after="144" w:line="240" w:lineRule="auto"/>
              <w:contextualSpacing/>
              <w:jc w:val="both"/>
              <w:rPr>
                <w:rFonts w:eastAsia="Calibri" w:cs="Times New Roman"/>
                <w:color w:val="000000"/>
              </w:rPr>
            </w:pPr>
            <w:r w:rsidRPr="00CF4FA1">
              <w:rPr>
                <w:rFonts w:eastAsia="Calibri" w:cs="Times New Roman"/>
                <w:b/>
                <w:color w:val="000000"/>
              </w:rPr>
              <w:t>ryzyko niezdefiniowane</w:t>
            </w:r>
            <w:r w:rsidRPr="00CF4FA1">
              <w:rPr>
                <w:rFonts w:eastAsia="Calibri" w:cs="Times New Roman"/>
                <w:color w:val="000000"/>
              </w:rPr>
              <w:t xml:space="preserve"> – na poziom osiągnięcia wartości docelowych założonych w FEDS 2021-2027 wskaźników mogą mieć wpływ inne – niezdefiniowane i nierozpoznane czynniki, które znacznie utrudnią lub też uniemożliwią osiągniecie założonych rezultatów; (istotność: niska)</w:t>
            </w:r>
          </w:p>
          <w:p w14:paraId="0AA96446" w14:textId="2DB2ED8D" w:rsidR="00EC269B" w:rsidRPr="00CF4FA1" w:rsidRDefault="00EC269B" w:rsidP="00EC269B">
            <w:pPr>
              <w:shd w:val="clear" w:color="auto" w:fill="FFFFFF"/>
              <w:spacing w:before="60" w:after="60" w:line="240" w:lineRule="auto"/>
              <w:jc w:val="both"/>
              <w:rPr>
                <w:rFonts w:eastAsia="Calibri" w:cs="Times New Roman"/>
                <w:color w:val="000000"/>
              </w:rPr>
            </w:pPr>
          </w:p>
        </w:tc>
      </w:tr>
      <w:bookmarkEnd w:id="399"/>
    </w:tbl>
    <w:p w14:paraId="70B465BD" w14:textId="1A5EC5A5" w:rsidR="000B200D" w:rsidRDefault="000B200D" w:rsidP="00CF4FA1"/>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6641B5" w:rsidRPr="006641B5" w14:paraId="70507949" w14:textId="77777777" w:rsidTr="00483576">
        <w:trPr>
          <w:cantSplit/>
          <w:trHeight w:val="1647"/>
        </w:trPr>
        <w:tc>
          <w:tcPr>
            <w:tcW w:w="451" w:type="pct"/>
            <w:shd w:val="clear" w:color="auto" w:fill="auto"/>
            <w:vAlign w:val="center"/>
          </w:tcPr>
          <w:p w14:paraId="29F15A0D"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CP 6</w:t>
            </w:r>
          </w:p>
          <w:p w14:paraId="2B187E57"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szczegółowy</w:t>
            </w:r>
          </w:p>
        </w:tc>
        <w:tc>
          <w:tcPr>
            <w:tcW w:w="494" w:type="pct"/>
            <w:shd w:val="clear" w:color="auto" w:fill="auto"/>
            <w:vAlign w:val="center"/>
          </w:tcPr>
          <w:p w14:paraId="65B38C5F"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Fundusz</w:t>
            </w:r>
          </w:p>
        </w:tc>
        <w:tc>
          <w:tcPr>
            <w:tcW w:w="558" w:type="pct"/>
            <w:shd w:val="clear" w:color="auto" w:fill="auto"/>
            <w:vAlign w:val="center"/>
          </w:tcPr>
          <w:p w14:paraId="341CFE44"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Kategoria regionu</w:t>
            </w:r>
          </w:p>
        </w:tc>
        <w:tc>
          <w:tcPr>
            <w:tcW w:w="360" w:type="pct"/>
            <w:shd w:val="clear" w:color="auto" w:fill="auto"/>
            <w:textDirection w:val="btLr"/>
            <w:vAlign w:val="center"/>
          </w:tcPr>
          <w:p w14:paraId="575343CE" w14:textId="77777777" w:rsidR="006641B5" w:rsidRPr="006641B5" w:rsidRDefault="006641B5" w:rsidP="006641B5">
            <w:pPr>
              <w:shd w:val="clear" w:color="auto" w:fill="FFFFFF"/>
              <w:spacing w:before="120" w:after="120" w:line="240" w:lineRule="auto"/>
              <w:ind w:left="113" w:right="113"/>
              <w:jc w:val="center"/>
              <w:rPr>
                <w:rFonts w:eastAsia="Calibri" w:cs="Calibri"/>
                <w:b/>
                <w:noProof/>
                <w:sz w:val="16"/>
                <w:szCs w:val="16"/>
              </w:rPr>
            </w:pPr>
            <w:r w:rsidRPr="006641B5">
              <w:rPr>
                <w:rFonts w:eastAsia="Calibri" w:cs="Calibri"/>
                <w:b/>
                <w:noProof/>
                <w:sz w:val="16"/>
                <w:szCs w:val="16"/>
              </w:rPr>
              <w:t>Nr identyfikacyjny [5]</w:t>
            </w:r>
          </w:p>
        </w:tc>
        <w:tc>
          <w:tcPr>
            <w:tcW w:w="1411" w:type="pct"/>
            <w:shd w:val="clear" w:color="auto" w:fill="auto"/>
            <w:vAlign w:val="center"/>
          </w:tcPr>
          <w:p w14:paraId="305D0C28"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Wskaźnik [255]</w:t>
            </w:r>
          </w:p>
        </w:tc>
        <w:tc>
          <w:tcPr>
            <w:tcW w:w="549" w:type="pct"/>
            <w:shd w:val="clear" w:color="auto" w:fill="auto"/>
            <w:vAlign w:val="center"/>
          </w:tcPr>
          <w:p w14:paraId="7CA81798"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Jednostka miary</w:t>
            </w:r>
          </w:p>
        </w:tc>
        <w:tc>
          <w:tcPr>
            <w:tcW w:w="627" w:type="pct"/>
            <w:shd w:val="clear" w:color="auto" w:fill="auto"/>
            <w:vAlign w:val="center"/>
          </w:tcPr>
          <w:p w14:paraId="579E23D8"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pośredni (2024)</w:t>
            </w:r>
          </w:p>
          <w:p w14:paraId="68D1F899"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c>
          <w:tcPr>
            <w:tcW w:w="550" w:type="pct"/>
            <w:shd w:val="clear" w:color="auto" w:fill="auto"/>
            <w:vAlign w:val="center"/>
          </w:tcPr>
          <w:p w14:paraId="5A3AEB55"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(2029)</w:t>
            </w:r>
          </w:p>
          <w:p w14:paraId="21630F58"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r>
      <w:tr w:rsidR="006641B5" w:rsidRPr="006641B5" w14:paraId="14605068" w14:textId="77777777" w:rsidTr="00483576">
        <w:trPr>
          <w:trHeight w:val="340"/>
        </w:trPr>
        <w:tc>
          <w:tcPr>
            <w:tcW w:w="451" w:type="pct"/>
            <w:shd w:val="clear" w:color="auto" w:fill="auto"/>
            <w:vAlign w:val="center"/>
          </w:tcPr>
          <w:p w14:paraId="5A49C8F3"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8.1</w:t>
            </w:r>
          </w:p>
        </w:tc>
        <w:tc>
          <w:tcPr>
            <w:tcW w:w="494" w:type="pct"/>
            <w:shd w:val="clear" w:color="auto" w:fill="auto"/>
            <w:vAlign w:val="center"/>
          </w:tcPr>
          <w:p w14:paraId="5BAEED9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FST</w:t>
            </w:r>
          </w:p>
        </w:tc>
        <w:tc>
          <w:tcPr>
            <w:tcW w:w="558" w:type="pct"/>
            <w:shd w:val="clear" w:color="auto" w:fill="auto"/>
            <w:vAlign w:val="center"/>
          </w:tcPr>
          <w:p w14:paraId="60DE89FB"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przejściowy</w:t>
            </w:r>
          </w:p>
        </w:tc>
        <w:tc>
          <w:tcPr>
            <w:tcW w:w="360" w:type="pct"/>
            <w:shd w:val="clear" w:color="auto" w:fill="auto"/>
            <w:vAlign w:val="center"/>
          </w:tcPr>
          <w:p w14:paraId="54605C3E"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PLKLCO02</w:t>
            </w:r>
          </w:p>
        </w:tc>
        <w:tc>
          <w:tcPr>
            <w:tcW w:w="1411" w:type="pct"/>
            <w:shd w:val="clear" w:color="auto" w:fill="auto"/>
            <w:vAlign w:val="center"/>
          </w:tcPr>
          <w:p w14:paraId="0FBF8C3F" w14:textId="77777777" w:rsidR="006641B5" w:rsidRPr="006641B5" w:rsidRDefault="006641B5" w:rsidP="006641B5">
            <w:pPr>
              <w:keepNext/>
              <w:keepLines/>
              <w:spacing w:before="200" w:after="0"/>
              <w:jc w:val="center"/>
              <w:outlineLvl w:val="2"/>
              <w:rPr>
                <w:rFonts w:eastAsia="Times New Roman" w:cs="Calibri"/>
                <w:b/>
                <w:bCs/>
                <w:noProof/>
                <w:sz w:val="16"/>
                <w:szCs w:val="16"/>
              </w:rPr>
            </w:pPr>
            <w:bookmarkStart w:id="402" w:name="_Toc120464526"/>
            <w:r w:rsidRPr="006641B5">
              <w:rPr>
                <w:rFonts w:eastAsia="Times New Roman" w:cs="Calibri"/>
                <w:bCs/>
                <w:noProof/>
                <w:sz w:val="16"/>
                <w:szCs w:val="16"/>
              </w:rPr>
              <w:t>Liczba osób objętych usługami świadczonymi w społeczności lokalnej w programie</w:t>
            </w:r>
            <w:bookmarkEnd w:id="402"/>
          </w:p>
        </w:tc>
        <w:tc>
          <w:tcPr>
            <w:tcW w:w="549" w:type="pct"/>
            <w:shd w:val="clear" w:color="auto" w:fill="auto"/>
            <w:vAlign w:val="center"/>
          </w:tcPr>
          <w:p w14:paraId="4273F892"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osoby</w:t>
            </w:r>
          </w:p>
        </w:tc>
        <w:tc>
          <w:tcPr>
            <w:tcW w:w="627" w:type="pct"/>
            <w:shd w:val="clear" w:color="auto" w:fill="auto"/>
            <w:vAlign w:val="center"/>
          </w:tcPr>
          <w:p w14:paraId="7613CEE7"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82</w:t>
            </w:r>
          </w:p>
        </w:tc>
        <w:tc>
          <w:tcPr>
            <w:tcW w:w="550" w:type="pct"/>
            <w:shd w:val="clear" w:color="auto" w:fill="auto"/>
            <w:vAlign w:val="center"/>
          </w:tcPr>
          <w:p w14:paraId="70F57A43"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2 750</w:t>
            </w:r>
          </w:p>
        </w:tc>
      </w:tr>
      <w:tr w:rsidR="006641B5" w:rsidRPr="006641B5" w14:paraId="7083B5A2" w14:textId="77777777" w:rsidTr="00483576">
        <w:trPr>
          <w:trHeight w:val="340"/>
        </w:trPr>
        <w:tc>
          <w:tcPr>
            <w:tcW w:w="5000" w:type="pct"/>
            <w:gridSpan w:val="8"/>
            <w:shd w:val="clear" w:color="auto" w:fill="auto"/>
          </w:tcPr>
          <w:p w14:paraId="4DF96731"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Metodologia:</w:t>
            </w:r>
          </w:p>
          <w:p w14:paraId="73F8B297"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Wskaźnik realizuje kod interwencji:</w:t>
            </w:r>
          </w:p>
          <w:p w14:paraId="26E84B5C" w14:textId="77777777" w:rsidR="006641B5" w:rsidRPr="006641B5" w:rsidRDefault="006641B5" w:rsidP="006641B5">
            <w:pPr>
              <w:numPr>
                <w:ilvl w:val="0"/>
                <w:numId w:val="12"/>
              </w:numPr>
              <w:shd w:val="clear" w:color="auto" w:fill="FFFFFF"/>
              <w:spacing w:beforeLines="60" w:before="144" w:afterLines="60" w:after="144" w:line="240" w:lineRule="auto"/>
              <w:ind w:left="770"/>
              <w:contextualSpacing/>
              <w:jc w:val="both"/>
              <w:rPr>
                <w:rFonts w:eastAsia="Calibri" w:cs="Calibri"/>
              </w:rPr>
            </w:pPr>
            <w:r w:rsidRPr="006641B5">
              <w:rPr>
                <w:rFonts w:eastAsia="Calibri" w:cs="Calibri"/>
              </w:rPr>
              <w:t>158 Działania w celu zwiększenia równego i szybkiego dostępu do dobrej jakości trwałych i przystępnych cenowo usług społecznych (22 000 000 EUR);</w:t>
            </w:r>
          </w:p>
          <w:p w14:paraId="389FCFAE" w14:textId="77777777" w:rsidR="006641B5" w:rsidRPr="006641B5" w:rsidRDefault="006641B5" w:rsidP="006641B5">
            <w:pPr>
              <w:shd w:val="clear" w:color="auto" w:fill="FFFFFF"/>
              <w:spacing w:beforeLines="60" w:before="144" w:afterLines="60" w:after="144" w:line="240" w:lineRule="auto"/>
              <w:ind w:left="410"/>
              <w:contextualSpacing/>
              <w:jc w:val="both"/>
              <w:rPr>
                <w:rFonts w:eastAsia="Calibri" w:cs="Calibri"/>
              </w:rPr>
            </w:pPr>
          </w:p>
          <w:p w14:paraId="65EF1615"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Biorąc pod uwagę kurs EUR na poziomie 4,45 alokacja na realizację wskaźnika wynosi 97 900 000 PLN.</w:t>
            </w:r>
          </w:p>
          <w:p w14:paraId="202F1599"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 xml:space="preserve">Historyczny koszt jednostkowy na bazie doświadczeń z perspektywy 2014-2020 w zakresie usług społecznych wynosi 28 742,87 PLN. Koszt jednostkowy został skorygowany w oparciu o wartość inflacji na poziomie 15% i wynosi 33 054,30 PLN, a obniżony do wartości dofinansowania na poziomie 70% wynosi  23 138,01  PLN. Na podstawie tych danych wyliczono wartość wskaźnika. Jednocześnie na podstawie </w:t>
            </w:r>
            <w:proofErr w:type="spellStart"/>
            <w:r w:rsidRPr="006641B5">
              <w:rPr>
                <w:rFonts w:eastAsia="Calibri" w:cs="Calibri"/>
              </w:rPr>
              <w:t>ryzyk</w:t>
            </w:r>
            <w:proofErr w:type="spellEnd"/>
            <w:r w:rsidRPr="006641B5">
              <w:rPr>
                <w:rFonts w:eastAsia="Calibri" w:cs="Calibri"/>
              </w:rPr>
              <w:t xml:space="preserve"> związanych z realizacją tego typu projektów określono wskaźnik kompensacji: </w:t>
            </w:r>
          </w:p>
          <w:p w14:paraId="495C4C9F"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R: [(1*3)+(7*25)+(3*68)]/11 = 34,7%. Wartość zaokrąglono do pełnej wartości 35%.</w:t>
            </w:r>
          </w:p>
          <w:p w14:paraId="74F458E2"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Wyliczenie:</w:t>
            </w:r>
          </w:p>
          <w:p w14:paraId="5D02D03C"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97 900 000 / 23 138,01 * (1-0,35) = 2 750 osób.</w:t>
            </w:r>
          </w:p>
          <w:p w14:paraId="4FFB6AA2" w14:textId="77777777" w:rsidR="006641B5" w:rsidRPr="006641B5" w:rsidRDefault="006641B5" w:rsidP="006641B5">
            <w:pPr>
              <w:shd w:val="clear" w:color="auto" w:fill="FFFFFF"/>
              <w:spacing w:beforeLines="60" w:before="144" w:afterLines="60" w:after="144" w:line="240" w:lineRule="auto"/>
              <w:jc w:val="both"/>
              <w:rPr>
                <w:rFonts w:eastAsia="Calibri" w:cs="Calibri"/>
                <w:color w:val="000000"/>
              </w:rPr>
            </w:pPr>
            <w:r w:rsidRPr="006641B5">
              <w:rPr>
                <w:rFonts w:eastAsia="Calibri" w:cs="Calibri"/>
                <w:color w:val="000000"/>
              </w:rPr>
              <w:t>Należy zwrócić szczególną uwagę na następujące (</w:t>
            </w:r>
            <w:r w:rsidRPr="006641B5">
              <w:rPr>
                <w:rFonts w:eastAsia="Calibri" w:cs="Calibri"/>
                <w:color w:val="000000"/>
                <w:u w:val="single"/>
              </w:rPr>
              <w:t>ogólne</w:t>
            </w:r>
            <w:r w:rsidRPr="006641B5">
              <w:rPr>
                <w:rFonts w:eastAsia="Calibri" w:cs="Calibri"/>
                <w:color w:val="000000"/>
              </w:rPr>
              <w:t>) czynniki ryzyka, które mogą mieć wpływ na poziom osiągnięcia założonej wartości docelowej:</w:t>
            </w:r>
          </w:p>
          <w:p w14:paraId="7B36A4B6" w14:textId="77777777" w:rsidR="006641B5" w:rsidRPr="006641B5" w:rsidRDefault="006641B5" w:rsidP="00EA08E0">
            <w:pPr>
              <w:numPr>
                <w:ilvl w:val="0"/>
                <w:numId w:val="98"/>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walutowe</w:t>
            </w:r>
            <w:r w:rsidRPr="006641B5">
              <w:rPr>
                <w:rFonts w:eastAsia="Calibri" w:cs="Calibr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7A59CE7A" w14:textId="77777777" w:rsidR="006641B5" w:rsidRPr="006641B5" w:rsidRDefault="006641B5" w:rsidP="00EA08E0">
            <w:pPr>
              <w:numPr>
                <w:ilvl w:val="0"/>
                <w:numId w:val="98"/>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color w:val="000000"/>
              </w:rPr>
              <w:t>zawieszenie płatności przez KE dla danej osi priorytetowej</w:t>
            </w:r>
            <w:r w:rsidRPr="006641B5">
              <w:rPr>
                <w:rFonts w:eastAsia="Calibri" w:cs="Calibri"/>
                <w:color w:val="000000"/>
              </w:rPr>
              <w:t>; (istotność: umiarkowana)</w:t>
            </w:r>
          </w:p>
          <w:p w14:paraId="625321F8" w14:textId="77777777" w:rsidR="006641B5" w:rsidRPr="006641B5" w:rsidRDefault="006641B5" w:rsidP="00EA08E0">
            <w:pPr>
              <w:numPr>
                <w:ilvl w:val="0"/>
                <w:numId w:val="98"/>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bCs/>
                <w:color w:val="000000"/>
              </w:rPr>
              <w:t xml:space="preserve">czynniki które mogą wpłynąć na harmonogram realizacji planów działania dot. spełnienia warunków wstępnych (ex </w:t>
            </w:r>
            <w:proofErr w:type="spellStart"/>
            <w:r w:rsidRPr="006641B5">
              <w:rPr>
                <w:rFonts w:eastAsia="Calibri" w:cs="Calibri"/>
                <w:b/>
                <w:bCs/>
                <w:color w:val="000000"/>
              </w:rPr>
              <w:t>ante</w:t>
            </w:r>
            <w:proofErr w:type="spellEnd"/>
            <w:r w:rsidRPr="006641B5">
              <w:rPr>
                <w:rFonts w:eastAsia="Calibri" w:cs="Calibri"/>
                <w:b/>
                <w:bCs/>
                <w:color w:val="000000"/>
              </w:rPr>
              <w:t>),</w:t>
            </w:r>
            <w:r w:rsidRPr="006641B5">
              <w:rPr>
                <w:rFonts w:eastAsia="Calibri" w:cs="Calibri"/>
                <w:color w:val="000000"/>
              </w:rPr>
              <w:t xml:space="preserve"> a które są poza kompetencjami IZ oraz instytucji odpowiedzialnych za spełnienie tych warunków; (istotność: umiarkowana)</w:t>
            </w:r>
          </w:p>
          <w:p w14:paraId="2A4B067B" w14:textId="77777777" w:rsidR="006641B5" w:rsidRPr="006641B5" w:rsidRDefault="006641B5" w:rsidP="00EA08E0">
            <w:pPr>
              <w:numPr>
                <w:ilvl w:val="0"/>
                <w:numId w:val="98"/>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color w:val="000000"/>
              </w:rPr>
              <w:t>ostateczne ustalenia dot. Występowania i poziomu pomocy publicznej</w:t>
            </w:r>
            <w:r w:rsidRPr="006641B5">
              <w:rPr>
                <w:rFonts w:eastAsia="Calibri" w:cs="Calibri"/>
                <w:color w:val="000000"/>
              </w:rPr>
              <w:t>; (istotność: umiarkowana)</w:t>
            </w:r>
          </w:p>
          <w:p w14:paraId="1B4458EE" w14:textId="77777777" w:rsidR="006641B5" w:rsidRPr="006641B5" w:rsidRDefault="006641B5" w:rsidP="00EA08E0">
            <w:pPr>
              <w:numPr>
                <w:ilvl w:val="0"/>
                <w:numId w:val="98"/>
              </w:numPr>
              <w:shd w:val="clear" w:color="auto" w:fill="FFFFFF"/>
              <w:spacing w:beforeLines="60" w:before="144" w:afterLines="60" w:after="144" w:line="240" w:lineRule="auto"/>
              <w:contextualSpacing/>
              <w:jc w:val="both"/>
              <w:rPr>
                <w:rFonts w:eastAsia="Calibri" w:cs="Calibri"/>
                <w:b/>
                <w:color w:val="000000"/>
              </w:rPr>
            </w:pPr>
            <w:r w:rsidRPr="006641B5">
              <w:rPr>
                <w:rFonts w:eastAsia="Calibri" w:cs="Calibri"/>
                <w:b/>
                <w:color w:val="000000"/>
              </w:rPr>
              <w:lastRenderedPageBreak/>
              <w:t>opóźnienia, bądź niewykonanie projektu związane z procedurami wynikającymi z zamówień publicznych</w:t>
            </w:r>
            <w:r w:rsidRPr="006641B5">
              <w:rPr>
                <w:rFonts w:eastAsia="Calibri" w:cs="Calibri"/>
                <w:bCs/>
                <w:color w:val="000000"/>
              </w:rPr>
              <w:t>; (istotność: poważna)</w:t>
            </w:r>
          </w:p>
          <w:p w14:paraId="28145770" w14:textId="77777777" w:rsidR="006641B5" w:rsidRPr="006641B5" w:rsidRDefault="006641B5" w:rsidP="00EA08E0">
            <w:pPr>
              <w:numPr>
                <w:ilvl w:val="0"/>
                <w:numId w:val="98"/>
              </w:numPr>
              <w:shd w:val="clear" w:color="auto" w:fill="FFFFFF"/>
              <w:spacing w:beforeLines="60" w:before="144" w:afterLines="60" w:after="144" w:line="240" w:lineRule="auto"/>
              <w:contextualSpacing/>
              <w:jc w:val="both"/>
              <w:rPr>
                <w:rFonts w:eastAsia="Calibri" w:cs="Calibri"/>
                <w:bCs/>
                <w:color w:val="000000"/>
              </w:rPr>
            </w:pPr>
            <w:r w:rsidRPr="006641B5">
              <w:rPr>
                <w:rFonts w:eastAsia="Calibri" w:cs="Calibri"/>
                <w:b/>
                <w:color w:val="000000"/>
              </w:rPr>
              <w:t xml:space="preserve">wpływ pandemii koronawirusa SARS-CoV-2 </w:t>
            </w:r>
            <w:r w:rsidRPr="006641B5">
              <w:rPr>
                <w:rFonts w:eastAsia="Calibri" w:cs="Calibr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F6B2746" w14:textId="77777777" w:rsidR="006641B5" w:rsidRPr="006641B5" w:rsidRDefault="006641B5" w:rsidP="006641B5">
            <w:pPr>
              <w:shd w:val="clear" w:color="auto" w:fill="FFFFFF"/>
              <w:spacing w:before="100" w:beforeAutospacing="1" w:after="60" w:line="240" w:lineRule="auto"/>
              <w:jc w:val="both"/>
              <w:rPr>
                <w:rFonts w:eastAsia="Calibri" w:cs="Calibri"/>
                <w:bCs/>
                <w:color w:val="000000"/>
              </w:rPr>
            </w:pPr>
            <w:r w:rsidRPr="006641B5">
              <w:rPr>
                <w:rFonts w:eastAsia="Calibri" w:cs="Calibri"/>
                <w:bCs/>
                <w:color w:val="000000"/>
              </w:rPr>
              <w:t xml:space="preserve">Z uwagi na specyfikę projektów społecznych należy wziąć pod uwagę kolejne ryzyka </w:t>
            </w:r>
            <w:r w:rsidRPr="006641B5">
              <w:rPr>
                <w:rFonts w:eastAsia="Calibri" w:cs="Calibri"/>
                <w:bCs/>
                <w:color w:val="000000"/>
                <w:u w:val="single"/>
              </w:rPr>
              <w:t>szczegółowe</w:t>
            </w:r>
            <w:r w:rsidRPr="006641B5">
              <w:rPr>
                <w:rFonts w:eastAsia="Calibri" w:cs="Calibri"/>
                <w:bCs/>
                <w:color w:val="000000"/>
              </w:rPr>
              <w:t>:</w:t>
            </w:r>
            <w:r w:rsidRPr="006641B5">
              <w:rPr>
                <w:rFonts w:eastAsia="Calibri" w:cs="Calibri"/>
                <w:color w:val="000000"/>
              </w:rPr>
              <w:tab/>
            </w:r>
          </w:p>
          <w:p w14:paraId="3CCE7C20" w14:textId="77777777" w:rsidR="006641B5" w:rsidRPr="006641B5" w:rsidRDefault="006641B5" w:rsidP="00EA08E0">
            <w:pPr>
              <w:numPr>
                <w:ilvl w:val="0"/>
                <w:numId w:val="99"/>
              </w:numPr>
              <w:spacing w:beforeLines="60" w:before="144" w:afterLines="60" w:after="144" w:line="240" w:lineRule="auto"/>
              <w:contextualSpacing/>
              <w:jc w:val="both"/>
              <w:rPr>
                <w:rFonts w:eastAsia="Calibri" w:cs="Calibri"/>
                <w:color w:val="000000"/>
              </w:rPr>
            </w:pPr>
            <w:r w:rsidRPr="006641B5">
              <w:rPr>
                <w:rFonts w:eastAsia="Calibri" w:cs="Calibr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w:t>
            </w:r>
            <w:r w:rsidRPr="006641B5">
              <w:rPr>
                <w:rFonts w:eastAsia="Calibri"/>
                <w:color w:val="000000"/>
              </w:rPr>
              <w:t>nieoczekiwanych zmian gospodarczych lub społecznych</w:t>
            </w:r>
            <w:r w:rsidRPr="006641B5">
              <w:rPr>
                <w:rFonts w:eastAsia="Calibri" w:cs="Calibri"/>
                <w:color w:val="000000"/>
              </w:rPr>
              <w:t xml:space="preserve">, zaplanowana forma wsparcia (na którą odpowiada wskaźnik) nie będzie cieszyła się </w:t>
            </w:r>
            <w:r w:rsidRPr="006641B5">
              <w:rPr>
                <w:rFonts w:eastAsia="Calibri" w:cs="Calibri"/>
                <w:b/>
                <w:color w:val="000000"/>
              </w:rPr>
              <w:t>powodzeniem beneficjentów</w:t>
            </w:r>
            <w:r w:rsidRPr="006641B5">
              <w:rPr>
                <w:rFonts w:eastAsia="Calibri" w:cs="Calibri"/>
                <w:color w:val="000000"/>
              </w:rPr>
              <w:t>. Należy mieć wówczas możliwość kierowania wsparcia w ramach innego typu przedsięwzięcia, bez obawy nieosiągnięcia zaplanowanego do osiągnięcia wskaźnika; (istotność: umiarkowana)</w:t>
            </w:r>
          </w:p>
          <w:p w14:paraId="587CAD58" w14:textId="77777777" w:rsidR="006641B5" w:rsidRPr="006641B5" w:rsidRDefault="006641B5" w:rsidP="00EA08E0">
            <w:pPr>
              <w:numPr>
                <w:ilvl w:val="0"/>
                <w:numId w:val="99"/>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zmieniającej się ceny</w:t>
            </w:r>
            <w:r w:rsidRPr="006641B5">
              <w:rPr>
                <w:rFonts w:eastAsia="Calibri" w:cs="Calibr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4212DB04" w14:textId="77777777" w:rsidR="006641B5" w:rsidRPr="006641B5" w:rsidRDefault="006641B5" w:rsidP="00EA08E0">
            <w:pPr>
              <w:numPr>
                <w:ilvl w:val="0"/>
                <w:numId w:val="99"/>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realizacji projektów o niższej efektywności niż dotychczas</w:t>
            </w:r>
            <w:r w:rsidRPr="006641B5">
              <w:rPr>
                <w:rFonts w:eastAsia="Calibri" w:cs="Calibr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6868FE52" w14:textId="77777777" w:rsidR="006641B5" w:rsidRPr="006641B5" w:rsidRDefault="006641B5" w:rsidP="00EA08E0">
            <w:pPr>
              <w:numPr>
                <w:ilvl w:val="0"/>
                <w:numId w:val="99"/>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wniesienia wkładu własnego przez beneficjentów</w:t>
            </w:r>
            <w:r w:rsidRPr="006641B5">
              <w:rPr>
                <w:rFonts w:eastAsia="Calibri" w:cs="Calibr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1EF16FC6" w14:textId="77777777" w:rsidR="006641B5" w:rsidRPr="006641B5" w:rsidRDefault="006641B5" w:rsidP="00EA08E0">
            <w:pPr>
              <w:numPr>
                <w:ilvl w:val="0"/>
                <w:numId w:val="99"/>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niezdefiniowane</w:t>
            </w:r>
            <w:r w:rsidRPr="006641B5">
              <w:rPr>
                <w:rFonts w:eastAsia="Calibri" w:cs="Calibr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2F59CC8F" w14:textId="77777777" w:rsidR="006641B5" w:rsidRPr="006641B5" w:rsidRDefault="006641B5" w:rsidP="006641B5">
            <w:pPr>
              <w:spacing w:beforeLines="60" w:before="144" w:afterLines="60" w:after="144" w:line="240" w:lineRule="auto"/>
              <w:contextualSpacing/>
              <w:jc w:val="both"/>
              <w:rPr>
                <w:rFonts w:eastAsia="Calibri" w:cs="Calibri"/>
                <w:color w:val="000000"/>
              </w:rPr>
            </w:pPr>
          </w:p>
          <w:p w14:paraId="23094452" w14:textId="77777777" w:rsidR="006641B5" w:rsidRPr="006641B5" w:rsidRDefault="006641B5" w:rsidP="006641B5">
            <w:pPr>
              <w:spacing w:after="0" w:line="240" w:lineRule="auto"/>
              <w:contextualSpacing/>
              <w:jc w:val="both"/>
              <w:rPr>
                <w:rFonts w:eastAsia="Calibri" w:cs="Times New Roman"/>
                <w:b/>
                <w:bCs/>
                <w:color w:val="000000"/>
              </w:rPr>
            </w:pPr>
            <w:r w:rsidRPr="006641B5">
              <w:rPr>
                <w:rFonts w:eastAsia="Calibri" w:cs="Times New Roman"/>
                <w:b/>
                <w:bCs/>
                <w:color w:val="000000"/>
              </w:rPr>
              <w:t>Uzasadnienie dla celu pośredniego:</w:t>
            </w:r>
          </w:p>
          <w:p w14:paraId="358EC45F" w14:textId="77777777" w:rsidR="006641B5" w:rsidRPr="006641B5" w:rsidRDefault="006641B5" w:rsidP="006641B5">
            <w:pPr>
              <w:spacing w:beforeLines="60" w:before="144" w:afterLines="60" w:after="144" w:line="240" w:lineRule="auto"/>
              <w:contextualSpacing/>
              <w:jc w:val="both"/>
              <w:rPr>
                <w:rFonts w:eastAsia="Calibri" w:cs="Calibri"/>
                <w:b/>
                <w:bCs/>
                <w:color w:val="000000"/>
              </w:rPr>
            </w:pPr>
            <w:r w:rsidRPr="006641B5">
              <w:rPr>
                <w:rFonts w:eastAsia="Calibri" w:cs="Calibri"/>
                <w:b/>
                <w:bCs/>
                <w:color w:val="000000"/>
              </w:rPr>
              <w:t>Przeanalizowano dane historyczne z wdrażania RPO WD 2014-2020 (PI 9 iv), na podstawie Sprawozdania rocznego z 2021 r. dla projektów o podobnym zakresie wsparcia. Wskaźnik pn. Liczba osób zagrożonych ubóstwem lub wykluczeniem społecznym objętych usługami społecznymi świadczonymi w interesie ogólnym w programie dopiero w 2017 r. osiągnął wartość 589, co wobec wartości z wykonania na koniec 2021 r. (10 552) stanowi zaledwie 5,60 %.</w:t>
            </w:r>
          </w:p>
          <w:p w14:paraId="41104E66" w14:textId="77777777" w:rsidR="006641B5" w:rsidRPr="006641B5" w:rsidRDefault="006641B5" w:rsidP="006641B5">
            <w:pPr>
              <w:spacing w:beforeLines="60" w:before="144" w:afterLines="60" w:after="144" w:line="240" w:lineRule="auto"/>
              <w:contextualSpacing/>
              <w:jc w:val="both"/>
              <w:rPr>
                <w:rFonts w:eastAsia="Calibri" w:cs="Calibri"/>
                <w:b/>
                <w:bCs/>
                <w:color w:val="000000"/>
              </w:rPr>
            </w:pPr>
            <w:r w:rsidRPr="006641B5">
              <w:rPr>
                <w:rFonts w:eastAsia="Calibri" w:cs="Calibri"/>
                <w:b/>
                <w:bCs/>
                <w:color w:val="000000"/>
              </w:rPr>
              <w:t>Mając na uwadze, że 2017 r. był już czwartym rokiem wdrażania programu RPO WD 2014-2020, a rok 2024 będzie de facto dopiero drugim rokiem wdrażania FEDS, wartość pośrednią dla tego wskaźnika ustalono na poziomie 3% wartości docelowej.</w:t>
            </w:r>
          </w:p>
          <w:p w14:paraId="299C6963" w14:textId="77777777" w:rsidR="006641B5" w:rsidRPr="006641B5" w:rsidRDefault="006641B5" w:rsidP="006641B5">
            <w:pPr>
              <w:spacing w:beforeLines="60" w:before="144" w:afterLines="60" w:after="144" w:line="240" w:lineRule="auto"/>
              <w:ind w:left="720"/>
              <w:contextualSpacing/>
              <w:jc w:val="both"/>
              <w:rPr>
                <w:rFonts w:eastAsia="Calibri" w:cs="Calibri"/>
                <w:color w:val="000000"/>
              </w:rPr>
            </w:pPr>
          </w:p>
        </w:tc>
      </w:tr>
    </w:tbl>
    <w:p w14:paraId="40D1041D" w14:textId="734E5D87" w:rsidR="006641B5" w:rsidRDefault="006641B5" w:rsidP="00CF4FA1"/>
    <w:p w14:paraId="20670299" w14:textId="77777777" w:rsidR="006641B5" w:rsidRDefault="006641B5" w:rsidP="00CF4FA1"/>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6641B5" w:rsidRPr="006641B5" w14:paraId="33D69C44" w14:textId="77777777" w:rsidTr="00483576">
        <w:trPr>
          <w:cantSplit/>
          <w:trHeight w:val="1647"/>
        </w:trPr>
        <w:tc>
          <w:tcPr>
            <w:tcW w:w="451" w:type="pct"/>
            <w:shd w:val="clear" w:color="auto" w:fill="auto"/>
            <w:vAlign w:val="center"/>
          </w:tcPr>
          <w:p w14:paraId="6BC63BC0"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lastRenderedPageBreak/>
              <w:t>CP 6</w:t>
            </w:r>
          </w:p>
          <w:p w14:paraId="2EEF2020"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szczegółowy</w:t>
            </w:r>
          </w:p>
        </w:tc>
        <w:tc>
          <w:tcPr>
            <w:tcW w:w="494" w:type="pct"/>
            <w:shd w:val="clear" w:color="auto" w:fill="auto"/>
            <w:vAlign w:val="center"/>
          </w:tcPr>
          <w:p w14:paraId="26B035E1"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Fundusz</w:t>
            </w:r>
          </w:p>
        </w:tc>
        <w:tc>
          <w:tcPr>
            <w:tcW w:w="558" w:type="pct"/>
            <w:shd w:val="clear" w:color="auto" w:fill="auto"/>
            <w:vAlign w:val="center"/>
          </w:tcPr>
          <w:p w14:paraId="510FD2CD"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Kategoria regionu</w:t>
            </w:r>
          </w:p>
        </w:tc>
        <w:tc>
          <w:tcPr>
            <w:tcW w:w="360" w:type="pct"/>
            <w:shd w:val="clear" w:color="auto" w:fill="auto"/>
            <w:textDirection w:val="btLr"/>
            <w:vAlign w:val="center"/>
          </w:tcPr>
          <w:p w14:paraId="6716E90C" w14:textId="77777777" w:rsidR="006641B5" w:rsidRPr="006641B5" w:rsidRDefault="006641B5" w:rsidP="006641B5">
            <w:pPr>
              <w:shd w:val="clear" w:color="auto" w:fill="FFFFFF"/>
              <w:spacing w:before="120" w:after="120" w:line="240" w:lineRule="auto"/>
              <w:ind w:right="113"/>
              <w:jc w:val="center"/>
              <w:rPr>
                <w:rFonts w:eastAsia="Calibri" w:cs="Calibri"/>
                <w:b/>
                <w:noProof/>
                <w:sz w:val="16"/>
                <w:szCs w:val="16"/>
              </w:rPr>
            </w:pPr>
            <w:r w:rsidRPr="006641B5">
              <w:rPr>
                <w:rFonts w:eastAsia="Calibri" w:cs="Calibri"/>
                <w:b/>
                <w:noProof/>
                <w:sz w:val="16"/>
                <w:szCs w:val="16"/>
              </w:rPr>
              <w:t>Nr identyfikacyjny [5]</w:t>
            </w:r>
          </w:p>
        </w:tc>
        <w:tc>
          <w:tcPr>
            <w:tcW w:w="1411" w:type="pct"/>
            <w:shd w:val="clear" w:color="auto" w:fill="auto"/>
            <w:vAlign w:val="center"/>
          </w:tcPr>
          <w:p w14:paraId="74F764BF"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Wskaźnik [255]</w:t>
            </w:r>
          </w:p>
        </w:tc>
        <w:tc>
          <w:tcPr>
            <w:tcW w:w="549" w:type="pct"/>
            <w:shd w:val="clear" w:color="auto" w:fill="auto"/>
            <w:vAlign w:val="center"/>
          </w:tcPr>
          <w:p w14:paraId="51E0E919"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Jednostka miary</w:t>
            </w:r>
          </w:p>
        </w:tc>
        <w:tc>
          <w:tcPr>
            <w:tcW w:w="627" w:type="pct"/>
            <w:shd w:val="clear" w:color="auto" w:fill="auto"/>
            <w:vAlign w:val="center"/>
          </w:tcPr>
          <w:p w14:paraId="3C5B4BB5"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pośredni (2024)</w:t>
            </w:r>
          </w:p>
          <w:p w14:paraId="1574409D"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c>
          <w:tcPr>
            <w:tcW w:w="550" w:type="pct"/>
            <w:shd w:val="clear" w:color="auto" w:fill="auto"/>
            <w:vAlign w:val="center"/>
          </w:tcPr>
          <w:p w14:paraId="27DF830E"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(2029)</w:t>
            </w:r>
          </w:p>
          <w:p w14:paraId="44B37685"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r>
      <w:tr w:rsidR="006641B5" w:rsidRPr="006641B5" w14:paraId="239067DC" w14:textId="77777777" w:rsidTr="00483576">
        <w:trPr>
          <w:trHeight w:val="340"/>
        </w:trPr>
        <w:tc>
          <w:tcPr>
            <w:tcW w:w="451" w:type="pct"/>
            <w:shd w:val="clear" w:color="auto" w:fill="auto"/>
            <w:vAlign w:val="center"/>
          </w:tcPr>
          <w:p w14:paraId="4B35AF46"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8.1</w:t>
            </w:r>
          </w:p>
        </w:tc>
        <w:tc>
          <w:tcPr>
            <w:tcW w:w="494" w:type="pct"/>
            <w:shd w:val="clear" w:color="auto" w:fill="auto"/>
            <w:vAlign w:val="center"/>
          </w:tcPr>
          <w:p w14:paraId="6591F0B6"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FST</w:t>
            </w:r>
          </w:p>
        </w:tc>
        <w:tc>
          <w:tcPr>
            <w:tcW w:w="558" w:type="pct"/>
            <w:shd w:val="clear" w:color="auto" w:fill="auto"/>
            <w:vAlign w:val="center"/>
          </w:tcPr>
          <w:p w14:paraId="2ACC5F9E"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przejściowy</w:t>
            </w:r>
          </w:p>
        </w:tc>
        <w:tc>
          <w:tcPr>
            <w:tcW w:w="360" w:type="pct"/>
            <w:shd w:val="clear" w:color="auto" w:fill="auto"/>
            <w:vAlign w:val="center"/>
          </w:tcPr>
          <w:p w14:paraId="7D7D00A5"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PLFCO 03</w:t>
            </w:r>
          </w:p>
        </w:tc>
        <w:tc>
          <w:tcPr>
            <w:tcW w:w="1411" w:type="pct"/>
            <w:shd w:val="clear" w:color="auto" w:fill="auto"/>
            <w:vAlign w:val="center"/>
          </w:tcPr>
          <w:p w14:paraId="3F8EA863" w14:textId="77777777" w:rsidR="006641B5" w:rsidRPr="006641B5" w:rsidRDefault="006641B5" w:rsidP="006641B5">
            <w:pPr>
              <w:keepNext/>
              <w:keepLines/>
              <w:spacing w:before="200" w:after="0"/>
              <w:jc w:val="center"/>
              <w:outlineLvl w:val="2"/>
              <w:rPr>
                <w:rFonts w:eastAsia="Times New Roman" w:cs="Calibri"/>
                <w:bCs/>
                <w:noProof/>
                <w:sz w:val="16"/>
                <w:szCs w:val="16"/>
              </w:rPr>
            </w:pPr>
            <w:bookmarkStart w:id="403" w:name="_Toc117087810"/>
            <w:bookmarkStart w:id="404" w:name="_Toc120464527"/>
            <w:r w:rsidRPr="006641B5">
              <w:rPr>
                <w:rFonts w:eastAsia="Times New Roman" w:cs="Calibri"/>
                <w:bCs/>
                <w:noProof/>
                <w:sz w:val="16"/>
                <w:szCs w:val="16"/>
              </w:rPr>
              <w:t>Liczba uczniów szkół i placówek systemu oświaty prowadzących kształcenie ogólne objętych wsparciem</w:t>
            </w:r>
            <w:bookmarkEnd w:id="403"/>
            <w:bookmarkEnd w:id="404"/>
          </w:p>
        </w:tc>
        <w:tc>
          <w:tcPr>
            <w:tcW w:w="549" w:type="pct"/>
            <w:shd w:val="clear" w:color="auto" w:fill="auto"/>
            <w:vAlign w:val="center"/>
          </w:tcPr>
          <w:p w14:paraId="5EDEADE9"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osoby</w:t>
            </w:r>
          </w:p>
        </w:tc>
        <w:tc>
          <w:tcPr>
            <w:tcW w:w="627" w:type="pct"/>
            <w:shd w:val="clear" w:color="auto" w:fill="auto"/>
            <w:vAlign w:val="center"/>
          </w:tcPr>
          <w:p w14:paraId="1FC2BC95"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725</w:t>
            </w:r>
          </w:p>
        </w:tc>
        <w:tc>
          <w:tcPr>
            <w:tcW w:w="550" w:type="pct"/>
            <w:shd w:val="clear" w:color="auto" w:fill="auto"/>
            <w:vAlign w:val="center"/>
          </w:tcPr>
          <w:p w14:paraId="0CC95A0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24 184</w:t>
            </w:r>
          </w:p>
        </w:tc>
      </w:tr>
      <w:tr w:rsidR="006641B5" w:rsidRPr="006641B5" w14:paraId="616E203B" w14:textId="77777777" w:rsidTr="00483576">
        <w:trPr>
          <w:trHeight w:val="340"/>
        </w:trPr>
        <w:tc>
          <w:tcPr>
            <w:tcW w:w="5000" w:type="pct"/>
            <w:gridSpan w:val="8"/>
            <w:shd w:val="clear" w:color="auto" w:fill="auto"/>
          </w:tcPr>
          <w:p w14:paraId="75ED332B"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Metodologia:</w:t>
            </w:r>
          </w:p>
          <w:p w14:paraId="27D0E711"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Wskaźnik realizuje kod interwencji:</w:t>
            </w:r>
          </w:p>
          <w:p w14:paraId="143D4721" w14:textId="77777777" w:rsidR="006641B5" w:rsidRPr="006641B5" w:rsidRDefault="006641B5" w:rsidP="006641B5">
            <w:pPr>
              <w:numPr>
                <w:ilvl w:val="0"/>
                <w:numId w:val="12"/>
              </w:numPr>
              <w:shd w:val="clear" w:color="auto" w:fill="FFFFFF"/>
              <w:spacing w:before="60" w:after="60" w:line="240" w:lineRule="auto"/>
              <w:ind w:left="770"/>
              <w:contextualSpacing/>
              <w:jc w:val="both"/>
              <w:rPr>
                <w:rFonts w:eastAsia="Calibri" w:cs="Calibri"/>
              </w:rPr>
            </w:pPr>
            <w:r w:rsidRPr="006641B5">
              <w:rPr>
                <w:rFonts w:eastAsia="Calibri" w:cs="Calibri"/>
              </w:rPr>
              <w:t>149 Wsparcie na rzecz edukacji na poziomie podstawowym i średnim (z wyłączeniem infrastruktury) (15 000 000 EUR/ 66 750 000 PLN);</w:t>
            </w:r>
          </w:p>
          <w:p w14:paraId="0DDE6933" w14:textId="77777777" w:rsidR="006641B5" w:rsidRPr="006641B5" w:rsidRDefault="006641B5" w:rsidP="006641B5">
            <w:pPr>
              <w:shd w:val="clear" w:color="auto" w:fill="FFFFFF"/>
              <w:spacing w:before="60" w:after="60" w:line="240" w:lineRule="auto"/>
              <w:ind w:left="770"/>
              <w:contextualSpacing/>
              <w:jc w:val="both"/>
              <w:rPr>
                <w:rFonts w:eastAsia="Calibri" w:cs="Calibri"/>
              </w:rPr>
            </w:pPr>
          </w:p>
          <w:p w14:paraId="28768373"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Zakłada się, że 100% alokacji kodu przeznaczone będzie na realizację interwencji wskaźnikowej czyli na projekty placówek systemu oświaty prowadzących kształcenie ogólne.</w:t>
            </w:r>
          </w:p>
          <w:p w14:paraId="659D95E9"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Biorąc pod uwagę kurs EUR na poziomie 4,45 suma alokacji na realizację wskaźnika wynosi  66 750 000 PLN.</w:t>
            </w:r>
          </w:p>
          <w:p w14:paraId="698D0241"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 xml:space="preserve">Historyczny koszt jednostkowy na bazie doświadczeń z perspektywy 2014-2020 wynosi 2 297,21 PLN. Koszt jednostkowy został skorygowany w oparciu o wartość inflacji na poziomie 15% i wynosi 2 641,79 PLN, a obniżony do wartości dofinansowania na poziomie 70% wynosi 1 849,25 PLN; na podstawie tych danych wyliczono wartość wskaźnika. Jednocześnie na podstawie </w:t>
            </w:r>
            <w:proofErr w:type="spellStart"/>
            <w:r w:rsidRPr="006641B5">
              <w:rPr>
                <w:rFonts w:eastAsia="Calibri" w:cs="Calibri"/>
              </w:rPr>
              <w:t>ryzyk</w:t>
            </w:r>
            <w:proofErr w:type="spellEnd"/>
            <w:r w:rsidRPr="006641B5">
              <w:rPr>
                <w:rFonts w:eastAsia="Calibri" w:cs="Calibri"/>
              </w:rPr>
              <w:t xml:space="preserve"> związanych z realizacją tego typu projektów określono wskaźnik kompensacji: </w:t>
            </w:r>
          </w:p>
          <w:p w14:paraId="619C660E"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 xml:space="preserve">R: [(2*3)+(6*25)+(3*68)]/11 = 32,73%. Wartość zaokrąglono do pełnej wartości 33%. </w:t>
            </w:r>
          </w:p>
          <w:p w14:paraId="48041D3F"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Wyliczenie:</w:t>
            </w:r>
          </w:p>
          <w:p w14:paraId="60E2E4E2"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66 750 000 / 1 849,25 * (1-0,33) =  24 184 osoby.</w:t>
            </w:r>
          </w:p>
          <w:p w14:paraId="7B739AA0" w14:textId="77777777" w:rsidR="006641B5" w:rsidRPr="006641B5" w:rsidRDefault="006641B5" w:rsidP="006641B5">
            <w:pPr>
              <w:shd w:val="clear" w:color="auto" w:fill="FFFFFF"/>
              <w:spacing w:before="60" w:after="60" w:line="240" w:lineRule="auto"/>
              <w:jc w:val="both"/>
              <w:rPr>
                <w:rFonts w:eastAsia="Calibri" w:cs="Calibri"/>
                <w:color w:val="000000"/>
              </w:rPr>
            </w:pPr>
            <w:r w:rsidRPr="006641B5">
              <w:rPr>
                <w:rFonts w:eastAsia="Calibri" w:cs="Calibri"/>
                <w:color w:val="000000"/>
              </w:rPr>
              <w:t>Należy zwrócić szczególną uwagę na następujące (</w:t>
            </w:r>
            <w:r w:rsidRPr="006641B5">
              <w:rPr>
                <w:rFonts w:eastAsia="Calibri" w:cs="Calibri"/>
                <w:color w:val="000000"/>
                <w:u w:val="single"/>
              </w:rPr>
              <w:t>ogólne</w:t>
            </w:r>
            <w:r w:rsidRPr="006641B5">
              <w:rPr>
                <w:rFonts w:eastAsia="Calibri" w:cs="Calibri"/>
                <w:color w:val="000000"/>
              </w:rPr>
              <w:t>) czynniki ryzyka, które mogą mieć wpływ na poziom osiągnięcia założonej wartości docelowej:</w:t>
            </w:r>
          </w:p>
          <w:p w14:paraId="1CFFD4E1" w14:textId="77777777" w:rsidR="006641B5" w:rsidRPr="006641B5" w:rsidRDefault="006641B5" w:rsidP="00EA08E0">
            <w:pPr>
              <w:numPr>
                <w:ilvl w:val="0"/>
                <w:numId w:val="100"/>
              </w:numPr>
              <w:shd w:val="clear" w:color="auto" w:fill="FFFFFF"/>
              <w:spacing w:before="60" w:after="60" w:line="240" w:lineRule="auto"/>
              <w:contextualSpacing/>
              <w:jc w:val="both"/>
              <w:rPr>
                <w:rFonts w:eastAsia="Calibri" w:cs="Calibri"/>
                <w:color w:val="000000"/>
              </w:rPr>
            </w:pPr>
            <w:r w:rsidRPr="006641B5">
              <w:rPr>
                <w:rFonts w:eastAsia="Calibri" w:cs="Calibri"/>
                <w:b/>
                <w:color w:val="000000"/>
              </w:rPr>
              <w:t>ryzyko walutowe</w:t>
            </w:r>
            <w:r w:rsidRPr="006641B5">
              <w:rPr>
                <w:rFonts w:eastAsia="Calibri" w:cs="Calibr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1D966CD2" w14:textId="77777777" w:rsidR="006641B5" w:rsidRPr="006641B5" w:rsidRDefault="006641B5" w:rsidP="00EA08E0">
            <w:pPr>
              <w:numPr>
                <w:ilvl w:val="0"/>
                <w:numId w:val="100"/>
              </w:numPr>
              <w:shd w:val="clear" w:color="auto" w:fill="FFFFFF"/>
              <w:spacing w:before="60" w:after="60" w:line="240" w:lineRule="auto"/>
              <w:contextualSpacing/>
              <w:jc w:val="both"/>
              <w:rPr>
                <w:rFonts w:eastAsia="Calibri" w:cs="Calibri"/>
                <w:color w:val="000000"/>
              </w:rPr>
            </w:pPr>
            <w:r w:rsidRPr="006641B5">
              <w:rPr>
                <w:rFonts w:eastAsia="Calibri" w:cs="Calibri"/>
                <w:b/>
                <w:color w:val="000000"/>
              </w:rPr>
              <w:t>zawieszenie płatności przez KE dla danej osi priorytetowej</w:t>
            </w:r>
            <w:r w:rsidRPr="006641B5">
              <w:rPr>
                <w:rFonts w:eastAsia="Calibri" w:cs="Calibri"/>
                <w:color w:val="000000"/>
              </w:rPr>
              <w:t>; (istotność: umiarkowana)</w:t>
            </w:r>
          </w:p>
          <w:p w14:paraId="2ED966CB" w14:textId="77777777" w:rsidR="006641B5" w:rsidRPr="006641B5" w:rsidRDefault="006641B5" w:rsidP="00EA08E0">
            <w:pPr>
              <w:numPr>
                <w:ilvl w:val="0"/>
                <w:numId w:val="100"/>
              </w:numPr>
              <w:shd w:val="clear" w:color="auto" w:fill="FFFFFF"/>
              <w:spacing w:before="60" w:after="60" w:line="240" w:lineRule="auto"/>
              <w:contextualSpacing/>
              <w:jc w:val="both"/>
              <w:rPr>
                <w:rFonts w:eastAsia="Calibri" w:cs="Calibri"/>
                <w:color w:val="000000"/>
              </w:rPr>
            </w:pPr>
            <w:r w:rsidRPr="006641B5">
              <w:rPr>
                <w:rFonts w:eastAsia="Calibri" w:cs="Calibri"/>
                <w:b/>
                <w:bCs/>
                <w:color w:val="000000"/>
              </w:rPr>
              <w:t xml:space="preserve">czynniki które mogą wpłynąć na harmonogram realizacji planów działania dot. spełnienia warunków wstępnych (ex </w:t>
            </w:r>
            <w:proofErr w:type="spellStart"/>
            <w:r w:rsidRPr="006641B5">
              <w:rPr>
                <w:rFonts w:eastAsia="Calibri" w:cs="Calibri"/>
                <w:b/>
                <w:bCs/>
                <w:color w:val="000000"/>
              </w:rPr>
              <w:t>ante</w:t>
            </w:r>
            <w:proofErr w:type="spellEnd"/>
            <w:r w:rsidRPr="006641B5">
              <w:rPr>
                <w:rFonts w:eastAsia="Calibri" w:cs="Calibri"/>
                <w:b/>
                <w:bCs/>
                <w:color w:val="000000"/>
              </w:rPr>
              <w:t>),</w:t>
            </w:r>
            <w:r w:rsidRPr="006641B5">
              <w:rPr>
                <w:rFonts w:eastAsia="Calibri" w:cs="Calibri"/>
                <w:color w:val="000000"/>
              </w:rPr>
              <w:t xml:space="preserve"> a które są poza kompetencjami IZ oraz instytucji odpowiedzialnych za spełnienie tych warunków; (istotność: umiarkowana)</w:t>
            </w:r>
          </w:p>
          <w:p w14:paraId="65493D8E" w14:textId="77777777" w:rsidR="006641B5" w:rsidRPr="006641B5" w:rsidRDefault="006641B5" w:rsidP="00EA08E0">
            <w:pPr>
              <w:numPr>
                <w:ilvl w:val="0"/>
                <w:numId w:val="100"/>
              </w:numPr>
              <w:shd w:val="clear" w:color="auto" w:fill="FFFFFF"/>
              <w:spacing w:before="60" w:after="60" w:line="240" w:lineRule="auto"/>
              <w:contextualSpacing/>
              <w:jc w:val="both"/>
              <w:rPr>
                <w:rFonts w:eastAsia="Calibri" w:cs="Calibri"/>
                <w:color w:val="000000"/>
              </w:rPr>
            </w:pPr>
            <w:r w:rsidRPr="006641B5">
              <w:rPr>
                <w:rFonts w:eastAsia="Calibri" w:cs="Calibri"/>
                <w:b/>
                <w:color w:val="000000"/>
              </w:rPr>
              <w:t>ostateczne ustalenia dot. Występowania i poziomu pomocy publicznej</w:t>
            </w:r>
            <w:r w:rsidRPr="006641B5">
              <w:rPr>
                <w:rFonts w:eastAsia="Calibri" w:cs="Calibri"/>
                <w:color w:val="000000"/>
              </w:rPr>
              <w:t>; (istotność: niska)</w:t>
            </w:r>
          </w:p>
          <w:p w14:paraId="45CB5930" w14:textId="77777777" w:rsidR="006641B5" w:rsidRPr="006641B5" w:rsidRDefault="006641B5" w:rsidP="00EA08E0">
            <w:pPr>
              <w:numPr>
                <w:ilvl w:val="0"/>
                <w:numId w:val="100"/>
              </w:numPr>
              <w:shd w:val="clear" w:color="auto" w:fill="FFFFFF"/>
              <w:spacing w:before="60" w:after="60" w:line="240" w:lineRule="auto"/>
              <w:contextualSpacing/>
              <w:jc w:val="both"/>
              <w:rPr>
                <w:rFonts w:eastAsia="Calibri" w:cs="Calibri"/>
                <w:b/>
                <w:color w:val="000000"/>
              </w:rPr>
            </w:pPr>
            <w:r w:rsidRPr="006641B5">
              <w:rPr>
                <w:rFonts w:eastAsia="Calibri" w:cs="Calibri"/>
                <w:b/>
                <w:color w:val="000000"/>
              </w:rPr>
              <w:t>opóźnienia, bądź niewykonanie projektu związane z procedurami wynikającymi z zamówień publicznych</w:t>
            </w:r>
            <w:r w:rsidRPr="006641B5">
              <w:rPr>
                <w:rFonts w:eastAsia="Calibri" w:cs="Calibri"/>
                <w:bCs/>
                <w:color w:val="000000"/>
              </w:rPr>
              <w:t>; (istotność: poważna)</w:t>
            </w:r>
          </w:p>
          <w:p w14:paraId="25294FCB" w14:textId="77777777" w:rsidR="006641B5" w:rsidRPr="006641B5" w:rsidRDefault="006641B5" w:rsidP="00EA08E0">
            <w:pPr>
              <w:numPr>
                <w:ilvl w:val="0"/>
                <w:numId w:val="100"/>
              </w:numPr>
              <w:shd w:val="clear" w:color="auto" w:fill="FFFFFF"/>
              <w:spacing w:before="60" w:after="60" w:line="240" w:lineRule="auto"/>
              <w:contextualSpacing/>
              <w:jc w:val="both"/>
              <w:rPr>
                <w:rFonts w:eastAsia="Calibri" w:cs="Calibri"/>
                <w:bCs/>
                <w:color w:val="000000"/>
              </w:rPr>
            </w:pPr>
            <w:r w:rsidRPr="006641B5">
              <w:rPr>
                <w:rFonts w:eastAsia="Calibri" w:cs="Calibri"/>
                <w:b/>
                <w:color w:val="000000"/>
              </w:rPr>
              <w:t xml:space="preserve">wpływ pandemii koronawirusa SARS-CoV-2 </w:t>
            </w:r>
            <w:r w:rsidRPr="006641B5">
              <w:rPr>
                <w:rFonts w:eastAsia="Calibri" w:cs="Calibr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3CE6F1EB" w14:textId="77777777" w:rsidR="006641B5" w:rsidRPr="006641B5" w:rsidRDefault="006641B5" w:rsidP="006641B5">
            <w:pPr>
              <w:shd w:val="clear" w:color="auto" w:fill="FFFFFF"/>
              <w:spacing w:before="60" w:after="60" w:line="240" w:lineRule="auto"/>
              <w:jc w:val="both"/>
              <w:rPr>
                <w:rFonts w:eastAsia="Calibri" w:cs="Calibri"/>
                <w:bCs/>
                <w:color w:val="000000"/>
              </w:rPr>
            </w:pPr>
            <w:r w:rsidRPr="006641B5">
              <w:rPr>
                <w:rFonts w:eastAsia="Calibri" w:cs="Calibri"/>
                <w:bCs/>
                <w:color w:val="000000"/>
              </w:rPr>
              <w:t xml:space="preserve">Z uwagi na specyfikę projektów społecznych należy wziąć pod uwagę kolejne ryzyka </w:t>
            </w:r>
            <w:r w:rsidRPr="006641B5">
              <w:rPr>
                <w:rFonts w:eastAsia="Calibri" w:cs="Calibri"/>
                <w:bCs/>
                <w:color w:val="000000"/>
                <w:u w:val="single"/>
              </w:rPr>
              <w:t>szczegółowe</w:t>
            </w:r>
            <w:r w:rsidRPr="006641B5">
              <w:rPr>
                <w:rFonts w:eastAsia="Calibri" w:cs="Calibri"/>
                <w:bCs/>
                <w:color w:val="000000"/>
              </w:rPr>
              <w:t>:</w:t>
            </w:r>
            <w:r w:rsidRPr="006641B5">
              <w:rPr>
                <w:rFonts w:eastAsia="Calibri" w:cs="Calibri"/>
                <w:color w:val="000000"/>
              </w:rPr>
              <w:tab/>
            </w:r>
          </w:p>
          <w:p w14:paraId="02DB8FAE" w14:textId="77777777" w:rsidR="006641B5" w:rsidRPr="006641B5" w:rsidRDefault="006641B5" w:rsidP="007241BC">
            <w:pPr>
              <w:numPr>
                <w:ilvl w:val="0"/>
                <w:numId w:val="101"/>
              </w:numPr>
              <w:spacing w:after="0" w:line="240" w:lineRule="auto"/>
              <w:contextualSpacing/>
              <w:jc w:val="both"/>
              <w:rPr>
                <w:rFonts w:eastAsia="Calibri" w:cs="Calibri"/>
                <w:color w:val="000000"/>
              </w:rPr>
            </w:pPr>
            <w:r w:rsidRPr="006641B5">
              <w:rPr>
                <w:rFonts w:eastAsia="Calibri" w:cs="Calibr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6641B5">
              <w:rPr>
                <w:rFonts w:eastAsia="Calibri" w:cs="Calibri"/>
                <w:b/>
                <w:color w:val="000000"/>
              </w:rPr>
              <w:t>powodzeniem beneficjentów</w:t>
            </w:r>
            <w:r w:rsidRPr="006641B5">
              <w:rPr>
                <w:rFonts w:eastAsia="Calibri" w:cs="Calibri"/>
                <w:color w:val="000000"/>
              </w:rPr>
              <w:t>. Należy mieć wówczas możliwość kierowania wsparcia w ramach innego typu przedsięwzięcia, bez obawy nieosiągnięcia zaplanowanego do osiągnięcia wskaźnika; (istotność: umiarkowana)</w:t>
            </w:r>
          </w:p>
          <w:p w14:paraId="3C23A861" w14:textId="77777777" w:rsidR="006641B5" w:rsidRPr="006641B5" w:rsidRDefault="006641B5" w:rsidP="007241BC">
            <w:pPr>
              <w:numPr>
                <w:ilvl w:val="0"/>
                <w:numId w:val="101"/>
              </w:numPr>
              <w:spacing w:after="0" w:line="240" w:lineRule="auto"/>
              <w:contextualSpacing/>
              <w:jc w:val="both"/>
              <w:rPr>
                <w:rFonts w:eastAsia="Calibri" w:cs="Calibri"/>
                <w:color w:val="000000"/>
              </w:rPr>
            </w:pPr>
            <w:r w:rsidRPr="006641B5">
              <w:rPr>
                <w:rFonts w:eastAsia="Calibri" w:cs="Calibri"/>
                <w:b/>
                <w:color w:val="000000"/>
              </w:rPr>
              <w:lastRenderedPageBreak/>
              <w:t>ryzyko zmieniającej się ceny</w:t>
            </w:r>
            <w:r w:rsidRPr="006641B5">
              <w:rPr>
                <w:rFonts w:eastAsia="Calibri" w:cs="Calibr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3EFF647D" w14:textId="77777777" w:rsidR="006641B5" w:rsidRPr="006641B5" w:rsidRDefault="006641B5" w:rsidP="007241BC">
            <w:pPr>
              <w:numPr>
                <w:ilvl w:val="0"/>
                <w:numId w:val="101"/>
              </w:numPr>
              <w:spacing w:after="0" w:line="240" w:lineRule="auto"/>
              <w:contextualSpacing/>
              <w:jc w:val="both"/>
              <w:rPr>
                <w:rFonts w:eastAsia="Calibri" w:cs="Calibri"/>
                <w:color w:val="000000"/>
              </w:rPr>
            </w:pPr>
            <w:r w:rsidRPr="006641B5">
              <w:rPr>
                <w:rFonts w:eastAsia="Calibri" w:cs="Calibri"/>
                <w:b/>
                <w:color w:val="000000"/>
              </w:rPr>
              <w:t>ryzyko realizacji projektów o niższej efektywności niż dotychczas</w:t>
            </w:r>
            <w:r w:rsidRPr="006641B5">
              <w:rPr>
                <w:rFonts w:eastAsia="Calibri" w:cs="Calibr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66BED252" w14:textId="77777777" w:rsidR="006641B5" w:rsidRPr="006641B5" w:rsidRDefault="006641B5" w:rsidP="007241BC">
            <w:pPr>
              <w:numPr>
                <w:ilvl w:val="0"/>
                <w:numId w:val="101"/>
              </w:numPr>
              <w:spacing w:after="0" w:line="240" w:lineRule="auto"/>
              <w:contextualSpacing/>
              <w:jc w:val="both"/>
              <w:rPr>
                <w:rFonts w:eastAsia="Calibri" w:cs="Calibri"/>
                <w:color w:val="000000"/>
              </w:rPr>
            </w:pPr>
            <w:r w:rsidRPr="006641B5">
              <w:rPr>
                <w:rFonts w:eastAsia="Calibri" w:cs="Calibri"/>
                <w:b/>
                <w:color w:val="000000"/>
              </w:rPr>
              <w:t>ryzyko wniesienia wkładu własnego przez beneficjentów</w:t>
            </w:r>
            <w:r w:rsidRPr="006641B5">
              <w:rPr>
                <w:rFonts w:eastAsia="Calibri" w:cs="Calibr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4197757F" w14:textId="77777777" w:rsidR="006641B5" w:rsidRPr="006641B5" w:rsidRDefault="006641B5" w:rsidP="007241BC">
            <w:pPr>
              <w:numPr>
                <w:ilvl w:val="0"/>
                <w:numId w:val="101"/>
              </w:numPr>
              <w:spacing w:after="0" w:line="240" w:lineRule="auto"/>
              <w:contextualSpacing/>
              <w:jc w:val="both"/>
              <w:rPr>
                <w:rFonts w:eastAsia="Calibri" w:cs="Calibri"/>
                <w:color w:val="000000"/>
              </w:rPr>
            </w:pPr>
            <w:r w:rsidRPr="006641B5">
              <w:rPr>
                <w:rFonts w:eastAsia="Calibri" w:cs="Calibri"/>
                <w:b/>
                <w:color w:val="000000"/>
              </w:rPr>
              <w:t>ryzyko niezdefiniowane</w:t>
            </w:r>
            <w:r w:rsidRPr="006641B5">
              <w:rPr>
                <w:rFonts w:eastAsia="Calibri" w:cs="Calibr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6A835D94" w14:textId="77777777" w:rsidR="006641B5" w:rsidRPr="006641B5" w:rsidRDefault="006641B5" w:rsidP="006641B5">
            <w:pPr>
              <w:spacing w:after="0" w:line="240" w:lineRule="auto"/>
              <w:contextualSpacing/>
              <w:jc w:val="both"/>
              <w:rPr>
                <w:rFonts w:eastAsia="Calibri" w:cs="Calibri"/>
                <w:color w:val="000000"/>
              </w:rPr>
            </w:pPr>
          </w:p>
          <w:p w14:paraId="4CA9EBCE" w14:textId="77777777" w:rsidR="006641B5" w:rsidRPr="006641B5" w:rsidRDefault="006641B5" w:rsidP="006641B5">
            <w:pPr>
              <w:spacing w:after="0" w:line="240" w:lineRule="auto"/>
              <w:contextualSpacing/>
              <w:jc w:val="both"/>
              <w:rPr>
                <w:rFonts w:eastAsia="Calibri" w:cs="Times New Roman"/>
                <w:b/>
                <w:bCs/>
                <w:color w:val="000000"/>
              </w:rPr>
            </w:pPr>
            <w:r w:rsidRPr="006641B5">
              <w:rPr>
                <w:rFonts w:eastAsia="Calibri" w:cs="Times New Roman"/>
                <w:b/>
                <w:bCs/>
                <w:color w:val="000000"/>
              </w:rPr>
              <w:t>Uzasadnienie dla celu pośredniego:</w:t>
            </w:r>
          </w:p>
          <w:p w14:paraId="2DC80D09" w14:textId="77777777" w:rsidR="006641B5" w:rsidRPr="006641B5" w:rsidRDefault="006641B5" w:rsidP="006641B5">
            <w:pPr>
              <w:spacing w:after="0" w:line="240" w:lineRule="auto"/>
              <w:contextualSpacing/>
              <w:jc w:val="both"/>
              <w:rPr>
                <w:rFonts w:eastAsia="Calibri" w:cs="Calibri"/>
                <w:b/>
                <w:bCs/>
                <w:color w:val="000000"/>
              </w:rPr>
            </w:pPr>
            <w:r w:rsidRPr="006641B5">
              <w:rPr>
                <w:rFonts w:eastAsia="Calibri" w:cs="Calibri"/>
                <w:b/>
                <w:bCs/>
                <w:color w:val="000000"/>
              </w:rPr>
              <w:t xml:space="preserve">Zgodnie z danymi ze sprawozdania rocznego za 2021 rok z realizacji RPO WD 2014-2020 wskaźnik pn. Liczba uczniów objętych wsparciem w zakresie rozwijania kompetencji kluczowych lub umiejętności uniwersalnych w programie w 2016 r. osiągnął wartość 4 782, co wobec wartości z wykonania na 2021 r. (136 862) stanowi zaledwie 3,49 %. </w:t>
            </w:r>
          </w:p>
          <w:p w14:paraId="6EA8EBE2" w14:textId="77777777" w:rsidR="006641B5" w:rsidRPr="006641B5" w:rsidRDefault="006641B5" w:rsidP="006641B5">
            <w:pPr>
              <w:spacing w:after="0" w:line="240" w:lineRule="auto"/>
              <w:contextualSpacing/>
              <w:jc w:val="both"/>
              <w:rPr>
                <w:rFonts w:eastAsia="Calibri" w:cs="Calibri"/>
                <w:color w:val="000000"/>
              </w:rPr>
            </w:pPr>
            <w:r w:rsidRPr="006641B5">
              <w:rPr>
                <w:rFonts w:eastAsia="Calibri" w:cs="Calibri"/>
                <w:b/>
                <w:bCs/>
                <w:color w:val="000000"/>
              </w:rPr>
              <w:t>Mając na uwadze, że 2016 r. był już trzecim rokiem wdrażania programu RPO WD 2014-2020, a rok 2024 będzie de facto dopiero drugim rokiem wdrażania FEDS, wartość pośrednią dla tego wskaźnika ustalono na poziomie 3% wartości docelowej.</w:t>
            </w:r>
          </w:p>
        </w:tc>
      </w:tr>
    </w:tbl>
    <w:p w14:paraId="75B7D862" w14:textId="7EBE9C06" w:rsidR="006641B5" w:rsidRDefault="006641B5" w:rsidP="00CF4FA1"/>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6641B5" w:rsidRPr="006641B5" w14:paraId="703AB1A1" w14:textId="77777777" w:rsidTr="00483576">
        <w:trPr>
          <w:cantSplit/>
          <w:trHeight w:val="1647"/>
        </w:trPr>
        <w:tc>
          <w:tcPr>
            <w:tcW w:w="451" w:type="pct"/>
            <w:shd w:val="clear" w:color="auto" w:fill="auto"/>
            <w:vAlign w:val="center"/>
          </w:tcPr>
          <w:p w14:paraId="73CA48BA"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CP 6</w:t>
            </w:r>
          </w:p>
          <w:p w14:paraId="32550CCB"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szczegółowy</w:t>
            </w:r>
          </w:p>
        </w:tc>
        <w:tc>
          <w:tcPr>
            <w:tcW w:w="494" w:type="pct"/>
            <w:shd w:val="clear" w:color="auto" w:fill="auto"/>
            <w:vAlign w:val="center"/>
          </w:tcPr>
          <w:p w14:paraId="03D8A017"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Fundusz</w:t>
            </w:r>
          </w:p>
        </w:tc>
        <w:tc>
          <w:tcPr>
            <w:tcW w:w="558" w:type="pct"/>
            <w:shd w:val="clear" w:color="auto" w:fill="auto"/>
            <w:vAlign w:val="center"/>
          </w:tcPr>
          <w:p w14:paraId="28824BC1"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Kategoria regionu</w:t>
            </w:r>
          </w:p>
        </w:tc>
        <w:tc>
          <w:tcPr>
            <w:tcW w:w="360" w:type="pct"/>
            <w:shd w:val="clear" w:color="auto" w:fill="auto"/>
            <w:textDirection w:val="btLr"/>
            <w:vAlign w:val="center"/>
          </w:tcPr>
          <w:p w14:paraId="29A0E3D6" w14:textId="77777777" w:rsidR="006641B5" w:rsidRPr="006641B5" w:rsidRDefault="006641B5" w:rsidP="006641B5">
            <w:pPr>
              <w:shd w:val="clear" w:color="auto" w:fill="FFFFFF"/>
              <w:spacing w:before="120" w:after="120" w:line="240" w:lineRule="auto"/>
              <w:ind w:right="113"/>
              <w:jc w:val="center"/>
              <w:rPr>
                <w:rFonts w:eastAsia="Calibri" w:cs="Calibri"/>
                <w:b/>
                <w:noProof/>
                <w:sz w:val="16"/>
                <w:szCs w:val="16"/>
              </w:rPr>
            </w:pPr>
            <w:r w:rsidRPr="006641B5">
              <w:rPr>
                <w:rFonts w:eastAsia="Calibri" w:cs="Calibri"/>
                <w:b/>
                <w:noProof/>
                <w:sz w:val="16"/>
                <w:szCs w:val="16"/>
              </w:rPr>
              <w:t>Nr identyfikacyjny [5]</w:t>
            </w:r>
          </w:p>
        </w:tc>
        <w:tc>
          <w:tcPr>
            <w:tcW w:w="1411" w:type="pct"/>
            <w:shd w:val="clear" w:color="auto" w:fill="auto"/>
            <w:vAlign w:val="center"/>
          </w:tcPr>
          <w:p w14:paraId="1C514F7A"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Wskaźnik [255]</w:t>
            </w:r>
          </w:p>
        </w:tc>
        <w:tc>
          <w:tcPr>
            <w:tcW w:w="549" w:type="pct"/>
            <w:shd w:val="clear" w:color="auto" w:fill="auto"/>
            <w:vAlign w:val="center"/>
          </w:tcPr>
          <w:p w14:paraId="7662C0C7"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Jednostka miary</w:t>
            </w:r>
          </w:p>
        </w:tc>
        <w:tc>
          <w:tcPr>
            <w:tcW w:w="627" w:type="pct"/>
            <w:shd w:val="clear" w:color="auto" w:fill="auto"/>
            <w:vAlign w:val="center"/>
          </w:tcPr>
          <w:p w14:paraId="458A7ABE"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pośredni (2024)</w:t>
            </w:r>
          </w:p>
          <w:p w14:paraId="6C93ACF4"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c>
          <w:tcPr>
            <w:tcW w:w="550" w:type="pct"/>
            <w:shd w:val="clear" w:color="auto" w:fill="auto"/>
            <w:vAlign w:val="center"/>
          </w:tcPr>
          <w:p w14:paraId="785EF5FD"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(2029)</w:t>
            </w:r>
          </w:p>
          <w:p w14:paraId="6E0FD3BB"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r>
      <w:tr w:rsidR="006641B5" w:rsidRPr="006641B5" w14:paraId="315615B7" w14:textId="77777777" w:rsidTr="00483576">
        <w:trPr>
          <w:trHeight w:val="340"/>
        </w:trPr>
        <w:tc>
          <w:tcPr>
            <w:tcW w:w="451" w:type="pct"/>
            <w:shd w:val="clear" w:color="auto" w:fill="auto"/>
            <w:vAlign w:val="center"/>
          </w:tcPr>
          <w:p w14:paraId="16BD61B4"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8.1</w:t>
            </w:r>
          </w:p>
        </w:tc>
        <w:tc>
          <w:tcPr>
            <w:tcW w:w="494" w:type="pct"/>
            <w:shd w:val="clear" w:color="auto" w:fill="auto"/>
            <w:vAlign w:val="center"/>
          </w:tcPr>
          <w:p w14:paraId="7A5A05B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FST</w:t>
            </w:r>
          </w:p>
        </w:tc>
        <w:tc>
          <w:tcPr>
            <w:tcW w:w="558" w:type="pct"/>
            <w:shd w:val="clear" w:color="auto" w:fill="auto"/>
            <w:vAlign w:val="center"/>
          </w:tcPr>
          <w:p w14:paraId="6A9B0B35"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przejściowy</w:t>
            </w:r>
          </w:p>
        </w:tc>
        <w:tc>
          <w:tcPr>
            <w:tcW w:w="360" w:type="pct"/>
            <w:shd w:val="clear" w:color="auto" w:fill="auto"/>
            <w:vAlign w:val="center"/>
          </w:tcPr>
          <w:p w14:paraId="5909F1A7"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PLFCO 05</w:t>
            </w:r>
          </w:p>
        </w:tc>
        <w:tc>
          <w:tcPr>
            <w:tcW w:w="1411" w:type="pct"/>
            <w:shd w:val="clear" w:color="auto" w:fill="auto"/>
            <w:vAlign w:val="center"/>
          </w:tcPr>
          <w:p w14:paraId="6D88881B" w14:textId="77777777" w:rsidR="006641B5" w:rsidRPr="006641B5" w:rsidRDefault="006641B5" w:rsidP="006641B5">
            <w:pPr>
              <w:keepNext/>
              <w:keepLines/>
              <w:spacing w:before="200" w:after="0"/>
              <w:jc w:val="center"/>
              <w:outlineLvl w:val="2"/>
              <w:rPr>
                <w:rFonts w:eastAsia="Calibri" w:cs="Calibri"/>
                <w:noProof/>
                <w:sz w:val="16"/>
                <w:szCs w:val="16"/>
              </w:rPr>
            </w:pPr>
            <w:bookmarkStart w:id="405" w:name="_Toc117087812"/>
            <w:bookmarkStart w:id="406" w:name="_Toc120464528"/>
            <w:r w:rsidRPr="006641B5">
              <w:rPr>
                <w:rFonts w:eastAsia="Times New Roman" w:cs="Calibri"/>
                <w:bCs/>
                <w:noProof/>
                <w:sz w:val="16"/>
                <w:szCs w:val="16"/>
              </w:rPr>
              <w:t>Liczba uczniów szkół i placówek kształcenia zawodowego uczestniczących w stażach uczniowskich</w:t>
            </w:r>
            <w:bookmarkEnd w:id="405"/>
            <w:bookmarkEnd w:id="406"/>
          </w:p>
        </w:tc>
        <w:tc>
          <w:tcPr>
            <w:tcW w:w="549" w:type="pct"/>
            <w:shd w:val="clear" w:color="auto" w:fill="auto"/>
            <w:vAlign w:val="center"/>
          </w:tcPr>
          <w:p w14:paraId="29DA57F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osoby</w:t>
            </w:r>
          </w:p>
        </w:tc>
        <w:tc>
          <w:tcPr>
            <w:tcW w:w="627" w:type="pct"/>
            <w:shd w:val="clear" w:color="auto" w:fill="auto"/>
            <w:vAlign w:val="center"/>
          </w:tcPr>
          <w:p w14:paraId="386E5935"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0,00</w:t>
            </w:r>
          </w:p>
        </w:tc>
        <w:tc>
          <w:tcPr>
            <w:tcW w:w="550" w:type="pct"/>
            <w:shd w:val="clear" w:color="auto" w:fill="auto"/>
            <w:vAlign w:val="center"/>
          </w:tcPr>
          <w:p w14:paraId="7C6106F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1 388</w:t>
            </w:r>
          </w:p>
        </w:tc>
      </w:tr>
      <w:tr w:rsidR="006641B5" w:rsidRPr="006641B5" w14:paraId="36B6CC16" w14:textId="77777777" w:rsidTr="00483576">
        <w:trPr>
          <w:trHeight w:val="340"/>
        </w:trPr>
        <w:tc>
          <w:tcPr>
            <w:tcW w:w="5000" w:type="pct"/>
            <w:gridSpan w:val="8"/>
            <w:shd w:val="clear" w:color="auto" w:fill="auto"/>
          </w:tcPr>
          <w:p w14:paraId="4E8BE66B"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Metodologia:</w:t>
            </w:r>
          </w:p>
          <w:p w14:paraId="68138803"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Wskaźnik realizuje kod interwencji:</w:t>
            </w:r>
          </w:p>
          <w:p w14:paraId="5055BF91" w14:textId="77777777" w:rsidR="006641B5" w:rsidRPr="006641B5" w:rsidRDefault="006641B5" w:rsidP="006641B5">
            <w:pPr>
              <w:numPr>
                <w:ilvl w:val="0"/>
                <w:numId w:val="12"/>
              </w:numPr>
              <w:ind w:left="770"/>
              <w:contextualSpacing/>
              <w:rPr>
                <w:rFonts w:eastAsia="Calibri" w:cs="Calibri"/>
              </w:rPr>
            </w:pPr>
            <w:r w:rsidRPr="006641B5">
              <w:rPr>
                <w:rFonts w:eastAsia="Calibri" w:cs="Calibri"/>
              </w:rPr>
              <w:t>149 Wsparcie na rzecz edukacji na poziomie podstawowym i średnim (z wyłączeniem infrastruktury) (15 000 000 EUR/ 66 750 000 PLN);</w:t>
            </w:r>
          </w:p>
          <w:p w14:paraId="04A30DC6"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Zakłada się, że 25% alokacji kodu przeznaczone będzie na realizację interwencji wskaźnikowej czyli na projekty z zakresu staży uczniowskich placówek systemu oświaty prowadzących kształcenie zawodowe.</w:t>
            </w:r>
          </w:p>
          <w:p w14:paraId="7E540E36"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15 000 000 EUR*25% =   3 750 000 EUR</w:t>
            </w:r>
          </w:p>
          <w:p w14:paraId="79B2310A"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lastRenderedPageBreak/>
              <w:t>Biorąc pod uwagę kurs EUR na poziomie 4,45 suma alokacji na realizację wskaźnika wynosi   16 687 500 PLN.</w:t>
            </w:r>
          </w:p>
          <w:p w14:paraId="44103D8D"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 xml:space="preserve">Historyczny koszt jednostkowy na bazie doświadczeń z perspektywy 2014-2020 wynosi 10 008,13 PLN. Koszt jednostkowy został skorygowany w oparciu o wartość inflacji na poziomie 15% i wynosi  11 509,35 PLN, a obniżony do wartości dofinansowania na poziomie 70% wynosi  8 056,54 PLN; na podstawie tych danych wyliczono wartość wskaźnika. Jednocześnie na podstawie </w:t>
            </w:r>
            <w:proofErr w:type="spellStart"/>
            <w:r w:rsidRPr="006641B5">
              <w:rPr>
                <w:rFonts w:eastAsia="Calibri" w:cs="Calibri"/>
              </w:rPr>
              <w:t>ryzyk</w:t>
            </w:r>
            <w:proofErr w:type="spellEnd"/>
            <w:r w:rsidRPr="006641B5">
              <w:rPr>
                <w:rFonts w:eastAsia="Calibri" w:cs="Calibri"/>
              </w:rPr>
              <w:t xml:space="preserve"> związanych z realizacją tego typu projektów określono wskaźnik kompensacji: </w:t>
            </w:r>
          </w:p>
          <w:p w14:paraId="3E1619DF"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 xml:space="preserve">R: [(2*3)+(6*25)+(3*68)]/11 = 32,73%. Wartość zaokrąglono do pełnej wartości 33%. </w:t>
            </w:r>
          </w:p>
          <w:p w14:paraId="70EB5D12"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Wyliczenie:</w:t>
            </w:r>
          </w:p>
          <w:p w14:paraId="105E6C4F"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16 687 500 / 8 056,54 * (1-0,33) =    1 388    osób.</w:t>
            </w:r>
          </w:p>
          <w:p w14:paraId="116DD46A" w14:textId="77777777" w:rsidR="006641B5" w:rsidRPr="006641B5" w:rsidRDefault="006641B5" w:rsidP="006641B5">
            <w:pPr>
              <w:shd w:val="clear" w:color="auto" w:fill="FFFFFF"/>
              <w:spacing w:before="60" w:after="60" w:line="240" w:lineRule="auto"/>
              <w:jc w:val="both"/>
              <w:rPr>
                <w:rFonts w:eastAsia="Calibri" w:cs="Calibri"/>
                <w:color w:val="000000"/>
              </w:rPr>
            </w:pPr>
            <w:r w:rsidRPr="006641B5">
              <w:rPr>
                <w:rFonts w:eastAsia="Calibri" w:cs="Calibri"/>
                <w:color w:val="000000"/>
              </w:rPr>
              <w:t>Należy zwrócić szczególną uwagę na następujące (</w:t>
            </w:r>
            <w:r w:rsidRPr="006641B5">
              <w:rPr>
                <w:rFonts w:eastAsia="Calibri" w:cs="Calibri"/>
                <w:color w:val="000000"/>
                <w:u w:val="single"/>
              </w:rPr>
              <w:t>ogólne</w:t>
            </w:r>
            <w:r w:rsidRPr="006641B5">
              <w:rPr>
                <w:rFonts w:eastAsia="Calibri" w:cs="Calibri"/>
                <w:color w:val="000000"/>
              </w:rPr>
              <w:t>) czynniki ryzyka, które mogą mieć wpływ na poziom osiągnięcia założonej wartości docelowej:</w:t>
            </w:r>
          </w:p>
          <w:p w14:paraId="3D7AA573" w14:textId="77777777" w:rsidR="006641B5" w:rsidRPr="006641B5" w:rsidRDefault="006641B5" w:rsidP="00EA08E0">
            <w:pPr>
              <w:numPr>
                <w:ilvl w:val="0"/>
                <w:numId w:val="102"/>
              </w:numPr>
              <w:shd w:val="clear" w:color="auto" w:fill="FFFFFF"/>
              <w:spacing w:before="60" w:after="60" w:line="240" w:lineRule="auto"/>
              <w:contextualSpacing/>
              <w:jc w:val="both"/>
              <w:rPr>
                <w:rFonts w:eastAsia="Calibri" w:cs="Calibri"/>
                <w:color w:val="000000"/>
              </w:rPr>
            </w:pPr>
            <w:r w:rsidRPr="006641B5">
              <w:rPr>
                <w:rFonts w:eastAsia="Calibri" w:cs="Calibri"/>
                <w:b/>
                <w:color w:val="000000"/>
              </w:rPr>
              <w:t>ryzyko walutowe</w:t>
            </w:r>
            <w:r w:rsidRPr="006641B5">
              <w:rPr>
                <w:rFonts w:eastAsia="Calibri" w:cs="Calibr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2529F66F" w14:textId="77777777" w:rsidR="006641B5" w:rsidRPr="006641B5" w:rsidRDefault="006641B5" w:rsidP="00EA08E0">
            <w:pPr>
              <w:numPr>
                <w:ilvl w:val="0"/>
                <w:numId w:val="102"/>
              </w:numPr>
              <w:shd w:val="clear" w:color="auto" w:fill="FFFFFF"/>
              <w:spacing w:before="60" w:after="60" w:line="240" w:lineRule="auto"/>
              <w:contextualSpacing/>
              <w:jc w:val="both"/>
              <w:rPr>
                <w:rFonts w:eastAsia="Calibri" w:cs="Calibri"/>
                <w:color w:val="000000"/>
              </w:rPr>
            </w:pPr>
            <w:r w:rsidRPr="006641B5">
              <w:rPr>
                <w:rFonts w:eastAsia="Calibri" w:cs="Calibri"/>
                <w:b/>
                <w:color w:val="000000"/>
              </w:rPr>
              <w:t>zawieszenie płatności przez KE dla danej osi priorytetowej</w:t>
            </w:r>
            <w:r w:rsidRPr="006641B5">
              <w:rPr>
                <w:rFonts w:eastAsia="Calibri" w:cs="Calibri"/>
                <w:color w:val="000000"/>
              </w:rPr>
              <w:t>; (istotność: umiarkowana)</w:t>
            </w:r>
          </w:p>
          <w:p w14:paraId="55DFC901" w14:textId="77777777" w:rsidR="006641B5" w:rsidRPr="006641B5" w:rsidRDefault="006641B5" w:rsidP="00EA08E0">
            <w:pPr>
              <w:numPr>
                <w:ilvl w:val="0"/>
                <w:numId w:val="102"/>
              </w:numPr>
              <w:shd w:val="clear" w:color="auto" w:fill="FFFFFF"/>
              <w:spacing w:before="60" w:after="60" w:line="240" w:lineRule="auto"/>
              <w:contextualSpacing/>
              <w:jc w:val="both"/>
              <w:rPr>
                <w:rFonts w:eastAsia="Calibri" w:cs="Calibri"/>
                <w:color w:val="000000"/>
              </w:rPr>
            </w:pPr>
            <w:r w:rsidRPr="006641B5">
              <w:rPr>
                <w:rFonts w:eastAsia="Calibri" w:cs="Calibri"/>
                <w:b/>
                <w:bCs/>
                <w:color w:val="000000"/>
              </w:rPr>
              <w:t xml:space="preserve">czynniki które mogą wpłynąć na harmonogram realizacji planów działania dot. spełnienia warunków wstępnych (ex </w:t>
            </w:r>
            <w:proofErr w:type="spellStart"/>
            <w:r w:rsidRPr="006641B5">
              <w:rPr>
                <w:rFonts w:eastAsia="Calibri" w:cs="Calibri"/>
                <w:b/>
                <w:bCs/>
                <w:color w:val="000000"/>
              </w:rPr>
              <w:t>ante</w:t>
            </w:r>
            <w:proofErr w:type="spellEnd"/>
            <w:r w:rsidRPr="006641B5">
              <w:rPr>
                <w:rFonts w:eastAsia="Calibri" w:cs="Calibri"/>
                <w:b/>
                <w:bCs/>
                <w:color w:val="000000"/>
              </w:rPr>
              <w:t>),</w:t>
            </w:r>
            <w:r w:rsidRPr="006641B5">
              <w:rPr>
                <w:rFonts w:eastAsia="Calibri" w:cs="Calibri"/>
                <w:color w:val="000000"/>
              </w:rPr>
              <w:t xml:space="preserve"> a które są poza kompetencjami IZ oraz instytucji odpowiedzialnych za spełnienie tych warunków; (istotność: umiarkowana)</w:t>
            </w:r>
          </w:p>
          <w:p w14:paraId="052F0C8D" w14:textId="77777777" w:rsidR="006641B5" w:rsidRPr="006641B5" w:rsidRDefault="006641B5" w:rsidP="00EA08E0">
            <w:pPr>
              <w:numPr>
                <w:ilvl w:val="0"/>
                <w:numId w:val="102"/>
              </w:numPr>
              <w:shd w:val="clear" w:color="auto" w:fill="FFFFFF"/>
              <w:spacing w:before="60" w:after="60" w:line="240" w:lineRule="auto"/>
              <w:contextualSpacing/>
              <w:jc w:val="both"/>
              <w:rPr>
                <w:rFonts w:eastAsia="Calibri" w:cs="Calibri"/>
                <w:color w:val="000000"/>
              </w:rPr>
            </w:pPr>
            <w:r w:rsidRPr="006641B5">
              <w:rPr>
                <w:rFonts w:eastAsia="Calibri" w:cs="Calibri"/>
                <w:b/>
                <w:color w:val="000000"/>
              </w:rPr>
              <w:t>ostateczne ustalenia dot. Występowania i poziomu pomocy publicznej</w:t>
            </w:r>
            <w:r w:rsidRPr="006641B5">
              <w:rPr>
                <w:rFonts w:eastAsia="Calibri" w:cs="Calibri"/>
                <w:color w:val="000000"/>
              </w:rPr>
              <w:t>; (istotność: niska)</w:t>
            </w:r>
          </w:p>
          <w:p w14:paraId="790120E3" w14:textId="77777777" w:rsidR="006641B5" w:rsidRPr="006641B5" w:rsidRDefault="006641B5" w:rsidP="00EA08E0">
            <w:pPr>
              <w:numPr>
                <w:ilvl w:val="0"/>
                <w:numId w:val="102"/>
              </w:numPr>
              <w:shd w:val="clear" w:color="auto" w:fill="FFFFFF"/>
              <w:spacing w:before="60" w:after="60" w:line="240" w:lineRule="auto"/>
              <w:contextualSpacing/>
              <w:jc w:val="both"/>
              <w:rPr>
                <w:rFonts w:eastAsia="Calibri" w:cs="Calibri"/>
                <w:b/>
                <w:color w:val="000000"/>
              </w:rPr>
            </w:pPr>
            <w:r w:rsidRPr="006641B5">
              <w:rPr>
                <w:rFonts w:eastAsia="Calibri" w:cs="Calibri"/>
                <w:b/>
                <w:color w:val="000000"/>
              </w:rPr>
              <w:t>opóźnienia, bądź niewykonanie projektu związane z procedurami wynikającymi z zamówień publicznych</w:t>
            </w:r>
            <w:r w:rsidRPr="006641B5">
              <w:rPr>
                <w:rFonts w:eastAsia="Calibri" w:cs="Calibri"/>
                <w:bCs/>
                <w:color w:val="000000"/>
              </w:rPr>
              <w:t>; (istotność: poważna)</w:t>
            </w:r>
          </w:p>
          <w:p w14:paraId="3B578FFD" w14:textId="77777777" w:rsidR="006641B5" w:rsidRPr="006641B5" w:rsidRDefault="006641B5" w:rsidP="00EA08E0">
            <w:pPr>
              <w:numPr>
                <w:ilvl w:val="0"/>
                <w:numId w:val="102"/>
              </w:numPr>
              <w:shd w:val="clear" w:color="auto" w:fill="FFFFFF"/>
              <w:spacing w:before="60" w:after="60" w:line="240" w:lineRule="auto"/>
              <w:contextualSpacing/>
              <w:jc w:val="both"/>
              <w:rPr>
                <w:rFonts w:eastAsia="Calibri" w:cs="Calibri"/>
                <w:bCs/>
                <w:color w:val="000000"/>
              </w:rPr>
            </w:pPr>
            <w:r w:rsidRPr="006641B5">
              <w:rPr>
                <w:rFonts w:eastAsia="Calibri" w:cs="Calibri"/>
                <w:b/>
                <w:color w:val="000000"/>
              </w:rPr>
              <w:t xml:space="preserve">wpływ pandemii koronawirusa SARS-CoV-2 </w:t>
            </w:r>
            <w:r w:rsidRPr="006641B5">
              <w:rPr>
                <w:rFonts w:eastAsia="Calibri" w:cs="Calibr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293BA990" w14:textId="77777777" w:rsidR="006641B5" w:rsidRPr="006641B5" w:rsidRDefault="006641B5" w:rsidP="006641B5">
            <w:pPr>
              <w:shd w:val="clear" w:color="auto" w:fill="FFFFFF"/>
              <w:spacing w:before="60" w:after="60" w:line="240" w:lineRule="auto"/>
              <w:jc w:val="both"/>
              <w:rPr>
                <w:rFonts w:eastAsia="Calibri" w:cs="Calibri"/>
                <w:bCs/>
                <w:color w:val="000000"/>
              </w:rPr>
            </w:pPr>
            <w:r w:rsidRPr="006641B5">
              <w:rPr>
                <w:rFonts w:eastAsia="Calibri" w:cs="Calibri"/>
                <w:bCs/>
                <w:color w:val="000000"/>
              </w:rPr>
              <w:t xml:space="preserve">Z uwagi na specyfikę projektów społecznych należy wziąć pod uwagę kolejne ryzyka </w:t>
            </w:r>
            <w:r w:rsidRPr="006641B5">
              <w:rPr>
                <w:rFonts w:eastAsia="Calibri" w:cs="Calibri"/>
                <w:bCs/>
                <w:color w:val="000000"/>
                <w:u w:val="single"/>
              </w:rPr>
              <w:t>szczegółowe</w:t>
            </w:r>
            <w:r w:rsidRPr="006641B5">
              <w:rPr>
                <w:rFonts w:eastAsia="Calibri" w:cs="Calibri"/>
                <w:bCs/>
                <w:color w:val="000000"/>
              </w:rPr>
              <w:t>:</w:t>
            </w:r>
            <w:r w:rsidRPr="006641B5">
              <w:rPr>
                <w:rFonts w:eastAsia="Calibri" w:cs="Calibri"/>
                <w:color w:val="000000"/>
              </w:rPr>
              <w:tab/>
            </w:r>
          </w:p>
          <w:p w14:paraId="70E4CC2E" w14:textId="77777777" w:rsidR="006641B5" w:rsidRPr="006641B5" w:rsidRDefault="006641B5" w:rsidP="00EA08E0">
            <w:pPr>
              <w:numPr>
                <w:ilvl w:val="0"/>
                <w:numId w:val="103"/>
              </w:numPr>
              <w:spacing w:after="0" w:line="240" w:lineRule="auto"/>
              <w:contextualSpacing/>
              <w:jc w:val="both"/>
              <w:rPr>
                <w:rFonts w:eastAsia="Calibri" w:cs="Calibri"/>
                <w:color w:val="000000"/>
              </w:rPr>
            </w:pPr>
            <w:r w:rsidRPr="006641B5">
              <w:rPr>
                <w:rFonts w:eastAsia="Calibri" w:cs="Calibr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w:t>
            </w:r>
            <w:r w:rsidRPr="006641B5">
              <w:rPr>
                <w:rFonts w:eastAsia="Calibri" w:cs="Calibri"/>
                <w:b/>
                <w:color w:val="000000"/>
              </w:rPr>
              <w:t>powodzeniem beneficjentów</w:t>
            </w:r>
            <w:r w:rsidRPr="006641B5">
              <w:rPr>
                <w:rFonts w:eastAsia="Calibri" w:cs="Calibri"/>
                <w:color w:val="000000"/>
              </w:rPr>
              <w:t>. Należy mieć wówczas możliwość kierowania wsparcia w ramach innego typu przedsięwzięcia, bez obawy nieosiągnięcia zaplanowanego do osiągnięcia wskaźnika; (istotność: umiarkowana)</w:t>
            </w:r>
          </w:p>
          <w:p w14:paraId="1479FCDF" w14:textId="77777777" w:rsidR="006641B5" w:rsidRPr="006641B5" w:rsidRDefault="006641B5" w:rsidP="00EA08E0">
            <w:pPr>
              <w:numPr>
                <w:ilvl w:val="0"/>
                <w:numId w:val="103"/>
              </w:numPr>
              <w:spacing w:after="0" w:line="240" w:lineRule="auto"/>
              <w:contextualSpacing/>
              <w:jc w:val="both"/>
              <w:rPr>
                <w:rFonts w:eastAsia="Calibri" w:cs="Calibri"/>
                <w:color w:val="000000"/>
              </w:rPr>
            </w:pPr>
            <w:r w:rsidRPr="006641B5">
              <w:rPr>
                <w:rFonts w:eastAsia="Calibri" w:cs="Calibri"/>
                <w:b/>
                <w:color w:val="000000"/>
              </w:rPr>
              <w:t>ryzyko zmieniającej się ceny</w:t>
            </w:r>
            <w:r w:rsidRPr="006641B5">
              <w:rPr>
                <w:rFonts w:eastAsia="Calibri" w:cs="Calibr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26E6A9BD" w14:textId="77777777" w:rsidR="006641B5" w:rsidRPr="006641B5" w:rsidRDefault="006641B5" w:rsidP="00EA08E0">
            <w:pPr>
              <w:numPr>
                <w:ilvl w:val="0"/>
                <w:numId w:val="103"/>
              </w:numPr>
              <w:spacing w:after="0" w:line="240" w:lineRule="auto"/>
              <w:contextualSpacing/>
              <w:jc w:val="both"/>
              <w:rPr>
                <w:rFonts w:eastAsia="Calibri" w:cs="Calibri"/>
                <w:color w:val="000000"/>
              </w:rPr>
            </w:pPr>
            <w:r w:rsidRPr="006641B5">
              <w:rPr>
                <w:rFonts w:eastAsia="Calibri" w:cs="Calibri"/>
                <w:b/>
                <w:color w:val="000000"/>
              </w:rPr>
              <w:t>ryzyko realizacji projektów o niższej efektywności niż dotychczas</w:t>
            </w:r>
            <w:r w:rsidRPr="006641B5">
              <w:rPr>
                <w:rFonts w:eastAsia="Calibri" w:cs="Calibr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7A0A905F" w14:textId="77777777" w:rsidR="006641B5" w:rsidRPr="006641B5" w:rsidRDefault="006641B5" w:rsidP="00EA08E0">
            <w:pPr>
              <w:numPr>
                <w:ilvl w:val="0"/>
                <w:numId w:val="103"/>
              </w:numPr>
              <w:spacing w:after="0" w:line="240" w:lineRule="auto"/>
              <w:contextualSpacing/>
              <w:jc w:val="both"/>
              <w:rPr>
                <w:rFonts w:eastAsia="Calibri" w:cs="Calibri"/>
                <w:color w:val="000000"/>
              </w:rPr>
            </w:pPr>
            <w:r w:rsidRPr="006641B5">
              <w:rPr>
                <w:rFonts w:eastAsia="Calibri" w:cs="Calibri"/>
                <w:b/>
                <w:color w:val="000000"/>
              </w:rPr>
              <w:t>ryzyko wniesienia wkładu własnego przez beneficjentów</w:t>
            </w:r>
            <w:r w:rsidRPr="006641B5">
              <w:rPr>
                <w:rFonts w:eastAsia="Calibri" w:cs="Calibri"/>
                <w:color w:val="000000"/>
              </w:rPr>
              <w:t xml:space="preserve"> – w związku z koniecznością wniesienia wkładu własnego przez beneficjentów, istnieje ryzyko, iż nie wszyscy zainteresowani beneficjenci </w:t>
            </w:r>
            <w:r w:rsidRPr="006641B5">
              <w:rPr>
                <w:rFonts w:eastAsia="Calibri" w:cs="Calibri"/>
                <w:color w:val="000000"/>
              </w:rPr>
              <w:lastRenderedPageBreak/>
              <w:t>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poważna)</w:t>
            </w:r>
          </w:p>
          <w:p w14:paraId="02518F1E" w14:textId="77777777" w:rsidR="006641B5" w:rsidRPr="006641B5" w:rsidRDefault="006641B5" w:rsidP="00EA08E0">
            <w:pPr>
              <w:numPr>
                <w:ilvl w:val="0"/>
                <w:numId w:val="103"/>
              </w:numPr>
              <w:spacing w:after="0" w:line="240" w:lineRule="auto"/>
              <w:contextualSpacing/>
              <w:jc w:val="both"/>
              <w:rPr>
                <w:rFonts w:eastAsia="Calibri" w:cs="Calibri"/>
                <w:color w:val="000000"/>
              </w:rPr>
            </w:pPr>
            <w:r w:rsidRPr="006641B5">
              <w:rPr>
                <w:rFonts w:eastAsia="Calibri" w:cs="Calibri"/>
                <w:b/>
                <w:color w:val="000000"/>
              </w:rPr>
              <w:t>ryzyko niezdefiniowane</w:t>
            </w:r>
            <w:r w:rsidRPr="006641B5">
              <w:rPr>
                <w:rFonts w:eastAsia="Calibri" w:cs="Calibr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p w14:paraId="0DEC1618" w14:textId="77777777" w:rsidR="006641B5" w:rsidRPr="006641B5" w:rsidRDefault="006641B5" w:rsidP="006641B5">
            <w:pPr>
              <w:spacing w:after="0" w:line="240" w:lineRule="auto"/>
              <w:contextualSpacing/>
              <w:jc w:val="both"/>
              <w:rPr>
                <w:rFonts w:eastAsia="Calibri" w:cs="Calibri"/>
                <w:color w:val="000000"/>
              </w:rPr>
            </w:pPr>
          </w:p>
          <w:p w14:paraId="35183FEF" w14:textId="77777777" w:rsidR="006641B5" w:rsidRPr="006641B5" w:rsidRDefault="006641B5" w:rsidP="006641B5">
            <w:pPr>
              <w:spacing w:after="0" w:line="240" w:lineRule="auto"/>
              <w:contextualSpacing/>
              <w:jc w:val="both"/>
              <w:rPr>
                <w:rFonts w:eastAsia="Calibri" w:cs="Times New Roman"/>
                <w:b/>
                <w:bCs/>
                <w:color w:val="000000"/>
              </w:rPr>
            </w:pPr>
            <w:r w:rsidRPr="006641B5">
              <w:rPr>
                <w:rFonts w:eastAsia="Calibri" w:cs="Times New Roman"/>
                <w:b/>
                <w:bCs/>
                <w:color w:val="000000"/>
              </w:rPr>
              <w:t>Uzasadnienie dla celu pośredniego:</w:t>
            </w:r>
          </w:p>
          <w:p w14:paraId="7E597A8E" w14:textId="77777777" w:rsidR="006641B5" w:rsidRPr="006641B5" w:rsidRDefault="006641B5" w:rsidP="006641B5">
            <w:pPr>
              <w:spacing w:after="0" w:line="240" w:lineRule="auto"/>
              <w:contextualSpacing/>
              <w:jc w:val="both"/>
              <w:rPr>
                <w:rFonts w:eastAsia="Calibri" w:cs="Calibri"/>
                <w:b/>
                <w:bCs/>
                <w:color w:val="000000"/>
              </w:rPr>
            </w:pPr>
            <w:r w:rsidRPr="006641B5">
              <w:rPr>
                <w:rFonts w:eastAsia="Calibri" w:cs="Calibri"/>
                <w:b/>
                <w:bCs/>
                <w:color w:val="000000"/>
              </w:rPr>
              <w:t xml:space="preserve">Przeanalizowano dane historyczne z wdrażania RPO WD 2014-2020 (PI 10 iv), na podstawie Sprawozdania rocznego z 2021 r. dla projektów o podobnym zakresie wsparcia. Biorąc pod uwagę termin zatwierdzenia programu nie jest możliwe wskazanie celu pośredniego innego niż 0 ponieważ faktycznie nie będzie mogło to być spełnione. </w:t>
            </w:r>
          </w:p>
          <w:p w14:paraId="49BF8568" w14:textId="77777777" w:rsidR="006641B5" w:rsidRPr="006641B5" w:rsidRDefault="006641B5" w:rsidP="006641B5">
            <w:pPr>
              <w:spacing w:after="0" w:line="240" w:lineRule="auto"/>
              <w:contextualSpacing/>
              <w:jc w:val="both"/>
              <w:rPr>
                <w:rFonts w:eastAsia="Calibri" w:cs="Calibri"/>
                <w:b/>
                <w:bCs/>
                <w:color w:val="000000"/>
              </w:rPr>
            </w:pPr>
            <w:r w:rsidRPr="006641B5">
              <w:rPr>
                <w:rFonts w:eastAsia="Calibri" w:cs="Calibri"/>
                <w:b/>
                <w:bCs/>
                <w:color w:val="000000"/>
              </w:rPr>
              <w:t xml:space="preserve">Zgodnie z danymi ze sprawozdania rocznego za 2021 rok z realizacji RPO WD 2014-2020 wskaźnik pn. Liczba uczniów szkół i placówek kształcenia zawodowego uczestniczących w stażach i praktykach u pracodawcy w programie w 2017 r. osiągnął wartość 702, co wobec wartości z wykonania na 2021 r. (16 979) stanowi 4,13%. </w:t>
            </w:r>
          </w:p>
          <w:p w14:paraId="536DCF4E" w14:textId="77777777" w:rsidR="006641B5" w:rsidRPr="006641B5" w:rsidRDefault="006641B5" w:rsidP="006641B5">
            <w:pPr>
              <w:spacing w:after="0" w:line="240" w:lineRule="auto"/>
              <w:contextualSpacing/>
              <w:jc w:val="both"/>
              <w:rPr>
                <w:rFonts w:eastAsia="Calibri" w:cs="Calibri"/>
                <w:color w:val="000000"/>
              </w:rPr>
            </w:pPr>
            <w:r w:rsidRPr="006641B5">
              <w:rPr>
                <w:rFonts w:eastAsia="Calibri" w:cs="Calibri"/>
                <w:b/>
                <w:bCs/>
                <w:color w:val="000000"/>
              </w:rPr>
              <w:t>Mając na uwadze, że 2017 r. był trzecim rokiem wdrażania programu RPO WD, w ramach FEDS wartość pośrednią ustalono jako 0.</w:t>
            </w:r>
            <w:r w:rsidRPr="006641B5">
              <w:rPr>
                <w:rFonts w:eastAsia="Calibri"/>
              </w:rPr>
              <w:t xml:space="preserve"> </w:t>
            </w:r>
            <w:r w:rsidRPr="006641B5">
              <w:rPr>
                <w:rFonts w:eastAsia="Calibri" w:cs="Calibri"/>
                <w:b/>
                <w:bCs/>
                <w:color w:val="000000"/>
              </w:rPr>
              <w:t>Takie postępowanie potwierdza dodatkowo doświadczenie z perspektywy 2014-2020 polegające na zmianie wartości pośrednich przed przeglądem ram wykonania w tym obszarze.</w:t>
            </w:r>
          </w:p>
        </w:tc>
      </w:tr>
    </w:tbl>
    <w:p w14:paraId="7174803F" w14:textId="77777777" w:rsidR="006641B5" w:rsidRDefault="006641B5" w:rsidP="00CF4FA1"/>
    <w:p w14:paraId="3F650C1B" w14:textId="77777777" w:rsidR="006641B5" w:rsidRPr="00CF4FA1" w:rsidRDefault="006641B5" w:rsidP="00CF4FA1"/>
    <w:p w14:paraId="220CCCFC" w14:textId="77777777" w:rsidR="000B200D" w:rsidRPr="00BF2026" w:rsidRDefault="000B200D" w:rsidP="00CF4FA1">
      <w:pPr>
        <w:keepNext/>
        <w:keepLines/>
        <w:spacing w:before="200"/>
        <w:jc w:val="both"/>
        <w:outlineLvl w:val="1"/>
        <w:rPr>
          <w:rFonts w:eastAsia="Times New Roman" w:cstheme="majorBidi"/>
          <w:color w:val="4F81BD" w:themeColor="accent1"/>
          <w:sz w:val="24"/>
          <w:szCs w:val="26"/>
          <w:highlight w:val="yellow"/>
        </w:rPr>
      </w:pPr>
      <w:bookmarkStart w:id="407" w:name="_Toc98189032"/>
      <w:bookmarkStart w:id="408" w:name="_Toc120464529"/>
      <w:r w:rsidRPr="00BF2026">
        <w:rPr>
          <w:rFonts w:eastAsia="Times New Roman" w:cstheme="majorBidi"/>
          <w:color w:val="4F81BD" w:themeColor="accent1"/>
          <w:sz w:val="24"/>
          <w:szCs w:val="26"/>
        </w:rPr>
        <w:t>Wskaźniki rezultatu</w:t>
      </w:r>
      <w:bookmarkEnd w:id="407"/>
      <w:bookmarkEnd w:id="408"/>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676"/>
        <w:gridCol w:w="759"/>
        <w:gridCol w:w="576"/>
        <w:gridCol w:w="1837"/>
        <w:gridCol w:w="748"/>
        <w:gridCol w:w="1015"/>
        <w:gridCol w:w="589"/>
        <w:gridCol w:w="750"/>
        <w:gridCol w:w="747"/>
        <w:gridCol w:w="741"/>
      </w:tblGrid>
      <w:tr w:rsidR="000B200D" w:rsidRPr="00CF4FA1" w14:paraId="60E0BCD3" w14:textId="77777777" w:rsidTr="00B5591A">
        <w:trPr>
          <w:cantSplit/>
          <w:trHeight w:val="1647"/>
        </w:trPr>
        <w:tc>
          <w:tcPr>
            <w:tcW w:w="343" w:type="pct"/>
            <w:shd w:val="clear" w:color="auto" w:fill="auto"/>
          </w:tcPr>
          <w:p w14:paraId="6020974B"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CP 6</w:t>
            </w:r>
          </w:p>
          <w:p w14:paraId="5D58F77A"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Cel szczegółowy </w:t>
            </w:r>
          </w:p>
        </w:tc>
        <w:tc>
          <w:tcPr>
            <w:tcW w:w="373" w:type="pct"/>
            <w:shd w:val="clear" w:color="auto" w:fill="auto"/>
          </w:tcPr>
          <w:p w14:paraId="391AFE5A"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Fundusz</w:t>
            </w:r>
          </w:p>
        </w:tc>
        <w:tc>
          <w:tcPr>
            <w:tcW w:w="419" w:type="pct"/>
            <w:shd w:val="clear" w:color="auto" w:fill="auto"/>
          </w:tcPr>
          <w:p w14:paraId="5B9CA646"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Kategoria regionu</w:t>
            </w:r>
          </w:p>
        </w:tc>
        <w:tc>
          <w:tcPr>
            <w:tcW w:w="318" w:type="pct"/>
            <w:shd w:val="clear" w:color="auto" w:fill="auto"/>
            <w:textDirection w:val="btLr"/>
          </w:tcPr>
          <w:p w14:paraId="23A3B4A2" w14:textId="77777777" w:rsidR="000B200D" w:rsidRPr="00CF4FA1" w:rsidRDefault="000B200D" w:rsidP="00CF4FA1">
            <w:pPr>
              <w:shd w:val="clear" w:color="auto" w:fill="FFFFFF"/>
              <w:spacing w:before="120" w:after="120" w:line="240" w:lineRule="auto"/>
              <w:ind w:left="113" w:right="113"/>
              <w:jc w:val="center"/>
              <w:rPr>
                <w:rFonts w:eastAsia="Calibri" w:cs="Times New Roman"/>
                <w:b/>
                <w:noProof/>
                <w:sz w:val="16"/>
                <w:szCs w:val="16"/>
              </w:rPr>
            </w:pPr>
            <w:r w:rsidRPr="00CF4FA1">
              <w:rPr>
                <w:rFonts w:eastAsia="Calibri" w:cs="Times New Roman"/>
                <w:b/>
                <w:noProof/>
                <w:sz w:val="16"/>
                <w:szCs w:val="16"/>
              </w:rPr>
              <w:t>Nr identyfikacyjny [5]</w:t>
            </w:r>
          </w:p>
        </w:tc>
        <w:tc>
          <w:tcPr>
            <w:tcW w:w="1014" w:type="pct"/>
            <w:shd w:val="clear" w:color="auto" w:fill="auto"/>
          </w:tcPr>
          <w:p w14:paraId="5A555F3A"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Wskaźnik [255] </w:t>
            </w:r>
          </w:p>
        </w:tc>
        <w:tc>
          <w:tcPr>
            <w:tcW w:w="413" w:type="pct"/>
            <w:shd w:val="clear" w:color="auto" w:fill="auto"/>
            <w:textDirection w:val="btLr"/>
          </w:tcPr>
          <w:p w14:paraId="18330CA3" w14:textId="77777777" w:rsidR="000B200D" w:rsidRPr="00CF4FA1" w:rsidRDefault="000B200D" w:rsidP="00CF4FA1">
            <w:pPr>
              <w:shd w:val="clear" w:color="auto" w:fill="FFFFFF"/>
              <w:spacing w:before="120" w:after="120" w:line="240" w:lineRule="auto"/>
              <w:ind w:left="113" w:right="113"/>
              <w:jc w:val="both"/>
              <w:rPr>
                <w:rFonts w:eastAsia="Calibri" w:cs="Times New Roman"/>
                <w:b/>
                <w:noProof/>
                <w:sz w:val="16"/>
                <w:szCs w:val="16"/>
              </w:rPr>
            </w:pPr>
            <w:r w:rsidRPr="00CF4FA1">
              <w:rPr>
                <w:rFonts w:eastAsia="Calibri" w:cs="Times New Roman"/>
                <w:b/>
                <w:noProof/>
                <w:sz w:val="16"/>
                <w:szCs w:val="16"/>
              </w:rPr>
              <w:t>Jednostka miary</w:t>
            </w:r>
          </w:p>
        </w:tc>
        <w:tc>
          <w:tcPr>
            <w:tcW w:w="560" w:type="pct"/>
            <w:shd w:val="clear" w:color="auto" w:fill="auto"/>
            <w:textDirection w:val="btLr"/>
          </w:tcPr>
          <w:p w14:paraId="79789783" w14:textId="77777777" w:rsidR="000B200D" w:rsidRPr="00CF4FA1" w:rsidRDefault="000B200D" w:rsidP="00CF4FA1">
            <w:pPr>
              <w:shd w:val="clear" w:color="auto" w:fill="FFFFFF"/>
              <w:spacing w:before="120" w:after="120" w:line="240" w:lineRule="auto"/>
              <w:ind w:left="113" w:right="113"/>
              <w:jc w:val="both"/>
              <w:rPr>
                <w:rFonts w:eastAsia="Calibri" w:cs="Times New Roman"/>
                <w:b/>
                <w:noProof/>
                <w:sz w:val="16"/>
                <w:szCs w:val="16"/>
              </w:rPr>
            </w:pPr>
            <w:r w:rsidRPr="00CF4FA1">
              <w:rPr>
                <w:rFonts w:eastAsia="Calibri" w:cs="Times New Roman"/>
                <w:b/>
                <w:noProof/>
                <w:sz w:val="16"/>
                <w:szCs w:val="16"/>
              </w:rPr>
              <w:t>Wartość bazowa lub wartość odniesienia</w:t>
            </w:r>
          </w:p>
        </w:tc>
        <w:tc>
          <w:tcPr>
            <w:tcW w:w="325" w:type="pct"/>
            <w:textDirection w:val="btLr"/>
          </w:tcPr>
          <w:p w14:paraId="225975AD" w14:textId="77777777" w:rsidR="000B200D" w:rsidRPr="00CF4FA1" w:rsidRDefault="000B200D" w:rsidP="00CF4FA1">
            <w:pPr>
              <w:shd w:val="clear" w:color="auto" w:fill="FFFFFF"/>
              <w:spacing w:before="120" w:after="120" w:line="240" w:lineRule="auto"/>
              <w:ind w:left="113" w:right="113"/>
              <w:jc w:val="both"/>
              <w:rPr>
                <w:rFonts w:eastAsia="Calibri" w:cs="Times New Roman"/>
                <w:b/>
                <w:noProof/>
                <w:sz w:val="16"/>
                <w:szCs w:val="16"/>
              </w:rPr>
            </w:pPr>
            <w:r w:rsidRPr="00CF4FA1">
              <w:rPr>
                <w:rFonts w:eastAsia="Calibri" w:cs="Times New Roman"/>
                <w:b/>
                <w:noProof/>
                <w:sz w:val="16"/>
                <w:szCs w:val="16"/>
              </w:rPr>
              <w:t>Rok referencyjny</w:t>
            </w:r>
          </w:p>
        </w:tc>
        <w:tc>
          <w:tcPr>
            <w:tcW w:w="414" w:type="pct"/>
          </w:tcPr>
          <w:p w14:paraId="5D0435B4"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Cel (2029)</w:t>
            </w:r>
          </w:p>
          <w:p w14:paraId="058D1BA7"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p>
        </w:tc>
        <w:tc>
          <w:tcPr>
            <w:tcW w:w="412" w:type="pct"/>
            <w:shd w:val="clear" w:color="auto" w:fill="auto"/>
          </w:tcPr>
          <w:p w14:paraId="116A804E"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r w:rsidRPr="00CF4FA1">
              <w:rPr>
                <w:rFonts w:eastAsia="Calibri" w:cs="Times New Roman"/>
                <w:b/>
                <w:noProof/>
                <w:sz w:val="16"/>
                <w:szCs w:val="16"/>
              </w:rPr>
              <w:t xml:space="preserve">Źródło danych </w:t>
            </w:r>
          </w:p>
        </w:tc>
        <w:tc>
          <w:tcPr>
            <w:tcW w:w="410" w:type="pct"/>
          </w:tcPr>
          <w:p w14:paraId="3DC8F160" w14:textId="77777777" w:rsidR="000B200D" w:rsidRPr="00CF4FA1" w:rsidRDefault="000B200D" w:rsidP="00CF4FA1">
            <w:pPr>
              <w:shd w:val="clear" w:color="auto" w:fill="FFFFFF"/>
              <w:spacing w:before="120" w:after="120" w:line="240" w:lineRule="auto"/>
              <w:jc w:val="both"/>
              <w:rPr>
                <w:rFonts w:eastAsia="Calibri" w:cs="Times New Roman"/>
                <w:b/>
                <w:noProof/>
                <w:sz w:val="16"/>
                <w:szCs w:val="16"/>
              </w:rPr>
            </w:pPr>
          </w:p>
        </w:tc>
      </w:tr>
      <w:tr w:rsidR="000B200D" w:rsidRPr="00CF4FA1" w14:paraId="5BB68028" w14:textId="77777777" w:rsidTr="002C70B7">
        <w:trPr>
          <w:trHeight w:val="340"/>
        </w:trPr>
        <w:tc>
          <w:tcPr>
            <w:tcW w:w="343" w:type="pct"/>
            <w:shd w:val="clear" w:color="auto" w:fill="auto"/>
            <w:vAlign w:val="center"/>
          </w:tcPr>
          <w:p w14:paraId="28B8D966"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6 (i)</w:t>
            </w:r>
          </w:p>
        </w:tc>
        <w:tc>
          <w:tcPr>
            <w:tcW w:w="373" w:type="pct"/>
            <w:shd w:val="clear" w:color="auto" w:fill="auto"/>
            <w:vAlign w:val="center"/>
          </w:tcPr>
          <w:p w14:paraId="5678E35D"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FST</w:t>
            </w:r>
          </w:p>
        </w:tc>
        <w:tc>
          <w:tcPr>
            <w:tcW w:w="419" w:type="pct"/>
            <w:shd w:val="clear" w:color="auto" w:fill="auto"/>
            <w:vAlign w:val="center"/>
          </w:tcPr>
          <w:p w14:paraId="76B7414C"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przejściowy</w:t>
            </w:r>
          </w:p>
        </w:tc>
        <w:tc>
          <w:tcPr>
            <w:tcW w:w="318" w:type="pct"/>
            <w:shd w:val="clear" w:color="auto" w:fill="auto"/>
            <w:vAlign w:val="center"/>
          </w:tcPr>
          <w:p w14:paraId="6F50EAA1"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bookmarkStart w:id="409" w:name="_Hlk98147124"/>
            <w:r w:rsidRPr="002C70B7">
              <w:rPr>
                <w:rFonts w:eastAsia="Calibri" w:cs="Times New Roman"/>
                <w:i/>
                <w:noProof/>
                <w:sz w:val="16"/>
                <w:szCs w:val="16"/>
              </w:rPr>
              <w:t>EECR 01</w:t>
            </w:r>
            <w:bookmarkEnd w:id="409"/>
          </w:p>
        </w:tc>
        <w:tc>
          <w:tcPr>
            <w:tcW w:w="1014" w:type="pct"/>
            <w:shd w:val="clear" w:color="auto" w:fill="auto"/>
            <w:vAlign w:val="center"/>
          </w:tcPr>
          <w:p w14:paraId="0E462398" w14:textId="716CADDC" w:rsidR="000B200D" w:rsidRPr="002C70B7" w:rsidRDefault="003956B5" w:rsidP="002C70B7">
            <w:pPr>
              <w:keepNext/>
              <w:keepLines/>
              <w:spacing w:before="200" w:after="0"/>
              <w:jc w:val="center"/>
              <w:outlineLvl w:val="2"/>
              <w:rPr>
                <w:rFonts w:eastAsia="Calibri" w:cs="Times New Roman"/>
                <w:i/>
                <w:noProof/>
                <w:sz w:val="16"/>
                <w:szCs w:val="16"/>
              </w:rPr>
            </w:pPr>
            <w:bookmarkStart w:id="410" w:name="_Toc120464530"/>
            <w:r w:rsidRPr="003956B5">
              <w:rPr>
                <w:rFonts w:asciiTheme="minorHAnsi" w:eastAsia="Times New Roman" w:hAnsiTheme="minorHAnsi" w:cstheme="minorHAnsi"/>
                <w:bCs/>
                <w:i/>
                <w:iCs/>
                <w:noProof/>
                <w:sz w:val="16"/>
                <w:szCs w:val="16"/>
              </w:rPr>
              <w:t>Uczestnicy poszukujący pracy po zakończeniu udziału w programie</w:t>
            </w:r>
            <w:bookmarkEnd w:id="410"/>
          </w:p>
        </w:tc>
        <w:tc>
          <w:tcPr>
            <w:tcW w:w="413" w:type="pct"/>
            <w:shd w:val="clear" w:color="auto" w:fill="auto"/>
            <w:vAlign w:val="center"/>
          </w:tcPr>
          <w:p w14:paraId="33D0307F"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osoby</w:t>
            </w:r>
          </w:p>
        </w:tc>
        <w:tc>
          <w:tcPr>
            <w:tcW w:w="560" w:type="pct"/>
            <w:shd w:val="clear" w:color="auto" w:fill="auto"/>
            <w:vAlign w:val="center"/>
          </w:tcPr>
          <w:p w14:paraId="54E14D67"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0</w:t>
            </w:r>
          </w:p>
        </w:tc>
        <w:tc>
          <w:tcPr>
            <w:tcW w:w="325" w:type="pct"/>
            <w:vAlign w:val="center"/>
          </w:tcPr>
          <w:p w14:paraId="62635D61"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2022</w:t>
            </w:r>
          </w:p>
        </w:tc>
        <w:tc>
          <w:tcPr>
            <w:tcW w:w="414" w:type="pct"/>
            <w:vAlign w:val="center"/>
          </w:tcPr>
          <w:p w14:paraId="190240D6" w14:textId="026EB4B6" w:rsidR="000B200D" w:rsidRPr="002C70B7" w:rsidRDefault="00EC269B" w:rsidP="002C70B7">
            <w:pPr>
              <w:shd w:val="clear" w:color="auto" w:fill="FFFFFF"/>
              <w:spacing w:before="120" w:after="120" w:line="240" w:lineRule="auto"/>
              <w:jc w:val="center"/>
              <w:rPr>
                <w:rFonts w:eastAsia="Calibri" w:cs="Times New Roman"/>
                <w:i/>
                <w:noProof/>
                <w:sz w:val="16"/>
                <w:szCs w:val="16"/>
              </w:rPr>
            </w:pPr>
            <w:r>
              <w:rPr>
                <w:rFonts w:eastAsia="Calibri" w:cs="Times New Roman"/>
                <w:i/>
                <w:noProof/>
                <w:sz w:val="16"/>
                <w:szCs w:val="16"/>
              </w:rPr>
              <w:t>418</w:t>
            </w:r>
            <w:r w:rsidR="000B200D">
              <w:rPr>
                <w:rFonts w:eastAsia="Calibri" w:cs="Times New Roman"/>
                <w:i/>
                <w:noProof/>
                <w:sz w:val="16"/>
                <w:szCs w:val="16"/>
              </w:rPr>
              <w:t>,00</w:t>
            </w:r>
          </w:p>
        </w:tc>
        <w:tc>
          <w:tcPr>
            <w:tcW w:w="412" w:type="pct"/>
            <w:shd w:val="clear" w:color="auto" w:fill="auto"/>
            <w:vAlign w:val="center"/>
          </w:tcPr>
          <w:p w14:paraId="067E091E"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r w:rsidRPr="002C70B7">
              <w:rPr>
                <w:rFonts w:eastAsia="Calibri" w:cs="Times New Roman"/>
                <w:i/>
                <w:noProof/>
                <w:sz w:val="16"/>
                <w:szCs w:val="16"/>
              </w:rPr>
              <w:t>SL</w:t>
            </w:r>
          </w:p>
        </w:tc>
        <w:tc>
          <w:tcPr>
            <w:tcW w:w="410" w:type="pct"/>
            <w:vAlign w:val="center"/>
          </w:tcPr>
          <w:p w14:paraId="2C30804B" w14:textId="77777777" w:rsidR="000B200D" w:rsidRPr="002C70B7" w:rsidRDefault="000B200D" w:rsidP="002C70B7">
            <w:pPr>
              <w:shd w:val="clear" w:color="auto" w:fill="FFFFFF"/>
              <w:spacing w:before="120" w:after="120" w:line="240" w:lineRule="auto"/>
              <w:jc w:val="center"/>
              <w:rPr>
                <w:rFonts w:eastAsia="Calibri" w:cs="Times New Roman"/>
                <w:i/>
                <w:noProof/>
                <w:sz w:val="16"/>
                <w:szCs w:val="16"/>
              </w:rPr>
            </w:pPr>
          </w:p>
        </w:tc>
      </w:tr>
      <w:tr w:rsidR="000B200D" w:rsidRPr="00CF4FA1" w14:paraId="4A3759DD" w14:textId="77777777" w:rsidTr="00B5591A">
        <w:trPr>
          <w:trHeight w:val="340"/>
        </w:trPr>
        <w:tc>
          <w:tcPr>
            <w:tcW w:w="5000" w:type="pct"/>
            <w:gridSpan w:val="11"/>
          </w:tcPr>
          <w:p w14:paraId="035F603E" w14:textId="77777777" w:rsidR="000B200D" w:rsidRPr="00CF4FA1" w:rsidRDefault="000B200D" w:rsidP="00CF4FA1">
            <w:pPr>
              <w:shd w:val="clear" w:color="auto" w:fill="FFFFFF"/>
              <w:spacing w:before="60" w:after="60" w:line="240" w:lineRule="auto"/>
              <w:jc w:val="both"/>
              <w:rPr>
                <w:rFonts w:eastAsia="Calibri"/>
              </w:rPr>
            </w:pPr>
            <w:r w:rsidRPr="00CF4FA1">
              <w:rPr>
                <w:rFonts w:eastAsia="Calibri"/>
              </w:rPr>
              <w:t>Metodologia:</w:t>
            </w:r>
          </w:p>
          <w:p w14:paraId="7CFBD89A" w14:textId="77777777" w:rsidR="000B200D" w:rsidRPr="00CF4FA1" w:rsidRDefault="000B200D" w:rsidP="00CF4FA1">
            <w:pPr>
              <w:shd w:val="clear" w:color="auto" w:fill="FFFFFF"/>
              <w:spacing w:before="60" w:after="60" w:line="240" w:lineRule="auto"/>
              <w:jc w:val="both"/>
              <w:rPr>
                <w:rFonts w:eastAsia="Calibri"/>
                <w:i/>
              </w:rPr>
            </w:pPr>
            <w:r w:rsidRPr="00CF4FA1">
              <w:rPr>
                <w:rFonts w:eastAsia="Calibri"/>
                <w:i/>
              </w:rPr>
              <w:t>Wskaźnik realizuje kod interwencji:</w:t>
            </w:r>
          </w:p>
          <w:p w14:paraId="64B180FB" w14:textId="0A676848" w:rsidR="000B200D" w:rsidRPr="00CF4FA1" w:rsidRDefault="000B200D" w:rsidP="00CF4FA1">
            <w:pPr>
              <w:numPr>
                <w:ilvl w:val="0"/>
                <w:numId w:val="12"/>
              </w:numPr>
              <w:contextualSpacing/>
              <w:rPr>
                <w:rFonts w:eastAsia="Calibri" w:cs="Times New Roman"/>
                <w:i/>
              </w:rPr>
            </w:pPr>
            <w:r w:rsidRPr="00CF4FA1">
              <w:rPr>
                <w:rFonts w:eastAsia="Calibri" w:cs="Times New Roman"/>
                <w:i/>
              </w:rPr>
              <w:t>163 Promowanie integracji społecznej osób zagrożonych ubóstwem lub wykluczeniem społecznym, w tym osób najbardziej potrzebujących i dzieci (</w:t>
            </w:r>
            <w:r w:rsidR="00607A06">
              <w:rPr>
                <w:rFonts w:eastAsia="Calibri" w:cs="Times New Roman"/>
                <w:i/>
              </w:rPr>
              <w:t>14</w:t>
            </w:r>
            <w:r w:rsidRPr="00CF4FA1">
              <w:rPr>
                <w:rFonts w:eastAsia="Calibri" w:cs="Times New Roman"/>
                <w:i/>
              </w:rPr>
              <w:t xml:space="preserve"> 000 000 EUR).</w:t>
            </w:r>
          </w:p>
          <w:p w14:paraId="08AE12E6" w14:textId="77777777" w:rsidR="000B200D" w:rsidRPr="00CF4FA1" w:rsidRDefault="000B200D" w:rsidP="00CF4FA1">
            <w:pPr>
              <w:shd w:val="clear" w:color="auto" w:fill="FFFFFF"/>
              <w:spacing w:before="60" w:after="60" w:line="240" w:lineRule="auto"/>
              <w:jc w:val="both"/>
              <w:rPr>
                <w:rFonts w:eastAsia="Calibri"/>
                <w:i/>
              </w:rPr>
            </w:pPr>
            <w:r w:rsidRPr="00CF4FA1">
              <w:rPr>
                <w:rFonts w:eastAsia="Calibri"/>
                <w:i/>
              </w:rPr>
              <w:t xml:space="preserve">Historyczną efektywność zatrudnieniową w ramach Działania 9.1 RPO WD 2014-2020 wyliczono na poziomie 25%. Na podstawie tych danych wyliczono wartość docelową wskaźnika. Zakłada się, że wartość docelowa wskaźnika rezultatu to 25% wartości wskaźnika produktu: </w:t>
            </w:r>
            <w:r w:rsidRPr="003132D1">
              <w:rPr>
                <w:rFonts w:eastAsia="Calibri"/>
                <w:i/>
              </w:rPr>
              <w:t>Liczba osób biernych zawodowo objętych wsparciem w programie</w:t>
            </w:r>
            <w:r w:rsidRPr="00CF4FA1">
              <w:rPr>
                <w:rFonts w:eastAsia="Calibri"/>
                <w:i/>
              </w:rPr>
              <w:t>.</w:t>
            </w:r>
          </w:p>
          <w:p w14:paraId="1917C2BF" w14:textId="77777777" w:rsidR="000B200D" w:rsidRPr="00CF4FA1" w:rsidRDefault="000B200D" w:rsidP="00CF4FA1">
            <w:pPr>
              <w:shd w:val="clear" w:color="auto" w:fill="FFFFFF"/>
              <w:spacing w:before="60" w:after="60" w:line="240" w:lineRule="auto"/>
              <w:jc w:val="both"/>
              <w:rPr>
                <w:rFonts w:eastAsia="Calibri"/>
                <w:i/>
              </w:rPr>
            </w:pPr>
            <w:r w:rsidRPr="00CF4FA1">
              <w:rPr>
                <w:rFonts w:eastAsia="Calibri"/>
                <w:i/>
              </w:rPr>
              <w:t>Wyliczenie:</w:t>
            </w:r>
          </w:p>
          <w:p w14:paraId="3F96CDE9" w14:textId="012FD431" w:rsidR="000B200D" w:rsidRPr="00CF4FA1" w:rsidRDefault="00607A06" w:rsidP="00CF4FA1">
            <w:pPr>
              <w:shd w:val="clear" w:color="auto" w:fill="FFFFFF"/>
              <w:spacing w:before="60" w:after="60" w:line="240" w:lineRule="auto"/>
              <w:jc w:val="both"/>
              <w:rPr>
                <w:rFonts w:eastAsia="Calibri"/>
                <w:i/>
                <w:highlight w:val="yellow"/>
              </w:rPr>
            </w:pPr>
            <w:r>
              <w:rPr>
                <w:rFonts w:eastAsia="Calibri"/>
                <w:i/>
              </w:rPr>
              <w:t>1 673</w:t>
            </w:r>
            <w:r w:rsidR="000B200D" w:rsidRPr="00CF4FA1">
              <w:rPr>
                <w:rFonts w:eastAsia="Calibri"/>
                <w:i/>
              </w:rPr>
              <w:t xml:space="preserve">* 25% = </w:t>
            </w:r>
            <w:r>
              <w:rPr>
                <w:rFonts w:eastAsia="Calibri"/>
                <w:i/>
              </w:rPr>
              <w:t>418</w:t>
            </w:r>
            <w:r w:rsidR="000B200D" w:rsidRPr="00CF4FA1">
              <w:rPr>
                <w:rFonts w:eastAsia="Calibri"/>
                <w:i/>
              </w:rPr>
              <w:t xml:space="preserve"> osób.</w:t>
            </w:r>
          </w:p>
          <w:p w14:paraId="17664A26" w14:textId="77777777" w:rsidR="000B200D" w:rsidRPr="00CF4FA1" w:rsidRDefault="000B200D" w:rsidP="00CF4FA1">
            <w:pPr>
              <w:shd w:val="clear" w:color="auto" w:fill="FFFFFF"/>
              <w:spacing w:before="60" w:after="60" w:line="240" w:lineRule="auto"/>
              <w:jc w:val="both"/>
              <w:rPr>
                <w:rFonts w:eastAsia="Calibri"/>
              </w:rPr>
            </w:pPr>
          </w:p>
        </w:tc>
      </w:tr>
    </w:tbl>
    <w:p w14:paraId="487F46C1" w14:textId="503B8B82" w:rsidR="000B200D" w:rsidRDefault="000B200D" w:rsidP="002C70B7">
      <w:pPr>
        <w:keepNext/>
        <w:keepLines/>
        <w:spacing w:before="200"/>
        <w:jc w:val="both"/>
        <w:outlineLvl w:val="1"/>
        <w:rPr>
          <w:rFonts w:eastAsia="Calibr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073"/>
        <w:gridCol w:w="618"/>
        <w:gridCol w:w="739"/>
        <w:gridCol w:w="737"/>
        <w:gridCol w:w="734"/>
      </w:tblGrid>
      <w:tr w:rsidR="006641B5" w:rsidRPr="006641B5" w14:paraId="128360C2" w14:textId="77777777" w:rsidTr="00483576">
        <w:trPr>
          <w:cantSplit/>
          <w:trHeight w:val="1647"/>
        </w:trPr>
        <w:tc>
          <w:tcPr>
            <w:tcW w:w="338" w:type="pct"/>
            <w:shd w:val="clear" w:color="auto" w:fill="auto"/>
            <w:vAlign w:val="center"/>
          </w:tcPr>
          <w:p w14:paraId="148A87CF"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CP 6</w:t>
            </w:r>
          </w:p>
          <w:p w14:paraId="2188CB8B"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szczegółowy</w:t>
            </w:r>
          </w:p>
        </w:tc>
        <w:tc>
          <w:tcPr>
            <w:tcW w:w="367" w:type="pct"/>
            <w:shd w:val="clear" w:color="auto" w:fill="auto"/>
            <w:vAlign w:val="center"/>
          </w:tcPr>
          <w:p w14:paraId="17F567F1"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Fundusz</w:t>
            </w:r>
          </w:p>
        </w:tc>
        <w:tc>
          <w:tcPr>
            <w:tcW w:w="415" w:type="pct"/>
            <w:shd w:val="clear" w:color="auto" w:fill="auto"/>
            <w:vAlign w:val="center"/>
          </w:tcPr>
          <w:p w14:paraId="3CA1573A"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Kategoria regionu</w:t>
            </w:r>
          </w:p>
        </w:tc>
        <w:tc>
          <w:tcPr>
            <w:tcW w:w="268" w:type="pct"/>
            <w:shd w:val="clear" w:color="auto" w:fill="auto"/>
            <w:textDirection w:val="btLr"/>
            <w:vAlign w:val="center"/>
          </w:tcPr>
          <w:p w14:paraId="149C1B46" w14:textId="77777777" w:rsidR="006641B5" w:rsidRPr="006641B5" w:rsidRDefault="006641B5" w:rsidP="006641B5">
            <w:pPr>
              <w:shd w:val="clear" w:color="auto" w:fill="FFFFFF"/>
              <w:spacing w:before="120" w:after="120" w:line="240" w:lineRule="auto"/>
              <w:ind w:left="113" w:right="113"/>
              <w:jc w:val="center"/>
              <w:rPr>
                <w:rFonts w:eastAsia="Calibri" w:cs="Calibri"/>
                <w:b/>
                <w:noProof/>
                <w:sz w:val="16"/>
                <w:szCs w:val="16"/>
              </w:rPr>
            </w:pPr>
            <w:r w:rsidRPr="006641B5">
              <w:rPr>
                <w:rFonts w:eastAsia="Calibri" w:cs="Calibri"/>
                <w:b/>
                <w:noProof/>
                <w:sz w:val="16"/>
                <w:szCs w:val="16"/>
              </w:rPr>
              <w:t>Nr identyfikacyjny [5]</w:t>
            </w:r>
          </w:p>
        </w:tc>
        <w:tc>
          <w:tcPr>
            <w:tcW w:w="1050" w:type="pct"/>
            <w:shd w:val="clear" w:color="auto" w:fill="auto"/>
            <w:vAlign w:val="center"/>
          </w:tcPr>
          <w:p w14:paraId="43CEFFAE"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Wskaźnik [255]</w:t>
            </w:r>
          </w:p>
        </w:tc>
        <w:tc>
          <w:tcPr>
            <w:tcW w:w="409" w:type="pct"/>
            <w:shd w:val="clear" w:color="auto" w:fill="auto"/>
            <w:textDirection w:val="btLr"/>
            <w:vAlign w:val="center"/>
          </w:tcPr>
          <w:p w14:paraId="77339957"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Jednostka miary</w:t>
            </w:r>
          </w:p>
        </w:tc>
        <w:tc>
          <w:tcPr>
            <w:tcW w:w="592" w:type="pct"/>
            <w:textDirection w:val="btLr"/>
            <w:vAlign w:val="center"/>
          </w:tcPr>
          <w:p w14:paraId="118E845C"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Wartość bazowa lub wartość odniesienia</w:t>
            </w:r>
          </w:p>
        </w:tc>
        <w:tc>
          <w:tcPr>
            <w:tcW w:w="341" w:type="pct"/>
            <w:shd w:val="clear" w:color="auto" w:fill="auto"/>
            <w:textDirection w:val="btLr"/>
            <w:vAlign w:val="center"/>
          </w:tcPr>
          <w:p w14:paraId="23788AAD"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Rok referencyjny</w:t>
            </w:r>
          </w:p>
        </w:tc>
        <w:tc>
          <w:tcPr>
            <w:tcW w:w="408" w:type="pct"/>
            <w:shd w:val="clear" w:color="auto" w:fill="auto"/>
            <w:vAlign w:val="center"/>
          </w:tcPr>
          <w:p w14:paraId="626CCCBD"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(2029)</w:t>
            </w:r>
          </w:p>
          <w:p w14:paraId="02F749DA"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c>
          <w:tcPr>
            <w:tcW w:w="407" w:type="pct"/>
            <w:vAlign w:val="center"/>
          </w:tcPr>
          <w:p w14:paraId="63D8E5D8"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Zródło danych [200]</w:t>
            </w:r>
          </w:p>
        </w:tc>
        <w:tc>
          <w:tcPr>
            <w:tcW w:w="405" w:type="pct"/>
            <w:vAlign w:val="center"/>
          </w:tcPr>
          <w:p w14:paraId="12F66B69"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Uwagi</w:t>
            </w:r>
          </w:p>
        </w:tc>
      </w:tr>
      <w:tr w:rsidR="006641B5" w:rsidRPr="006641B5" w14:paraId="4EDA4F34" w14:textId="77777777" w:rsidTr="00483576">
        <w:trPr>
          <w:trHeight w:val="340"/>
        </w:trPr>
        <w:tc>
          <w:tcPr>
            <w:tcW w:w="338" w:type="pct"/>
            <w:shd w:val="clear" w:color="auto" w:fill="auto"/>
            <w:vAlign w:val="center"/>
          </w:tcPr>
          <w:p w14:paraId="55239C23"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8.1</w:t>
            </w:r>
          </w:p>
        </w:tc>
        <w:tc>
          <w:tcPr>
            <w:tcW w:w="367" w:type="pct"/>
            <w:shd w:val="clear" w:color="auto" w:fill="auto"/>
            <w:vAlign w:val="center"/>
          </w:tcPr>
          <w:p w14:paraId="5229C441"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FST</w:t>
            </w:r>
          </w:p>
        </w:tc>
        <w:tc>
          <w:tcPr>
            <w:tcW w:w="415" w:type="pct"/>
            <w:shd w:val="clear" w:color="auto" w:fill="auto"/>
            <w:vAlign w:val="center"/>
          </w:tcPr>
          <w:p w14:paraId="275ACDC7"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przejściowy</w:t>
            </w:r>
          </w:p>
        </w:tc>
        <w:tc>
          <w:tcPr>
            <w:tcW w:w="268" w:type="pct"/>
            <w:shd w:val="clear" w:color="auto" w:fill="auto"/>
            <w:vAlign w:val="center"/>
          </w:tcPr>
          <w:p w14:paraId="61950ECD" w14:textId="198B6ADF" w:rsidR="006641B5" w:rsidRPr="006641B5" w:rsidRDefault="009D0ECB" w:rsidP="006641B5">
            <w:pPr>
              <w:shd w:val="clear" w:color="auto" w:fill="FFFFFF"/>
              <w:spacing w:before="120" w:after="120" w:line="240" w:lineRule="auto"/>
              <w:jc w:val="center"/>
              <w:rPr>
                <w:rFonts w:eastAsia="Calibri" w:cs="Calibri"/>
                <w:noProof/>
                <w:sz w:val="16"/>
                <w:szCs w:val="16"/>
              </w:rPr>
            </w:pPr>
            <w:r w:rsidRPr="009D0ECB">
              <w:rPr>
                <w:rFonts w:eastAsia="Calibri" w:cs="Calibri"/>
                <w:noProof/>
                <w:sz w:val="16"/>
                <w:szCs w:val="16"/>
              </w:rPr>
              <w:t>PLKLCR02</w:t>
            </w:r>
          </w:p>
        </w:tc>
        <w:tc>
          <w:tcPr>
            <w:tcW w:w="1050" w:type="pct"/>
            <w:shd w:val="clear" w:color="auto" w:fill="auto"/>
            <w:vAlign w:val="center"/>
          </w:tcPr>
          <w:p w14:paraId="2E65C190" w14:textId="77777777" w:rsidR="006641B5" w:rsidRPr="006641B5" w:rsidRDefault="006641B5" w:rsidP="006641B5">
            <w:pPr>
              <w:keepNext/>
              <w:keepLines/>
              <w:spacing w:before="200" w:after="0"/>
              <w:jc w:val="center"/>
              <w:outlineLvl w:val="2"/>
              <w:rPr>
                <w:rFonts w:eastAsia="Times New Roman" w:cs="Calibri"/>
                <w:b/>
                <w:bCs/>
                <w:noProof/>
                <w:sz w:val="16"/>
                <w:szCs w:val="16"/>
              </w:rPr>
            </w:pPr>
            <w:bookmarkStart w:id="411" w:name="_Toc120464531"/>
            <w:r w:rsidRPr="006641B5">
              <w:rPr>
                <w:rFonts w:eastAsia="Times New Roman" w:cs="Calibri"/>
                <w:bCs/>
                <w:noProof/>
                <w:sz w:val="16"/>
                <w:szCs w:val="16"/>
              </w:rPr>
              <w:t>Liczba utworzonych miejsc świadczenia usług w społeczności lokalnej</w:t>
            </w:r>
            <w:bookmarkEnd w:id="411"/>
          </w:p>
        </w:tc>
        <w:tc>
          <w:tcPr>
            <w:tcW w:w="409" w:type="pct"/>
            <w:shd w:val="clear" w:color="auto" w:fill="auto"/>
            <w:vAlign w:val="center"/>
          </w:tcPr>
          <w:p w14:paraId="10BF8B28" w14:textId="70AB78F9" w:rsidR="006641B5" w:rsidRPr="006641B5" w:rsidRDefault="007241BC" w:rsidP="006641B5">
            <w:pPr>
              <w:shd w:val="clear" w:color="auto" w:fill="FFFFFF"/>
              <w:spacing w:before="120" w:after="120" w:line="240" w:lineRule="auto"/>
              <w:jc w:val="center"/>
              <w:rPr>
                <w:rFonts w:eastAsia="Calibri" w:cs="Calibri"/>
                <w:noProof/>
                <w:sz w:val="16"/>
                <w:szCs w:val="16"/>
              </w:rPr>
            </w:pPr>
            <w:r>
              <w:rPr>
                <w:rFonts w:eastAsia="Calibri" w:cs="Calibri"/>
                <w:noProof/>
                <w:sz w:val="16"/>
                <w:szCs w:val="16"/>
              </w:rPr>
              <w:t>s</w:t>
            </w:r>
            <w:r w:rsidR="006641B5" w:rsidRPr="006641B5">
              <w:rPr>
                <w:rFonts w:eastAsia="Calibri" w:cs="Calibri"/>
                <w:noProof/>
                <w:sz w:val="16"/>
                <w:szCs w:val="16"/>
              </w:rPr>
              <w:t>zt</w:t>
            </w:r>
            <w:r>
              <w:rPr>
                <w:rFonts w:eastAsia="Calibri" w:cs="Calibri"/>
                <w:noProof/>
                <w:sz w:val="16"/>
                <w:szCs w:val="16"/>
              </w:rPr>
              <w:t>.</w:t>
            </w:r>
          </w:p>
        </w:tc>
        <w:tc>
          <w:tcPr>
            <w:tcW w:w="592" w:type="pct"/>
            <w:vAlign w:val="center"/>
          </w:tcPr>
          <w:p w14:paraId="1F4A28D8"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0,00</w:t>
            </w:r>
          </w:p>
        </w:tc>
        <w:tc>
          <w:tcPr>
            <w:tcW w:w="341" w:type="pct"/>
            <w:shd w:val="clear" w:color="auto" w:fill="auto"/>
            <w:vAlign w:val="center"/>
          </w:tcPr>
          <w:p w14:paraId="7B0D997E"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2022</w:t>
            </w:r>
          </w:p>
        </w:tc>
        <w:tc>
          <w:tcPr>
            <w:tcW w:w="408" w:type="pct"/>
            <w:shd w:val="clear" w:color="auto" w:fill="auto"/>
            <w:vAlign w:val="center"/>
          </w:tcPr>
          <w:p w14:paraId="53C66B5C"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36</w:t>
            </w:r>
          </w:p>
        </w:tc>
        <w:tc>
          <w:tcPr>
            <w:tcW w:w="407" w:type="pct"/>
            <w:vAlign w:val="center"/>
          </w:tcPr>
          <w:p w14:paraId="7E119A89"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SL</w:t>
            </w:r>
          </w:p>
        </w:tc>
        <w:tc>
          <w:tcPr>
            <w:tcW w:w="405" w:type="pct"/>
            <w:vAlign w:val="center"/>
          </w:tcPr>
          <w:p w14:paraId="04626C1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p>
        </w:tc>
      </w:tr>
      <w:tr w:rsidR="006641B5" w:rsidRPr="006641B5" w14:paraId="210EB37F" w14:textId="77777777" w:rsidTr="00483576">
        <w:trPr>
          <w:trHeight w:val="340"/>
        </w:trPr>
        <w:tc>
          <w:tcPr>
            <w:tcW w:w="5000" w:type="pct"/>
            <w:gridSpan w:val="11"/>
          </w:tcPr>
          <w:p w14:paraId="281D6059"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Metodologia:</w:t>
            </w:r>
          </w:p>
          <w:p w14:paraId="0A0603BD"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Wskaźnik realizuje kod interwencji:</w:t>
            </w:r>
          </w:p>
          <w:p w14:paraId="23CA0F20" w14:textId="77777777" w:rsidR="006641B5" w:rsidRPr="006641B5" w:rsidRDefault="006641B5" w:rsidP="006641B5">
            <w:pPr>
              <w:numPr>
                <w:ilvl w:val="0"/>
                <w:numId w:val="12"/>
              </w:numPr>
              <w:shd w:val="clear" w:color="auto" w:fill="FFFFFF"/>
              <w:spacing w:beforeLines="60" w:before="144" w:afterLines="60" w:after="144" w:line="240" w:lineRule="auto"/>
              <w:ind w:left="770"/>
              <w:contextualSpacing/>
              <w:jc w:val="both"/>
              <w:rPr>
                <w:rFonts w:eastAsia="Calibri" w:cs="Calibri"/>
              </w:rPr>
            </w:pPr>
            <w:r w:rsidRPr="006641B5">
              <w:rPr>
                <w:rFonts w:eastAsia="Calibri" w:cs="Calibri"/>
              </w:rPr>
              <w:t>158 Działania w celu zwiększenia równego i szybkiego dostępu do dobrej jakości trwałych i przystępnych cenowo usług społecznych (22 000 000 EUR);</w:t>
            </w:r>
          </w:p>
          <w:p w14:paraId="19B31193" w14:textId="77777777" w:rsidR="006641B5" w:rsidRPr="006641B5" w:rsidRDefault="006641B5" w:rsidP="006641B5">
            <w:pPr>
              <w:shd w:val="clear" w:color="auto" w:fill="FFFFFF"/>
              <w:spacing w:beforeLines="60" w:before="144" w:afterLines="60" w:after="144" w:line="240" w:lineRule="auto"/>
              <w:ind w:left="410"/>
              <w:contextualSpacing/>
              <w:jc w:val="both"/>
              <w:rPr>
                <w:rFonts w:eastAsia="Calibri" w:cs="Calibri"/>
              </w:rPr>
            </w:pPr>
          </w:p>
          <w:p w14:paraId="05B5EACE" w14:textId="77777777" w:rsidR="006641B5" w:rsidRPr="006641B5" w:rsidRDefault="006641B5" w:rsidP="006641B5">
            <w:pPr>
              <w:shd w:val="clear" w:color="auto" w:fill="FFFFFF"/>
              <w:spacing w:beforeLines="60" w:before="144" w:afterLines="60" w:after="144" w:line="240" w:lineRule="auto"/>
              <w:contextualSpacing/>
              <w:jc w:val="both"/>
              <w:rPr>
                <w:rFonts w:eastAsia="Calibri" w:cs="Calibri"/>
              </w:rPr>
            </w:pPr>
            <w:r w:rsidRPr="006641B5">
              <w:rPr>
                <w:rFonts w:eastAsia="Calibri" w:cs="Calibri"/>
              </w:rPr>
              <w:t>Biorąc pod uwagę kurs EUR na poziomie 4,45 alokacja na realizację wskaźnika wynosi 97 900 000 PLN.</w:t>
            </w:r>
          </w:p>
          <w:p w14:paraId="2EFD8F5E" w14:textId="77777777" w:rsidR="006641B5" w:rsidRPr="006641B5" w:rsidRDefault="006641B5" w:rsidP="006641B5">
            <w:pPr>
              <w:shd w:val="clear" w:color="auto" w:fill="FFFFFF"/>
              <w:spacing w:beforeLines="60" w:before="144" w:afterLines="60" w:after="144" w:line="240" w:lineRule="auto"/>
              <w:contextualSpacing/>
              <w:jc w:val="both"/>
              <w:rPr>
                <w:rFonts w:eastAsia="Calibri" w:cs="Calibri"/>
              </w:rPr>
            </w:pPr>
          </w:p>
          <w:p w14:paraId="5071DB45" w14:textId="5D338EEF" w:rsidR="006641B5" w:rsidRPr="006641B5" w:rsidRDefault="006641B5" w:rsidP="006641B5">
            <w:pPr>
              <w:shd w:val="clear" w:color="auto" w:fill="FFFFFF"/>
              <w:spacing w:beforeLines="60" w:before="144" w:afterLines="60" w:after="144" w:line="240" w:lineRule="auto"/>
              <w:contextualSpacing/>
              <w:jc w:val="both"/>
              <w:rPr>
                <w:rFonts w:eastAsia="Calibri" w:cs="Calibri"/>
              </w:rPr>
            </w:pPr>
            <w:r w:rsidRPr="006641B5">
              <w:rPr>
                <w:rFonts w:eastAsia="Calibri" w:cs="Calibri"/>
              </w:rPr>
              <w:t xml:space="preserve">Bazując na założeniach przyjętych do wyliczenia wartości docelowej wskaźnika </w:t>
            </w:r>
            <w:r w:rsidR="009D0ECB" w:rsidRPr="009D0ECB">
              <w:rPr>
                <w:rFonts w:eastAsia="Calibri" w:cs="Calibri"/>
              </w:rPr>
              <w:t>PLKLCR02</w:t>
            </w:r>
            <w:r w:rsidRPr="006641B5">
              <w:rPr>
                <w:rFonts w:eastAsia="Calibri" w:cs="Calibri"/>
              </w:rPr>
              <w:t xml:space="preserve"> Liczba utworzonych miejsc świadczenia usług w społeczności lokalnej w ramach celu szczegółowego 4.11, tj. utworzenia 170 miejsc świadczenia usług w społeczności lokalnej w ramach alokacji w kwocie 319 772 038,25 PLN (71 858 885 EUR w ramach kodu 158) przyjmuje się koszt jednostkowy na poziomie 1 881 012 PLN. </w:t>
            </w:r>
          </w:p>
          <w:p w14:paraId="3AF5C2E7"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 xml:space="preserve">Jednocześnie na podstawie </w:t>
            </w:r>
            <w:proofErr w:type="spellStart"/>
            <w:r w:rsidRPr="006641B5">
              <w:rPr>
                <w:rFonts w:eastAsia="Calibri" w:cs="Calibri"/>
              </w:rPr>
              <w:t>ryzyk</w:t>
            </w:r>
            <w:proofErr w:type="spellEnd"/>
            <w:r w:rsidRPr="006641B5">
              <w:rPr>
                <w:rFonts w:eastAsia="Calibri" w:cs="Calibri"/>
              </w:rPr>
              <w:t xml:space="preserve"> związanych z realizacją tego typu projektów określono wskaźnik kompensacji: </w:t>
            </w:r>
          </w:p>
          <w:p w14:paraId="0142F3C9"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R: [(1*3)+(8*25)+(2*68)]/11 = 30,8%. Wartość zaokrąglono do pełnej wartości 31%.</w:t>
            </w:r>
          </w:p>
          <w:p w14:paraId="008F0DA9"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Wyliczenie:</w:t>
            </w:r>
          </w:p>
          <w:p w14:paraId="0B0BC33F" w14:textId="77777777" w:rsidR="006641B5" w:rsidRPr="006641B5" w:rsidRDefault="006641B5" w:rsidP="006641B5">
            <w:pPr>
              <w:shd w:val="clear" w:color="auto" w:fill="FFFFFF"/>
              <w:spacing w:beforeLines="60" w:before="144" w:afterLines="60" w:after="144" w:line="240" w:lineRule="auto"/>
              <w:jc w:val="both"/>
              <w:rPr>
                <w:rFonts w:eastAsia="Calibri" w:cs="Calibri"/>
              </w:rPr>
            </w:pPr>
            <w:r w:rsidRPr="006641B5">
              <w:rPr>
                <w:rFonts w:eastAsia="Calibri" w:cs="Calibri"/>
              </w:rPr>
              <w:t xml:space="preserve"> 97 900 000/1 881 012  * (1-0,31) =  ok. 36 szt.</w:t>
            </w:r>
          </w:p>
          <w:p w14:paraId="5D4E055D" w14:textId="77777777" w:rsidR="006641B5" w:rsidRPr="006641B5" w:rsidRDefault="006641B5" w:rsidP="006641B5">
            <w:pPr>
              <w:shd w:val="clear" w:color="auto" w:fill="FFFFFF"/>
              <w:spacing w:beforeLines="60" w:before="144" w:afterLines="60" w:after="144" w:line="240" w:lineRule="auto"/>
              <w:jc w:val="both"/>
              <w:rPr>
                <w:rFonts w:eastAsia="Calibri" w:cs="Calibri"/>
                <w:color w:val="000000"/>
              </w:rPr>
            </w:pPr>
            <w:r w:rsidRPr="006641B5">
              <w:rPr>
                <w:rFonts w:eastAsia="Calibri" w:cs="Calibri"/>
                <w:color w:val="000000"/>
              </w:rPr>
              <w:t>Należy zwrócić szczególną uwagę na następujące (</w:t>
            </w:r>
            <w:r w:rsidRPr="006641B5">
              <w:rPr>
                <w:rFonts w:eastAsia="Calibri" w:cs="Calibri"/>
                <w:color w:val="000000"/>
                <w:u w:val="single"/>
              </w:rPr>
              <w:t>ogólne</w:t>
            </w:r>
            <w:r w:rsidRPr="006641B5">
              <w:rPr>
                <w:rFonts w:eastAsia="Calibri" w:cs="Calibri"/>
                <w:color w:val="000000"/>
              </w:rPr>
              <w:t>) czynniki ryzyka, które mogą mieć wpływ na poziom osiągnięcia założonej wartości docelowej:</w:t>
            </w:r>
          </w:p>
          <w:p w14:paraId="15309834" w14:textId="77777777" w:rsidR="006641B5" w:rsidRPr="006641B5" w:rsidRDefault="006641B5" w:rsidP="00EA08E0">
            <w:pPr>
              <w:numPr>
                <w:ilvl w:val="0"/>
                <w:numId w:val="104"/>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walutowe</w:t>
            </w:r>
            <w:r w:rsidRPr="006641B5">
              <w:rPr>
                <w:rFonts w:eastAsia="Calibri" w:cs="Calibri"/>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(istotność: poważna)</w:t>
            </w:r>
          </w:p>
          <w:p w14:paraId="044BADFA" w14:textId="77777777" w:rsidR="006641B5" w:rsidRPr="006641B5" w:rsidRDefault="006641B5" w:rsidP="00EA08E0">
            <w:pPr>
              <w:numPr>
                <w:ilvl w:val="0"/>
                <w:numId w:val="104"/>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color w:val="000000"/>
              </w:rPr>
              <w:t>zawieszenie płatności przez KE dla danej osi priorytetowej</w:t>
            </w:r>
            <w:r w:rsidRPr="006641B5">
              <w:rPr>
                <w:rFonts w:eastAsia="Calibri" w:cs="Calibri"/>
                <w:color w:val="000000"/>
              </w:rPr>
              <w:t>; (istotność: umiarkowana)</w:t>
            </w:r>
          </w:p>
          <w:p w14:paraId="665E144E" w14:textId="77777777" w:rsidR="006641B5" w:rsidRPr="006641B5" w:rsidRDefault="006641B5" w:rsidP="00EA08E0">
            <w:pPr>
              <w:numPr>
                <w:ilvl w:val="0"/>
                <w:numId w:val="104"/>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bCs/>
                <w:color w:val="000000"/>
              </w:rPr>
              <w:t xml:space="preserve">czynniki które mogą wpłynąć na harmonogram realizacji planów działania dot. spełnienia warunków wstępnych (ex </w:t>
            </w:r>
            <w:proofErr w:type="spellStart"/>
            <w:r w:rsidRPr="006641B5">
              <w:rPr>
                <w:rFonts w:eastAsia="Calibri" w:cs="Calibri"/>
                <w:b/>
                <w:bCs/>
                <w:color w:val="000000"/>
              </w:rPr>
              <w:t>ante</w:t>
            </w:r>
            <w:proofErr w:type="spellEnd"/>
            <w:r w:rsidRPr="006641B5">
              <w:rPr>
                <w:rFonts w:eastAsia="Calibri" w:cs="Calibri"/>
                <w:b/>
                <w:bCs/>
                <w:color w:val="000000"/>
              </w:rPr>
              <w:t>),</w:t>
            </w:r>
            <w:r w:rsidRPr="006641B5">
              <w:rPr>
                <w:rFonts w:eastAsia="Calibri" w:cs="Calibri"/>
                <w:color w:val="000000"/>
              </w:rPr>
              <w:t xml:space="preserve"> a które są poza kompetencjami IZ oraz instytucji odpowiedzialnych za spełnienie tych warunków; (istotność: umiarkowana)</w:t>
            </w:r>
          </w:p>
          <w:p w14:paraId="423DCEED" w14:textId="77777777" w:rsidR="006641B5" w:rsidRPr="006641B5" w:rsidRDefault="006641B5" w:rsidP="00EA08E0">
            <w:pPr>
              <w:numPr>
                <w:ilvl w:val="0"/>
                <w:numId w:val="104"/>
              </w:numPr>
              <w:shd w:val="clear" w:color="auto" w:fill="FFFFFF"/>
              <w:spacing w:beforeLines="60" w:before="144" w:afterLines="60" w:after="144" w:line="240" w:lineRule="auto"/>
              <w:contextualSpacing/>
              <w:jc w:val="both"/>
              <w:rPr>
                <w:rFonts w:eastAsia="Calibri" w:cs="Calibri"/>
                <w:color w:val="000000"/>
              </w:rPr>
            </w:pPr>
            <w:r w:rsidRPr="006641B5">
              <w:rPr>
                <w:rFonts w:eastAsia="Calibri" w:cs="Calibri"/>
                <w:b/>
                <w:color w:val="000000"/>
              </w:rPr>
              <w:t>ostateczne ustalenia dot. Występowania i poziomu pomocy publicznej</w:t>
            </w:r>
            <w:r w:rsidRPr="006641B5">
              <w:rPr>
                <w:rFonts w:eastAsia="Calibri" w:cs="Calibri"/>
                <w:color w:val="000000"/>
              </w:rPr>
              <w:t>; (istotność: umiarkowana)</w:t>
            </w:r>
          </w:p>
          <w:p w14:paraId="583824BA" w14:textId="77777777" w:rsidR="006641B5" w:rsidRPr="006641B5" w:rsidRDefault="006641B5" w:rsidP="00EA08E0">
            <w:pPr>
              <w:numPr>
                <w:ilvl w:val="0"/>
                <w:numId w:val="104"/>
              </w:numPr>
              <w:shd w:val="clear" w:color="auto" w:fill="FFFFFF"/>
              <w:spacing w:beforeLines="60" w:before="144" w:afterLines="60" w:after="144" w:line="240" w:lineRule="auto"/>
              <w:contextualSpacing/>
              <w:jc w:val="both"/>
              <w:rPr>
                <w:rFonts w:eastAsia="Calibri" w:cs="Calibri"/>
                <w:b/>
                <w:color w:val="000000"/>
              </w:rPr>
            </w:pPr>
            <w:r w:rsidRPr="006641B5">
              <w:rPr>
                <w:rFonts w:eastAsia="Calibri" w:cs="Calibri"/>
                <w:b/>
                <w:color w:val="000000"/>
              </w:rPr>
              <w:t>opóźnienia, bądź niewykonanie projektu związane z procedurami wynikającymi z zamówień publicznych</w:t>
            </w:r>
            <w:r w:rsidRPr="006641B5">
              <w:rPr>
                <w:rFonts w:eastAsia="Calibri" w:cs="Calibri"/>
                <w:bCs/>
                <w:color w:val="000000"/>
              </w:rPr>
              <w:t>; (istotność: poważna)</w:t>
            </w:r>
          </w:p>
          <w:p w14:paraId="7CE5CA1C" w14:textId="77777777" w:rsidR="006641B5" w:rsidRPr="006641B5" w:rsidRDefault="006641B5" w:rsidP="00EA08E0">
            <w:pPr>
              <w:numPr>
                <w:ilvl w:val="0"/>
                <w:numId w:val="104"/>
              </w:numPr>
              <w:shd w:val="clear" w:color="auto" w:fill="FFFFFF"/>
              <w:spacing w:beforeLines="60" w:before="144" w:afterLines="60" w:after="144" w:line="240" w:lineRule="auto"/>
              <w:contextualSpacing/>
              <w:jc w:val="both"/>
              <w:rPr>
                <w:rFonts w:eastAsia="Calibri" w:cs="Calibri"/>
                <w:bCs/>
                <w:color w:val="000000"/>
              </w:rPr>
            </w:pPr>
            <w:r w:rsidRPr="006641B5">
              <w:rPr>
                <w:rFonts w:eastAsia="Calibri" w:cs="Calibri"/>
                <w:b/>
                <w:color w:val="000000"/>
              </w:rPr>
              <w:t xml:space="preserve">wpływ pandemii koronawirusa SARS-CoV-2 </w:t>
            </w:r>
            <w:r w:rsidRPr="006641B5">
              <w:rPr>
                <w:rFonts w:eastAsia="Calibri" w:cs="Calibri"/>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16878C82" w14:textId="77777777" w:rsidR="006641B5" w:rsidRPr="006641B5" w:rsidRDefault="006641B5" w:rsidP="006641B5">
            <w:pPr>
              <w:shd w:val="clear" w:color="auto" w:fill="FFFFFF"/>
              <w:spacing w:before="100" w:beforeAutospacing="1" w:after="60" w:line="240" w:lineRule="auto"/>
              <w:jc w:val="both"/>
              <w:rPr>
                <w:rFonts w:eastAsia="Calibri" w:cs="Calibri"/>
                <w:bCs/>
                <w:color w:val="000000"/>
              </w:rPr>
            </w:pPr>
            <w:r w:rsidRPr="006641B5">
              <w:rPr>
                <w:rFonts w:eastAsia="Calibri" w:cs="Calibri"/>
                <w:bCs/>
                <w:color w:val="000000"/>
              </w:rPr>
              <w:t xml:space="preserve">Z uwagi na specyfikę projektów społecznych należy wziąć pod uwagę kolejne ryzyka </w:t>
            </w:r>
            <w:r w:rsidRPr="006641B5">
              <w:rPr>
                <w:rFonts w:eastAsia="Calibri" w:cs="Calibri"/>
                <w:bCs/>
                <w:color w:val="000000"/>
                <w:u w:val="single"/>
              </w:rPr>
              <w:t>szczegółowe</w:t>
            </w:r>
            <w:r w:rsidRPr="006641B5">
              <w:rPr>
                <w:rFonts w:eastAsia="Calibri" w:cs="Calibri"/>
                <w:bCs/>
                <w:color w:val="000000"/>
              </w:rPr>
              <w:t>:</w:t>
            </w:r>
            <w:r w:rsidRPr="006641B5">
              <w:rPr>
                <w:rFonts w:eastAsia="Calibri" w:cs="Calibri"/>
                <w:color w:val="000000"/>
              </w:rPr>
              <w:tab/>
            </w:r>
          </w:p>
          <w:p w14:paraId="69262646" w14:textId="77777777" w:rsidR="006641B5" w:rsidRPr="006641B5" w:rsidRDefault="006641B5" w:rsidP="00EA08E0">
            <w:pPr>
              <w:numPr>
                <w:ilvl w:val="0"/>
                <w:numId w:val="105"/>
              </w:numPr>
              <w:spacing w:beforeLines="60" w:before="144" w:afterLines="60" w:after="144" w:line="240" w:lineRule="auto"/>
              <w:contextualSpacing/>
              <w:jc w:val="both"/>
              <w:rPr>
                <w:rFonts w:eastAsia="Calibri" w:cs="Calibri"/>
                <w:color w:val="000000"/>
              </w:rPr>
            </w:pPr>
            <w:r w:rsidRPr="006641B5">
              <w:rPr>
                <w:rFonts w:eastAsia="Calibri" w:cs="Calibri"/>
                <w:color w:val="000000"/>
              </w:rPr>
              <w:t xml:space="preserve">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w:t>
            </w:r>
            <w:r w:rsidRPr="006641B5">
              <w:rPr>
                <w:rFonts w:eastAsia="Calibri" w:cs="Calibri"/>
                <w:color w:val="000000"/>
              </w:rPr>
              <w:lastRenderedPageBreak/>
              <w:t xml:space="preserve">gospodarczych lub społecznych, zaplanowana forma wsparcia (na którą odpowiada wskaźnik) nie będzie cieszyła się </w:t>
            </w:r>
            <w:r w:rsidRPr="006641B5">
              <w:rPr>
                <w:rFonts w:eastAsia="Calibri" w:cs="Calibri"/>
                <w:b/>
                <w:color w:val="000000"/>
              </w:rPr>
              <w:t>powodzeniem beneficjentów</w:t>
            </w:r>
            <w:r w:rsidRPr="006641B5">
              <w:rPr>
                <w:rFonts w:eastAsia="Calibri" w:cs="Calibri"/>
                <w:color w:val="000000"/>
              </w:rPr>
              <w:t>. Należy mieć wówczas możliwość kierowania wsparcia w ramach innego typu przedsięwzięcia, bez obawy nieosiągnięcia zaplanowanego do osiągnięcia wskaźnika; (istotność: umiarkowana)</w:t>
            </w:r>
          </w:p>
          <w:p w14:paraId="77973D78" w14:textId="77777777" w:rsidR="006641B5" w:rsidRPr="006641B5" w:rsidRDefault="006641B5" w:rsidP="00EA08E0">
            <w:pPr>
              <w:numPr>
                <w:ilvl w:val="0"/>
                <w:numId w:val="105"/>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zmieniającej się ceny</w:t>
            </w:r>
            <w:r w:rsidRPr="006641B5">
              <w:rPr>
                <w:rFonts w:eastAsia="Calibri" w:cs="Calibri"/>
                <w:color w:val="000000"/>
              </w:rPr>
              <w:t xml:space="preserve"> – ryzyko ściśle związane z niekorzystnymi zmianami cen usług świadczonych przez przedsiębiorstwa, organizacje, urzędy oraz stowarzyszenia. Także wprowadzenie nowych standardów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(istotność: umiarkowana)</w:t>
            </w:r>
          </w:p>
          <w:p w14:paraId="001E0FF8" w14:textId="77777777" w:rsidR="006641B5" w:rsidRPr="006641B5" w:rsidRDefault="006641B5" w:rsidP="00EA08E0">
            <w:pPr>
              <w:numPr>
                <w:ilvl w:val="0"/>
                <w:numId w:val="105"/>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realizacji projektów o niższej efektywności niż dotychczas</w:t>
            </w:r>
            <w:r w:rsidRPr="006641B5">
              <w:rPr>
                <w:rFonts w:eastAsia="Calibri" w:cs="Calibri"/>
                <w:color w:val="000000"/>
              </w:rPr>
              <w:t xml:space="preserve"> – perspektywa finansowa na lata 2021-2027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(istotność: umiarkowana)</w:t>
            </w:r>
          </w:p>
          <w:p w14:paraId="1C575BD0" w14:textId="77777777" w:rsidR="006641B5" w:rsidRPr="006641B5" w:rsidRDefault="006641B5" w:rsidP="00EA08E0">
            <w:pPr>
              <w:numPr>
                <w:ilvl w:val="0"/>
                <w:numId w:val="105"/>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wniesienia wkładu własnego przez beneficjentów</w:t>
            </w:r>
            <w:r w:rsidRPr="006641B5">
              <w:rPr>
                <w:rFonts w:eastAsia="Calibri" w:cs="Calibri"/>
                <w:color w:val="000000"/>
              </w:rPr>
              <w:t xml:space="preserve"> – w związku z koniecznością wniesienia wkładu własnego przez beneficjentów, istnieje ryzyko, iż nie wszyscy zainteresowani beneficjenci będą wstanie wnieść wkład własny do planowanych projektów, co w konsekwencji znacznie ograniczy grupę potencjalnych podmiotów ubiegających się o finansowanie. Powyższe ryzyko w znaczącym stopniu dotyczy projektów współfinansowanych z EFS, w których dotychczas wkład własny był zapewniany przez budżet państwa; (istotność: umiarkowana)</w:t>
            </w:r>
          </w:p>
          <w:p w14:paraId="5E69EF50" w14:textId="77777777" w:rsidR="006641B5" w:rsidRPr="006641B5" w:rsidRDefault="006641B5" w:rsidP="00EA08E0">
            <w:pPr>
              <w:numPr>
                <w:ilvl w:val="0"/>
                <w:numId w:val="105"/>
              </w:numPr>
              <w:spacing w:beforeLines="60" w:before="144" w:afterLines="60" w:after="144" w:line="240" w:lineRule="auto"/>
              <w:contextualSpacing/>
              <w:jc w:val="both"/>
              <w:rPr>
                <w:rFonts w:eastAsia="Calibri" w:cs="Calibri"/>
                <w:color w:val="000000"/>
              </w:rPr>
            </w:pPr>
            <w:r w:rsidRPr="006641B5">
              <w:rPr>
                <w:rFonts w:eastAsia="Calibri" w:cs="Calibri"/>
                <w:b/>
                <w:color w:val="000000"/>
              </w:rPr>
              <w:t>ryzyko niezdefiniowane</w:t>
            </w:r>
            <w:r w:rsidRPr="006641B5">
              <w:rPr>
                <w:rFonts w:eastAsia="Calibri" w:cs="Calibri"/>
                <w:color w:val="000000"/>
              </w:rPr>
              <w:t xml:space="preserve"> – na poziom osiągnięcia wartości docelowych założonych w FEDŚ 2021-2027 wskaźników mogą mieć wpływ inne – niezdefiniowane i nierozpoznane czynniki, które znacznie utrudnią lub też uniemożliwią osiągniecie założonych rezultatów; (istotność: niska)</w:t>
            </w:r>
          </w:p>
        </w:tc>
      </w:tr>
    </w:tbl>
    <w:p w14:paraId="1763DD82" w14:textId="4E88D585" w:rsidR="006641B5" w:rsidRDefault="006641B5" w:rsidP="002C70B7">
      <w:pPr>
        <w:keepNext/>
        <w:keepLines/>
        <w:spacing w:before="200"/>
        <w:jc w:val="both"/>
        <w:outlineLvl w:val="1"/>
        <w:rPr>
          <w:rFonts w:eastAsia="Calibri"/>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071"/>
        <w:gridCol w:w="618"/>
        <w:gridCol w:w="739"/>
        <w:gridCol w:w="737"/>
        <w:gridCol w:w="736"/>
      </w:tblGrid>
      <w:tr w:rsidR="006641B5" w:rsidRPr="006641B5" w14:paraId="453B5364" w14:textId="77777777" w:rsidTr="00483576">
        <w:trPr>
          <w:cantSplit/>
          <w:trHeight w:val="1647"/>
        </w:trPr>
        <w:tc>
          <w:tcPr>
            <w:tcW w:w="338" w:type="pct"/>
            <w:shd w:val="clear" w:color="auto" w:fill="auto"/>
            <w:vAlign w:val="center"/>
          </w:tcPr>
          <w:p w14:paraId="6E2B1D55"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CP 6</w:t>
            </w:r>
          </w:p>
          <w:p w14:paraId="07114496"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szczegółowy</w:t>
            </w:r>
          </w:p>
        </w:tc>
        <w:tc>
          <w:tcPr>
            <w:tcW w:w="367" w:type="pct"/>
            <w:shd w:val="clear" w:color="auto" w:fill="auto"/>
            <w:vAlign w:val="center"/>
          </w:tcPr>
          <w:p w14:paraId="3C80E7F6"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Fundusz</w:t>
            </w:r>
          </w:p>
        </w:tc>
        <w:tc>
          <w:tcPr>
            <w:tcW w:w="415" w:type="pct"/>
            <w:shd w:val="clear" w:color="auto" w:fill="auto"/>
            <w:vAlign w:val="center"/>
          </w:tcPr>
          <w:p w14:paraId="384FAE6C"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Kategoria regionu</w:t>
            </w:r>
          </w:p>
        </w:tc>
        <w:tc>
          <w:tcPr>
            <w:tcW w:w="268" w:type="pct"/>
            <w:shd w:val="clear" w:color="auto" w:fill="auto"/>
            <w:textDirection w:val="btLr"/>
            <w:vAlign w:val="center"/>
          </w:tcPr>
          <w:p w14:paraId="63E327D8" w14:textId="77777777" w:rsidR="006641B5" w:rsidRPr="006641B5" w:rsidRDefault="006641B5" w:rsidP="006641B5">
            <w:pPr>
              <w:shd w:val="clear" w:color="auto" w:fill="FFFFFF"/>
              <w:spacing w:before="120" w:after="120" w:line="240" w:lineRule="auto"/>
              <w:ind w:right="113"/>
              <w:jc w:val="center"/>
              <w:rPr>
                <w:rFonts w:eastAsia="Calibri" w:cs="Calibri"/>
                <w:b/>
                <w:noProof/>
                <w:sz w:val="16"/>
                <w:szCs w:val="16"/>
              </w:rPr>
            </w:pPr>
            <w:r w:rsidRPr="006641B5">
              <w:rPr>
                <w:rFonts w:eastAsia="Calibri" w:cs="Calibri"/>
                <w:b/>
                <w:noProof/>
                <w:sz w:val="16"/>
                <w:szCs w:val="16"/>
              </w:rPr>
              <w:t>Nr identyfikacyjny [5]</w:t>
            </w:r>
          </w:p>
        </w:tc>
        <w:tc>
          <w:tcPr>
            <w:tcW w:w="1050" w:type="pct"/>
            <w:shd w:val="clear" w:color="auto" w:fill="auto"/>
            <w:vAlign w:val="center"/>
          </w:tcPr>
          <w:p w14:paraId="1C7C75AB"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Wskaźnik [255]</w:t>
            </w:r>
          </w:p>
        </w:tc>
        <w:tc>
          <w:tcPr>
            <w:tcW w:w="409" w:type="pct"/>
            <w:shd w:val="clear" w:color="auto" w:fill="auto"/>
            <w:textDirection w:val="btLr"/>
            <w:vAlign w:val="center"/>
          </w:tcPr>
          <w:p w14:paraId="6DBADFAF" w14:textId="77777777" w:rsidR="006641B5" w:rsidRPr="006641B5" w:rsidRDefault="006641B5" w:rsidP="006641B5">
            <w:pPr>
              <w:shd w:val="clear" w:color="auto" w:fill="FFFFFF"/>
              <w:spacing w:before="120" w:after="120" w:line="240" w:lineRule="auto"/>
              <w:ind w:left="113" w:right="113"/>
              <w:jc w:val="center"/>
              <w:rPr>
                <w:rFonts w:eastAsia="Calibri" w:cs="Calibri"/>
                <w:b/>
                <w:noProof/>
                <w:sz w:val="16"/>
                <w:szCs w:val="16"/>
              </w:rPr>
            </w:pPr>
            <w:r w:rsidRPr="006641B5">
              <w:rPr>
                <w:rFonts w:eastAsia="Calibri" w:cs="Calibri"/>
                <w:b/>
                <w:noProof/>
                <w:sz w:val="16"/>
                <w:szCs w:val="16"/>
              </w:rPr>
              <w:t>Jednostka miary</w:t>
            </w:r>
          </w:p>
        </w:tc>
        <w:tc>
          <w:tcPr>
            <w:tcW w:w="591" w:type="pct"/>
            <w:textDirection w:val="btLr"/>
            <w:vAlign w:val="center"/>
          </w:tcPr>
          <w:p w14:paraId="3524301D" w14:textId="77777777" w:rsidR="006641B5" w:rsidRPr="006641B5" w:rsidRDefault="006641B5" w:rsidP="006641B5">
            <w:pPr>
              <w:shd w:val="clear" w:color="auto" w:fill="FFFFFF"/>
              <w:spacing w:before="120" w:after="120" w:line="240" w:lineRule="auto"/>
              <w:ind w:left="113" w:right="113"/>
              <w:jc w:val="center"/>
              <w:rPr>
                <w:rFonts w:eastAsia="Calibri" w:cs="Calibri"/>
                <w:b/>
                <w:noProof/>
                <w:sz w:val="16"/>
                <w:szCs w:val="16"/>
              </w:rPr>
            </w:pPr>
            <w:r w:rsidRPr="006641B5">
              <w:rPr>
                <w:rFonts w:eastAsia="Calibri" w:cs="Calibri"/>
                <w:b/>
                <w:noProof/>
                <w:sz w:val="16"/>
                <w:szCs w:val="16"/>
              </w:rPr>
              <w:t>Wartość bazowa lub wartość odniesienia</w:t>
            </w:r>
          </w:p>
        </w:tc>
        <w:tc>
          <w:tcPr>
            <w:tcW w:w="341" w:type="pct"/>
            <w:shd w:val="clear" w:color="auto" w:fill="auto"/>
            <w:textDirection w:val="btLr"/>
            <w:vAlign w:val="center"/>
          </w:tcPr>
          <w:p w14:paraId="4856A5F8" w14:textId="77777777" w:rsidR="006641B5" w:rsidRPr="006641B5" w:rsidRDefault="006641B5" w:rsidP="006641B5">
            <w:pPr>
              <w:shd w:val="clear" w:color="auto" w:fill="FFFFFF"/>
              <w:spacing w:before="120" w:after="120" w:line="240" w:lineRule="auto"/>
              <w:ind w:left="113" w:right="113"/>
              <w:jc w:val="center"/>
              <w:rPr>
                <w:rFonts w:eastAsia="Calibri" w:cs="Calibri"/>
                <w:b/>
                <w:noProof/>
                <w:sz w:val="16"/>
                <w:szCs w:val="16"/>
              </w:rPr>
            </w:pPr>
            <w:r w:rsidRPr="006641B5">
              <w:rPr>
                <w:rFonts w:eastAsia="Calibri" w:cs="Calibri"/>
                <w:b/>
                <w:noProof/>
                <w:sz w:val="16"/>
                <w:szCs w:val="16"/>
              </w:rPr>
              <w:t>Rok referencyjny</w:t>
            </w:r>
          </w:p>
        </w:tc>
        <w:tc>
          <w:tcPr>
            <w:tcW w:w="408" w:type="pct"/>
            <w:shd w:val="clear" w:color="auto" w:fill="auto"/>
            <w:vAlign w:val="center"/>
          </w:tcPr>
          <w:p w14:paraId="3F2A0857"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Cel (2029)</w:t>
            </w:r>
          </w:p>
          <w:p w14:paraId="4A8EC500"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p>
        </w:tc>
        <w:tc>
          <w:tcPr>
            <w:tcW w:w="407" w:type="pct"/>
            <w:vAlign w:val="center"/>
          </w:tcPr>
          <w:p w14:paraId="62287135"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Zródło danych [200]</w:t>
            </w:r>
          </w:p>
        </w:tc>
        <w:tc>
          <w:tcPr>
            <w:tcW w:w="406" w:type="pct"/>
            <w:vAlign w:val="center"/>
          </w:tcPr>
          <w:p w14:paraId="448BE0C9" w14:textId="77777777" w:rsidR="006641B5" w:rsidRPr="006641B5" w:rsidRDefault="006641B5" w:rsidP="006641B5">
            <w:pPr>
              <w:shd w:val="clear" w:color="auto" w:fill="FFFFFF"/>
              <w:spacing w:before="120" w:after="120" w:line="240" w:lineRule="auto"/>
              <w:jc w:val="center"/>
              <w:rPr>
                <w:rFonts w:eastAsia="Calibri" w:cs="Calibri"/>
                <w:b/>
                <w:noProof/>
                <w:sz w:val="16"/>
                <w:szCs w:val="16"/>
              </w:rPr>
            </w:pPr>
            <w:r w:rsidRPr="006641B5">
              <w:rPr>
                <w:rFonts w:eastAsia="Calibri" w:cs="Calibri"/>
                <w:b/>
                <w:noProof/>
                <w:sz w:val="16"/>
                <w:szCs w:val="16"/>
              </w:rPr>
              <w:t>Uwagi</w:t>
            </w:r>
          </w:p>
        </w:tc>
      </w:tr>
      <w:tr w:rsidR="006641B5" w:rsidRPr="006641B5" w14:paraId="202B8CDD" w14:textId="77777777" w:rsidTr="00483576">
        <w:trPr>
          <w:trHeight w:val="340"/>
        </w:trPr>
        <w:tc>
          <w:tcPr>
            <w:tcW w:w="338" w:type="pct"/>
            <w:shd w:val="clear" w:color="auto" w:fill="auto"/>
            <w:vAlign w:val="center"/>
          </w:tcPr>
          <w:p w14:paraId="0FFAEB0A"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8.1</w:t>
            </w:r>
          </w:p>
        </w:tc>
        <w:tc>
          <w:tcPr>
            <w:tcW w:w="367" w:type="pct"/>
            <w:shd w:val="clear" w:color="auto" w:fill="auto"/>
            <w:vAlign w:val="center"/>
          </w:tcPr>
          <w:p w14:paraId="28178B97"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FST</w:t>
            </w:r>
          </w:p>
        </w:tc>
        <w:tc>
          <w:tcPr>
            <w:tcW w:w="415" w:type="pct"/>
            <w:shd w:val="clear" w:color="auto" w:fill="auto"/>
            <w:vAlign w:val="center"/>
          </w:tcPr>
          <w:p w14:paraId="2A52F919"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przejściowy</w:t>
            </w:r>
          </w:p>
        </w:tc>
        <w:tc>
          <w:tcPr>
            <w:tcW w:w="268" w:type="pct"/>
            <w:shd w:val="clear" w:color="auto" w:fill="auto"/>
            <w:vAlign w:val="center"/>
          </w:tcPr>
          <w:p w14:paraId="4C2AF45F"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PLFCR 01</w:t>
            </w:r>
          </w:p>
        </w:tc>
        <w:tc>
          <w:tcPr>
            <w:tcW w:w="1050" w:type="pct"/>
            <w:shd w:val="clear" w:color="auto" w:fill="auto"/>
            <w:vAlign w:val="center"/>
          </w:tcPr>
          <w:p w14:paraId="26EDB482" w14:textId="77777777" w:rsidR="006641B5" w:rsidRPr="006641B5" w:rsidRDefault="006641B5" w:rsidP="006641B5">
            <w:pPr>
              <w:keepNext/>
              <w:keepLines/>
              <w:spacing w:before="200" w:after="0"/>
              <w:jc w:val="center"/>
              <w:outlineLvl w:val="2"/>
              <w:rPr>
                <w:rFonts w:eastAsia="Times New Roman" w:cs="Calibri"/>
                <w:bCs/>
                <w:noProof/>
                <w:sz w:val="16"/>
                <w:szCs w:val="16"/>
              </w:rPr>
            </w:pPr>
            <w:bookmarkStart w:id="412" w:name="_Toc117087815"/>
            <w:bookmarkStart w:id="413" w:name="_Toc120464532"/>
            <w:r w:rsidRPr="006641B5">
              <w:rPr>
                <w:rFonts w:eastAsia="Times New Roman" w:cs="Calibri"/>
                <w:bCs/>
                <w:noProof/>
                <w:sz w:val="16"/>
                <w:szCs w:val="16"/>
              </w:rPr>
              <w:t>Liczba uczniów, którzy nabyli kwalifikacje lub kompetencje po opuszczeniu programu</w:t>
            </w:r>
            <w:bookmarkEnd w:id="412"/>
            <w:bookmarkEnd w:id="413"/>
          </w:p>
        </w:tc>
        <w:tc>
          <w:tcPr>
            <w:tcW w:w="409" w:type="pct"/>
            <w:shd w:val="clear" w:color="auto" w:fill="auto"/>
            <w:vAlign w:val="center"/>
          </w:tcPr>
          <w:p w14:paraId="0832AA75"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osoby</w:t>
            </w:r>
          </w:p>
        </w:tc>
        <w:tc>
          <w:tcPr>
            <w:tcW w:w="591" w:type="pct"/>
            <w:vAlign w:val="center"/>
          </w:tcPr>
          <w:p w14:paraId="1AC20C12"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0,00</w:t>
            </w:r>
          </w:p>
        </w:tc>
        <w:tc>
          <w:tcPr>
            <w:tcW w:w="341" w:type="pct"/>
            <w:shd w:val="clear" w:color="auto" w:fill="auto"/>
            <w:vAlign w:val="center"/>
          </w:tcPr>
          <w:p w14:paraId="2155BF8B"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2022</w:t>
            </w:r>
          </w:p>
        </w:tc>
        <w:tc>
          <w:tcPr>
            <w:tcW w:w="408" w:type="pct"/>
            <w:shd w:val="clear" w:color="auto" w:fill="auto"/>
            <w:vAlign w:val="center"/>
          </w:tcPr>
          <w:p w14:paraId="71A20964"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11 507</w:t>
            </w:r>
          </w:p>
        </w:tc>
        <w:tc>
          <w:tcPr>
            <w:tcW w:w="407" w:type="pct"/>
            <w:vAlign w:val="center"/>
          </w:tcPr>
          <w:p w14:paraId="704F2F9F"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r w:rsidRPr="006641B5">
              <w:rPr>
                <w:rFonts w:eastAsia="Calibri" w:cs="Calibri"/>
                <w:noProof/>
                <w:sz w:val="16"/>
                <w:szCs w:val="16"/>
              </w:rPr>
              <w:t>SL</w:t>
            </w:r>
          </w:p>
        </w:tc>
        <w:tc>
          <w:tcPr>
            <w:tcW w:w="406" w:type="pct"/>
            <w:vAlign w:val="center"/>
          </w:tcPr>
          <w:p w14:paraId="28E2CEFD" w14:textId="77777777" w:rsidR="006641B5" w:rsidRPr="006641B5" w:rsidRDefault="006641B5" w:rsidP="006641B5">
            <w:pPr>
              <w:shd w:val="clear" w:color="auto" w:fill="FFFFFF"/>
              <w:spacing w:before="120" w:after="120" w:line="240" w:lineRule="auto"/>
              <w:jc w:val="center"/>
              <w:rPr>
                <w:rFonts w:eastAsia="Calibri" w:cs="Calibri"/>
                <w:noProof/>
                <w:sz w:val="16"/>
                <w:szCs w:val="16"/>
              </w:rPr>
            </w:pPr>
          </w:p>
        </w:tc>
      </w:tr>
      <w:tr w:rsidR="006641B5" w:rsidRPr="006641B5" w14:paraId="236DDB62" w14:textId="77777777" w:rsidTr="00483576">
        <w:trPr>
          <w:trHeight w:val="340"/>
        </w:trPr>
        <w:tc>
          <w:tcPr>
            <w:tcW w:w="5000" w:type="pct"/>
            <w:gridSpan w:val="11"/>
          </w:tcPr>
          <w:p w14:paraId="41C7C2AB"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Metodologia:</w:t>
            </w:r>
          </w:p>
          <w:p w14:paraId="2783DF6E"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 xml:space="preserve">Wskaźnik rezultatu PLFCR01 wydaje się być adekwatny do wskaźników produktu PLFCO05 i PLCO03, które razem zostały oszacowane na poziomie  25 572 osób. Adekwatny, ale o wiele od nich węższy, to znaczy że wskaźniki produktu mierzą bardzo ogólnie „wsparcie”, a szacowany rezultat - zgodnie z metodologią pomiaru – mierzy nabycie kompetencji lub kwalifikacji rozumianych bardzo precyzyjnie i </w:t>
            </w:r>
            <w:proofErr w:type="spellStart"/>
            <w:r w:rsidRPr="006641B5">
              <w:rPr>
                <w:rFonts w:eastAsia="Calibri" w:cs="Calibri"/>
              </w:rPr>
              <w:t>zwalidowanych</w:t>
            </w:r>
            <w:proofErr w:type="spellEnd"/>
            <w:r w:rsidRPr="006641B5">
              <w:rPr>
                <w:rFonts w:eastAsia="Calibri" w:cs="Calibri"/>
              </w:rPr>
              <w:t xml:space="preserve">. </w:t>
            </w:r>
            <w:r w:rsidRPr="006641B5">
              <w:rPr>
                <w:rFonts w:eastAsia="Calibri" w:cs="Calibri"/>
              </w:rPr>
              <w:br/>
            </w:r>
          </w:p>
          <w:p w14:paraId="091F597A"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Z uwagi na powyższe zakłada się, że wartość docelowa wskaźnika rezultatu to 45% sumy wskaźników produktu: Liczba uczniów szkół i placówek systemu oświaty prowadzących kształcenie ogólne objętych wsparciem oraz Liczba uczniów szkół i placówek kształcenia zawodowego uczestniczących w stażach uczniowskich.</w:t>
            </w:r>
          </w:p>
          <w:p w14:paraId="12B860FC" w14:textId="77777777" w:rsidR="006641B5" w:rsidRPr="006641B5" w:rsidRDefault="006641B5" w:rsidP="006641B5">
            <w:pPr>
              <w:shd w:val="clear" w:color="auto" w:fill="FFFFFF"/>
              <w:spacing w:before="60" w:after="60" w:line="240" w:lineRule="auto"/>
              <w:jc w:val="both"/>
              <w:rPr>
                <w:rFonts w:eastAsia="Calibri" w:cs="Calibri"/>
              </w:rPr>
            </w:pPr>
          </w:p>
          <w:p w14:paraId="466D57D9"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t>Wyliczenie:</w:t>
            </w:r>
          </w:p>
          <w:p w14:paraId="6BCFF16D" w14:textId="77777777" w:rsidR="006641B5" w:rsidRPr="006641B5" w:rsidRDefault="006641B5" w:rsidP="006641B5">
            <w:pPr>
              <w:shd w:val="clear" w:color="auto" w:fill="FFFFFF"/>
              <w:spacing w:before="60" w:after="60" w:line="240" w:lineRule="auto"/>
              <w:jc w:val="both"/>
              <w:rPr>
                <w:rFonts w:eastAsia="Calibri" w:cs="Calibri"/>
              </w:rPr>
            </w:pPr>
            <w:r w:rsidRPr="006641B5">
              <w:rPr>
                <w:rFonts w:eastAsia="Calibri" w:cs="Calibri"/>
              </w:rPr>
              <w:lastRenderedPageBreak/>
              <w:t>(24 184   + 1 388 ) * 45% =  11 507 osób.</w:t>
            </w:r>
          </w:p>
        </w:tc>
      </w:tr>
    </w:tbl>
    <w:p w14:paraId="29F69943" w14:textId="77777777" w:rsidR="006641B5" w:rsidRPr="00412D9C" w:rsidRDefault="006641B5" w:rsidP="002C70B7">
      <w:pPr>
        <w:keepNext/>
        <w:keepLines/>
        <w:spacing w:before="200"/>
        <w:jc w:val="both"/>
        <w:outlineLvl w:val="1"/>
        <w:rPr>
          <w:rFonts w:eastAsia="Calibri"/>
        </w:rPr>
      </w:pPr>
    </w:p>
    <w:p w14:paraId="1EC97AFA" w14:textId="6D708DD3" w:rsidR="000B200D" w:rsidRPr="000B200D" w:rsidRDefault="000B200D" w:rsidP="000B200D">
      <w:pPr>
        <w:rPr>
          <w:b/>
          <w:bCs/>
        </w:rPr>
      </w:pPr>
      <w:r w:rsidRPr="000B200D">
        <w:rPr>
          <w:b/>
          <w:bCs/>
        </w:rPr>
        <w:t>Cel gospodarczy:</w:t>
      </w: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27738BB0" w14:textId="77777777" w:rsidTr="001D52F2">
        <w:trPr>
          <w:cantSplit/>
          <w:trHeight w:val="1647"/>
        </w:trPr>
        <w:tc>
          <w:tcPr>
            <w:tcW w:w="451" w:type="pct"/>
            <w:shd w:val="clear" w:color="auto" w:fill="auto"/>
            <w:vAlign w:val="center"/>
          </w:tcPr>
          <w:p w14:paraId="004D1E7A"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CP 6</w:t>
            </w:r>
          </w:p>
          <w:p w14:paraId="2996E1B9" w14:textId="1F11112E"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1C5E40EA"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66ED168A"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30869B8D" w14:textId="77777777" w:rsidR="002C7A7F" w:rsidRPr="003A6407" w:rsidRDefault="002C7A7F" w:rsidP="001D52F2">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370A4DE2" w14:textId="6CCCC7BB"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215AB2E4"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2F8D9BDD"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66A12840"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4F921D94"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33859A0C"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p>
        </w:tc>
      </w:tr>
      <w:tr w:rsidR="00191FE2" w:rsidRPr="003A6407" w14:paraId="2C8F4448" w14:textId="77777777" w:rsidTr="001D52F2">
        <w:trPr>
          <w:trHeight w:val="340"/>
        </w:trPr>
        <w:tc>
          <w:tcPr>
            <w:tcW w:w="451" w:type="pct"/>
            <w:shd w:val="clear" w:color="auto" w:fill="auto"/>
            <w:vAlign w:val="center"/>
          </w:tcPr>
          <w:p w14:paraId="01E2B7A6" w14:textId="77777777" w:rsidR="002C7A7F"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6 (i)</w:t>
            </w:r>
          </w:p>
          <w:p w14:paraId="16C2A3CD" w14:textId="22B805B3" w:rsidR="00E37971" w:rsidRPr="003A6407" w:rsidRDefault="00E37971" w:rsidP="001D52F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8.1</w:t>
            </w:r>
          </w:p>
        </w:tc>
        <w:tc>
          <w:tcPr>
            <w:tcW w:w="494" w:type="pct"/>
            <w:shd w:val="clear" w:color="auto" w:fill="auto"/>
            <w:vAlign w:val="center"/>
          </w:tcPr>
          <w:p w14:paraId="4412A02D" w14:textId="77777777" w:rsidR="002C7A7F" w:rsidRPr="003A6407"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FST</w:t>
            </w:r>
          </w:p>
        </w:tc>
        <w:tc>
          <w:tcPr>
            <w:tcW w:w="558" w:type="pct"/>
            <w:shd w:val="clear" w:color="auto" w:fill="auto"/>
            <w:vAlign w:val="center"/>
          </w:tcPr>
          <w:p w14:paraId="1997BABD" w14:textId="77777777" w:rsidR="002C7A7F" w:rsidRPr="003A6407"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6CE396B6" w14:textId="77777777" w:rsidR="002C7A7F" w:rsidRPr="003A6407"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 01</w:t>
            </w:r>
          </w:p>
        </w:tc>
        <w:tc>
          <w:tcPr>
            <w:tcW w:w="1206" w:type="pct"/>
            <w:shd w:val="clear" w:color="auto" w:fill="auto"/>
            <w:vAlign w:val="center"/>
          </w:tcPr>
          <w:p w14:paraId="7219AAD7" w14:textId="77777777" w:rsidR="002C7A7F" w:rsidRPr="003A6407" w:rsidRDefault="002C7A7F" w:rsidP="001D52F2">
            <w:pPr>
              <w:keepNext/>
              <w:keepLines/>
              <w:spacing w:before="200" w:after="0"/>
              <w:jc w:val="center"/>
              <w:outlineLvl w:val="2"/>
              <w:rPr>
                <w:rFonts w:eastAsia="Times New Roman" w:cs="Times New Roman"/>
                <w:b/>
                <w:bCs/>
                <w:noProof/>
                <w:sz w:val="16"/>
                <w:szCs w:val="16"/>
              </w:rPr>
            </w:pPr>
            <w:bookmarkStart w:id="414" w:name="_Toc95917155"/>
            <w:bookmarkStart w:id="415" w:name="_Toc97895945"/>
            <w:bookmarkStart w:id="416" w:name="_Toc114662378"/>
            <w:bookmarkStart w:id="417" w:name="_Toc120464533"/>
            <w:r w:rsidRPr="003A6407">
              <w:rPr>
                <w:rFonts w:asciiTheme="minorHAnsi" w:eastAsia="Times New Roman" w:hAnsiTheme="minorHAnsi" w:cstheme="minorHAnsi"/>
                <w:bCs/>
                <w:noProof/>
                <w:sz w:val="16"/>
                <w:szCs w:val="16"/>
              </w:rPr>
              <w:t>Przedsiębiorstwa objęte wsparciem (w tym: mikro, małe, średnie, duże)</w:t>
            </w:r>
            <w:bookmarkEnd w:id="414"/>
            <w:bookmarkEnd w:id="415"/>
            <w:bookmarkEnd w:id="416"/>
            <w:bookmarkEnd w:id="417"/>
          </w:p>
        </w:tc>
        <w:tc>
          <w:tcPr>
            <w:tcW w:w="884" w:type="pct"/>
            <w:shd w:val="clear" w:color="auto" w:fill="auto"/>
            <w:vAlign w:val="center"/>
          </w:tcPr>
          <w:p w14:paraId="5DBBFB81" w14:textId="433FB6B8" w:rsidR="002C7A7F" w:rsidRPr="003A6407" w:rsidRDefault="003956B5" w:rsidP="001D52F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przedsiębiorstwa</w:t>
            </w:r>
          </w:p>
        </w:tc>
        <w:tc>
          <w:tcPr>
            <w:tcW w:w="482" w:type="pct"/>
            <w:shd w:val="clear" w:color="auto" w:fill="auto"/>
            <w:vAlign w:val="center"/>
          </w:tcPr>
          <w:p w14:paraId="0FAC7861" w14:textId="02D96761" w:rsidR="002C7A7F" w:rsidRPr="003A6407" w:rsidRDefault="009E03DD"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0,00</w:t>
            </w:r>
          </w:p>
        </w:tc>
        <w:tc>
          <w:tcPr>
            <w:tcW w:w="502" w:type="pct"/>
            <w:shd w:val="clear" w:color="auto" w:fill="auto"/>
            <w:vAlign w:val="center"/>
          </w:tcPr>
          <w:p w14:paraId="6692E605" w14:textId="7E518EBA" w:rsidR="002C7A7F" w:rsidRPr="003A6407" w:rsidRDefault="00C37117" w:rsidP="001D52F2">
            <w:pPr>
              <w:shd w:val="clear" w:color="auto" w:fill="FFFFFF"/>
              <w:spacing w:before="120" w:after="120" w:line="240" w:lineRule="auto"/>
              <w:jc w:val="center"/>
              <w:rPr>
                <w:rFonts w:eastAsia="Calibri" w:cs="Times New Roman"/>
                <w:noProof/>
                <w:sz w:val="16"/>
                <w:szCs w:val="16"/>
              </w:rPr>
            </w:pPr>
            <w:r w:rsidRPr="00C37117">
              <w:rPr>
                <w:rFonts w:eastAsia="Calibri" w:cs="Times New Roman"/>
                <w:noProof/>
                <w:sz w:val="16"/>
                <w:szCs w:val="16"/>
              </w:rPr>
              <w:t>186</w:t>
            </w:r>
            <w:r w:rsidR="001D52F2" w:rsidRPr="003A6407">
              <w:rPr>
                <w:rFonts w:eastAsia="Calibri" w:cs="Times New Roman"/>
                <w:noProof/>
                <w:sz w:val="16"/>
                <w:szCs w:val="16"/>
              </w:rPr>
              <w:t>,00</w:t>
            </w:r>
          </w:p>
        </w:tc>
      </w:tr>
      <w:tr w:rsidR="002C7A7F" w:rsidRPr="003A6407" w14:paraId="4F061993" w14:textId="77777777" w:rsidTr="002B58A1">
        <w:trPr>
          <w:trHeight w:val="340"/>
        </w:trPr>
        <w:tc>
          <w:tcPr>
            <w:tcW w:w="5000" w:type="pct"/>
            <w:gridSpan w:val="8"/>
            <w:shd w:val="clear" w:color="auto" w:fill="auto"/>
          </w:tcPr>
          <w:p w14:paraId="0F3B384E"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Metodologia:</w:t>
            </w:r>
          </w:p>
          <w:p w14:paraId="6DEBBA03"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Wskaźnik realizuje kod interwencji:</w:t>
            </w:r>
          </w:p>
          <w:p w14:paraId="074BEF58" w14:textId="19DD6644"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w:t>
            </w:r>
            <w:r w:rsidR="003956B5">
              <w:rPr>
                <w:rFonts w:eastAsia="Calibri" w:cs="Times New Roman"/>
              </w:rPr>
              <w:t>5</w:t>
            </w:r>
            <w:r w:rsidR="003956B5" w:rsidRPr="003A6407">
              <w:rPr>
                <w:rFonts w:eastAsia="Calibri" w:cs="Times New Roman"/>
              </w:rPr>
              <w:t xml:space="preserve"> </w:t>
            </w:r>
            <w:r w:rsidRPr="003A6407">
              <w:rPr>
                <w:rFonts w:eastAsia="Calibri" w:cs="Times New Roman"/>
              </w:rPr>
              <w:t>000 000,00 EUR);</w:t>
            </w:r>
          </w:p>
          <w:p w14:paraId="0729A5F7" w14:textId="14AA69C0"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020 Infrastruktura biznesowa dla MŚP (w tym parki i obiekty przemysłowe) (15 000 000,00 EUR);</w:t>
            </w:r>
          </w:p>
          <w:p w14:paraId="63D0A189" w14:textId="5DA8F95F"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w:t>
            </w:r>
            <w:r w:rsidRPr="003A6407">
              <w:rPr>
                <w:rFonts w:eastAsia="Calibri" w:cs="Times New Roman"/>
              </w:rPr>
              <w:br/>
              <w:t>(</w:t>
            </w:r>
            <w:r w:rsidR="003956B5">
              <w:rPr>
                <w:rFonts w:eastAsia="Calibri" w:cs="Times New Roman"/>
              </w:rPr>
              <w:t>45</w:t>
            </w:r>
            <w:r w:rsidR="003956B5" w:rsidRPr="003A6407">
              <w:rPr>
                <w:rFonts w:eastAsia="Calibri" w:cs="Times New Roman"/>
              </w:rPr>
              <w:t xml:space="preserve"> </w:t>
            </w:r>
            <w:r w:rsidRPr="003A6407">
              <w:rPr>
                <w:rFonts w:eastAsia="Calibri" w:cs="Times New Roman"/>
              </w:rPr>
              <w:t>000 000,00 EUR).</w:t>
            </w:r>
          </w:p>
          <w:p w14:paraId="55D1F66F" w14:textId="367393F8"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029  Procesy badawcze i innowacyjne, transfer technologii i współpraca między przedsiębiorstwami, organizacjami badawczymi i uczelniami wyższymi, koncentrujące się na gospodarce niskoemisyjnej, odporności i przystosowaniu się do zmian klimatu</w:t>
            </w:r>
            <w:r w:rsidRPr="003A6407" w:rsidDel="0000254B">
              <w:rPr>
                <w:rFonts w:eastAsia="Calibri" w:cs="Times New Roman"/>
              </w:rPr>
              <w:t xml:space="preserve"> </w:t>
            </w:r>
            <w:r w:rsidRPr="003A6407">
              <w:rPr>
                <w:rFonts w:eastAsia="Calibri" w:cs="Times New Roman"/>
              </w:rPr>
              <w:t>(</w:t>
            </w:r>
            <w:r w:rsidR="00920A47" w:rsidRPr="003A6407">
              <w:rPr>
                <w:rFonts w:eastAsia="Calibri" w:cs="Times New Roman"/>
              </w:rPr>
              <w:t>1</w:t>
            </w:r>
            <w:r w:rsidR="00920A47">
              <w:rPr>
                <w:rFonts w:eastAsia="Calibri" w:cs="Times New Roman"/>
              </w:rPr>
              <w:t>2</w:t>
            </w:r>
            <w:r w:rsidR="00920A47" w:rsidRPr="003A6407">
              <w:rPr>
                <w:rFonts w:eastAsia="Calibri" w:cs="Times New Roman"/>
              </w:rPr>
              <w:t xml:space="preserve"> </w:t>
            </w:r>
            <w:r w:rsidRPr="003A6407">
              <w:rPr>
                <w:rFonts w:eastAsia="Calibri" w:cs="Times New Roman"/>
              </w:rPr>
              <w:t>000 000,00 EUR);</w:t>
            </w:r>
          </w:p>
          <w:p w14:paraId="72E7EF37" w14:textId="77777777" w:rsidR="002C7A7F" w:rsidRPr="003A6407" w:rsidRDefault="002C7A7F" w:rsidP="002C7A7F">
            <w:pPr>
              <w:shd w:val="clear" w:color="auto" w:fill="FFFFFF"/>
              <w:spacing w:before="60" w:after="60" w:line="240" w:lineRule="auto"/>
              <w:ind w:left="770"/>
              <w:contextualSpacing/>
              <w:jc w:val="both"/>
              <w:rPr>
                <w:rFonts w:eastAsia="Calibri" w:cs="Times New Roman"/>
                <w:sz w:val="22"/>
                <w:szCs w:val="22"/>
              </w:rPr>
            </w:pPr>
          </w:p>
          <w:p w14:paraId="46D10A97" w14:textId="0B005E80"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3C129F" w:rsidRPr="003C129F">
              <w:rPr>
                <w:rFonts w:eastAsia="Calibri"/>
              </w:rPr>
              <w:t xml:space="preserve"> 342 650 000,00    </w:t>
            </w:r>
            <w:r w:rsidRPr="003A6407">
              <w:rPr>
                <w:rFonts w:eastAsia="Calibri"/>
              </w:rPr>
              <w:t xml:space="preserve"> PLN. </w:t>
            </w:r>
          </w:p>
          <w:p w14:paraId="5C901533" w14:textId="52D9910C"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Historyczny koszt jednostkowy – nie dotyczy. Wskaźnik jest sumą wskaźników produktów o nr od RCO02 do RCO04, czyli w przypadku zakresu wsparcia CP6 cel szczegółowy i (Transformacja gospodarcza) jest to tylko jeden wskaźnik, tj. RCO02. Z godnie z powyższym wartość i podejście metodologiczne do wartości wskaźnika RCO01 jest takie same jak we wskaźniku RCO02. Wskaźnik kompensacji zgodnie z przyjętym wskaźnikiem kompensacji w RCO02: </w:t>
            </w:r>
          </w:p>
          <w:p w14:paraId="1E8A3745" w14:textId="0EFB0365" w:rsidR="002C7A7F" w:rsidRPr="003A6407" w:rsidRDefault="002C7A7F" w:rsidP="002C7A7F">
            <w:pPr>
              <w:spacing w:before="60" w:after="60" w:line="240" w:lineRule="auto"/>
              <w:jc w:val="both"/>
              <w:rPr>
                <w:rFonts w:eastAsia="Calibri"/>
              </w:rPr>
            </w:pPr>
            <w:r w:rsidRPr="003A6407">
              <w:rPr>
                <w:rFonts w:eastAsia="Calibri"/>
              </w:rPr>
              <w:t>R= [(6*25)+(3*68)]/9= 39,33</w:t>
            </w:r>
            <w:r w:rsidR="00412D9C" w:rsidRPr="003A6407">
              <w:rPr>
                <w:rFonts w:eastAsia="Calibri"/>
              </w:rPr>
              <w:t>%</w:t>
            </w:r>
            <w:r w:rsidRPr="003A6407">
              <w:rPr>
                <w:rFonts w:eastAsia="Calibri"/>
              </w:rPr>
              <w:t>. Wartość zaokrąglono do pełnej wartości 39</w:t>
            </w:r>
            <w:r w:rsidR="00412D9C" w:rsidRPr="003A6407">
              <w:rPr>
                <w:rFonts w:eastAsia="Calibri"/>
              </w:rPr>
              <w:t>%</w:t>
            </w:r>
            <w:r w:rsidRPr="003A6407">
              <w:rPr>
                <w:rFonts w:eastAsia="Calibri"/>
              </w:rPr>
              <w:t xml:space="preserve">. </w:t>
            </w:r>
          </w:p>
          <w:p w14:paraId="37772191" w14:textId="77777777" w:rsidR="002C7A7F" w:rsidRPr="003A6407" w:rsidRDefault="002C7A7F" w:rsidP="002C7A7F">
            <w:pPr>
              <w:shd w:val="clear" w:color="auto" w:fill="FFFFFF"/>
              <w:spacing w:before="60" w:after="60" w:line="240" w:lineRule="auto"/>
              <w:jc w:val="both"/>
              <w:rPr>
                <w:rFonts w:eastAsia="Calibri"/>
              </w:rPr>
            </w:pPr>
          </w:p>
          <w:p w14:paraId="704F86CC" w14:textId="2835F9F7"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Wyliczenie: RCO01=RCO02, tj. </w:t>
            </w:r>
            <w:r w:rsidR="00C37117" w:rsidRPr="00C37117">
              <w:rPr>
                <w:rFonts w:eastAsia="Calibri"/>
              </w:rPr>
              <w:t>186</w:t>
            </w:r>
            <w:r w:rsidRPr="003A6407">
              <w:rPr>
                <w:rFonts w:eastAsia="Calibri"/>
              </w:rPr>
              <w:t xml:space="preserve">szt. </w:t>
            </w:r>
          </w:p>
          <w:p w14:paraId="35F3391F"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 </w:t>
            </w:r>
          </w:p>
          <w:p w14:paraId="4EE31B39" w14:textId="77777777" w:rsidR="002C7A7F" w:rsidRPr="003A6407" w:rsidRDefault="002C7A7F" w:rsidP="002C7A7F">
            <w:pPr>
              <w:shd w:val="clear" w:color="auto" w:fill="FFFFFF"/>
              <w:spacing w:before="60" w:after="60" w:line="240" w:lineRule="auto"/>
              <w:jc w:val="both"/>
              <w:rPr>
                <w:rFonts w:eastAsia="Calibri"/>
                <w:color w:val="000000"/>
              </w:rPr>
            </w:pPr>
            <w:r w:rsidRPr="003A6407">
              <w:rPr>
                <w:rFonts w:eastAsia="Calibri"/>
                <w:color w:val="000000"/>
              </w:rPr>
              <w:t>Czynniki ryzyka (takie jak w RCO02), które mogą mieć wpływ na poziom osiągnięcia założonej wartości docelowej:</w:t>
            </w:r>
          </w:p>
          <w:p w14:paraId="7998460D" w14:textId="77777777" w:rsidR="002C7A7F" w:rsidRPr="003A6407" w:rsidRDefault="002C7A7F">
            <w:pPr>
              <w:numPr>
                <w:ilvl w:val="0"/>
                <w:numId w:val="7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Ryzyko walutowe</w:t>
            </w:r>
            <w:r w:rsidRPr="003A6407">
              <w:rPr>
                <w:rFonts w:eastAsia="Calibri" w:cs="Times New Roman"/>
                <w:bCs/>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1C45396" w14:textId="77777777" w:rsidR="002C7A7F" w:rsidRPr="003A6407" w:rsidRDefault="002C7A7F">
            <w:pPr>
              <w:numPr>
                <w:ilvl w:val="0"/>
                <w:numId w:val="7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Zawieszenie płatności</w:t>
            </w:r>
            <w:r w:rsidRPr="003A6407">
              <w:rPr>
                <w:rFonts w:eastAsia="Calibri" w:cs="Times New Roman"/>
                <w:bCs/>
                <w:color w:val="000000"/>
              </w:rPr>
              <w:t xml:space="preserve"> przez KE dla danej osi priorytetowej; (istotność: umiarkowana);</w:t>
            </w:r>
          </w:p>
          <w:p w14:paraId="43C78CDD" w14:textId="77777777" w:rsidR="002C7A7F" w:rsidRPr="003A6407" w:rsidRDefault="002C7A7F">
            <w:pPr>
              <w:numPr>
                <w:ilvl w:val="0"/>
                <w:numId w:val="7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Opóźnienia</w:t>
            </w:r>
            <w:r w:rsidRPr="003A6407">
              <w:rPr>
                <w:rFonts w:eastAsia="Calibri" w:cs="Times New Roman"/>
                <w:bCs/>
                <w:color w:val="000000"/>
              </w:rPr>
              <w:t xml:space="preserve">, bądź niewykonanie projektu związane z trybem konkurencyjnym i brakiem / ograniczonym dostępem do materiałów/surowców/półproduktów, </w:t>
            </w:r>
            <w:proofErr w:type="spellStart"/>
            <w:r w:rsidRPr="003A6407">
              <w:rPr>
                <w:rFonts w:eastAsia="Calibri" w:cs="Times New Roman"/>
                <w:bCs/>
                <w:color w:val="000000"/>
              </w:rPr>
              <w:t>ect</w:t>
            </w:r>
            <w:proofErr w:type="spellEnd"/>
            <w:r w:rsidRPr="003A6407">
              <w:rPr>
                <w:rFonts w:eastAsia="Calibri" w:cs="Times New Roman"/>
                <w:bCs/>
                <w:color w:val="000000"/>
              </w:rPr>
              <w:t>. (istotność: umiarkowana);</w:t>
            </w:r>
          </w:p>
          <w:p w14:paraId="5973DF4A" w14:textId="77777777" w:rsidR="002C7A7F" w:rsidRPr="003A6407" w:rsidRDefault="002C7A7F">
            <w:pPr>
              <w:numPr>
                <w:ilvl w:val="0"/>
                <w:numId w:val="7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Wpływ pandemii Covid-19</w:t>
            </w:r>
            <w:r w:rsidRPr="003A6407">
              <w:rPr>
                <w:rFonts w:eastAsia="Calibri" w:cs="Times New Roman"/>
                <w:bCs/>
                <w:color w:val="000000"/>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4D49EE07" w14:textId="77777777" w:rsidR="002C7A7F" w:rsidRPr="003A6407" w:rsidRDefault="002C7A7F">
            <w:pPr>
              <w:numPr>
                <w:ilvl w:val="0"/>
                <w:numId w:val="73"/>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Problemy z zabezpieczeniem</w:t>
            </w:r>
            <w:r w:rsidRPr="003A6407">
              <w:rPr>
                <w:rFonts w:eastAsia="Calibri" w:cs="Times New Roman"/>
                <w:bCs/>
                <w:color w:val="000000"/>
              </w:rPr>
              <w:t xml:space="preserve"> </w:t>
            </w:r>
            <w:r w:rsidRPr="003A6407">
              <w:rPr>
                <w:rFonts w:eastAsia="Calibri" w:cs="Times New Roman"/>
                <w:b/>
                <w:color w:val="000000"/>
              </w:rPr>
              <w:t>wkładu</w:t>
            </w:r>
            <w:r w:rsidRPr="003A6407">
              <w:rPr>
                <w:rFonts w:eastAsia="Calibri" w:cs="Times New Roman"/>
                <w:bCs/>
                <w:color w:val="000000"/>
              </w:rPr>
              <w:t xml:space="preserve"> własnego wnioskodawcy (istotność: poważna); </w:t>
            </w:r>
          </w:p>
          <w:p w14:paraId="283D5BB6" w14:textId="77777777" w:rsidR="002C7A7F" w:rsidRPr="003A6407" w:rsidRDefault="002C7A7F">
            <w:pPr>
              <w:numPr>
                <w:ilvl w:val="0"/>
                <w:numId w:val="7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lastRenderedPageBreak/>
              <w:t>Ryzyko wzrostu cen</w:t>
            </w:r>
            <w:r w:rsidRPr="003A6407">
              <w:rPr>
                <w:rFonts w:eastAsia="Calibri" w:cs="Times New Roman"/>
                <w:bCs/>
                <w:color w:val="000000"/>
              </w:rPr>
              <w:t xml:space="preserve">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54F40E70" w14:textId="77777777" w:rsidR="002C7A7F" w:rsidRPr="003A6407" w:rsidRDefault="002C7A7F">
            <w:pPr>
              <w:numPr>
                <w:ilvl w:val="0"/>
                <w:numId w:val="7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Brak zainteresowania oferowanym wsparciem</w:t>
            </w:r>
            <w:r w:rsidRPr="003A6407">
              <w:rPr>
                <w:rFonts w:eastAsia="Calibri" w:cs="Times New Roman"/>
                <w:bCs/>
                <w:color w:val="000000"/>
              </w:rPr>
              <w:t xml:space="preserve"> ze strony przedsiębiorstw - (istotność: poważna);</w:t>
            </w:r>
          </w:p>
          <w:p w14:paraId="31DAB6CE" w14:textId="77777777" w:rsidR="002C7A7F" w:rsidRPr="003A6407" w:rsidRDefault="002C7A7F">
            <w:pPr>
              <w:numPr>
                <w:ilvl w:val="0"/>
                <w:numId w:val="7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Duplikujące się przedsiębiorstwa</w:t>
            </w:r>
            <w:r w:rsidRPr="003A6407">
              <w:rPr>
                <w:rFonts w:eastAsia="Calibri" w:cs="Times New Roman"/>
                <w:bCs/>
                <w:color w:val="000000"/>
              </w:rPr>
              <w:t xml:space="preserve"> (istotność: umiarkowana); </w:t>
            </w:r>
          </w:p>
          <w:p w14:paraId="2EA3C7B1" w14:textId="77777777" w:rsidR="002C7A7F" w:rsidRPr="003A6407" w:rsidRDefault="002C7A7F">
            <w:pPr>
              <w:numPr>
                <w:ilvl w:val="0"/>
                <w:numId w:val="73"/>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Rozwiązane umowy o dofinansowanie</w:t>
            </w:r>
            <w:r w:rsidRPr="003A6407">
              <w:rPr>
                <w:rFonts w:eastAsia="Calibri" w:cs="Times New Roman"/>
                <w:bCs/>
                <w:color w:val="000000"/>
              </w:rPr>
              <w:t xml:space="preserve"> realizacji projektu – (istotność: umiarkowana).</w:t>
            </w:r>
          </w:p>
          <w:p w14:paraId="76A02312" w14:textId="77777777" w:rsidR="002C7A7F" w:rsidRPr="003A6407" w:rsidRDefault="002C7A7F" w:rsidP="002C7A7F">
            <w:pPr>
              <w:spacing w:after="0" w:line="240" w:lineRule="auto"/>
              <w:ind w:left="720"/>
              <w:contextualSpacing/>
              <w:jc w:val="both"/>
              <w:rPr>
                <w:rFonts w:eastAsia="Calibri" w:cs="Times New Roman"/>
                <w:color w:val="000000"/>
                <w:sz w:val="22"/>
                <w:szCs w:val="22"/>
              </w:rPr>
            </w:pPr>
          </w:p>
          <w:p w14:paraId="21DD6C9C" w14:textId="77777777" w:rsidR="001D52F2" w:rsidRPr="003A6407" w:rsidRDefault="001D52F2" w:rsidP="001D52F2">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5C309662" w14:textId="695FB6EC" w:rsidR="001D52F2" w:rsidRPr="003A6407" w:rsidRDefault="001D52F2" w:rsidP="001D52F2">
            <w:pPr>
              <w:spacing w:after="0" w:line="240" w:lineRule="auto"/>
              <w:contextualSpacing/>
              <w:jc w:val="both"/>
              <w:rPr>
                <w:rFonts w:eastAsia="Calibri" w:cs="Times New Roman"/>
                <w:color w:val="000000"/>
                <w:sz w:val="22"/>
                <w:szCs w:val="22"/>
              </w:rPr>
            </w:pPr>
            <w:r w:rsidRPr="003A6407">
              <w:rPr>
                <w:rFonts w:eastAsia="Calibri" w:cs="Times New Roman"/>
                <w:b/>
                <w:bCs/>
                <w:color w:val="000000"/>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1a), na podstawie Sprawozdania rocznego z 2021 r. - wskaźnik pn. Inwestycje produkcyjne: Liczba przedsiębiorstw otrzymujących wsparcie (CI 1) w 2016 r. osiągnął wartość 2, co stanowi zaledwie 0,3% wartości sprawozdawanej w 2021 r. (657). Mając na uwadze, że 2016 r. był już trzecim rokiem wdrażania programu RPO WD 2014-2020, a rok 2024 będzie de facto dopiero drugim rokiem wdrażania FEDS, wartość pośrednią dla tego wskaźnika ustalono jako 0.</w:t>
            </w:r>
          </w:p>
        </w:tc>
      </w:tr>
    </w:tbl>
    <w:p w14:paraId="380FEC6D" w14:textId="77777777" w:rsidR="002C7A7F" w:rsidRPr="003A6407" w:rsidRDefault="002C7A7F" w:rsidP="002C7A7F">
      <w:pPr>
        <w:keepNext/>
        <w:keepLines/>
        <w:spacing w:before="120" w:after="120"/>
        <w:jc w:val="both"/>
        <w:outlineLvl w:val="2"/>
        <w:rPr>
          <w:rFonts w:eastAsia="Times New Roman" w:cs="Calibri"/>
          <w:color w:val="4472C4"/>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91FE2" w:rsidRPr="003A6407" w14:paraId="1BAABCA4" w14:textId="77777777" w:rsidTr="001D52F2">
        <w:trPr>
          <w:cantSplit/>
          <w:trHeight w:val="1647"/>
        </w:trPr>
        <w:tc>
          <w:tcPr>
            <w:tcW w:w="451" w:type="pct"/>
            <w:shd w:val="clear" w:color="auto" w:fill="auto"/>
            <w:vAlign w:val="center"/>
          </w:tcPr>
          <w:p w14:paraId="55EDEB23"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bookmarkStart w:id="418" w:name="_Hlk95913844"/>
            <w:r w:rsidRPr="003A6407">
              <w:rPr>
                <w:rFonts w:eastAsia="Calibri" w:cs="Times New Roman"/>
                <w:b/>
                <w:noProof/>
                <w:sz w:val="16"/>
                <w:szCs w:val="16"/>
              </w:rPr>
              <w:t>CP 6</w:t>
            </w:r>
          </w:p>
          <w:p w14:paraId="236279E1" w14:textId="2485FB8D"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13EA7040"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23E113FB"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0CC837AA" w14:textId="77777777" w:rsidR="002C7A7F" w:rsidRPr="003A6407" w:rsidRDefault="002C7A7F" w:rsidP="001D52F2">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780C2010" w14:textId="43102065"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04370592"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4DDD59FA"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3FD19E8B"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67BC025A"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32B317F4" w14:textId="77777777" w:rsidR="002C7A7F" w:rsidRPr="003A6407" w:rsidRDefault="002C7A7F" w:rsidP="001D52F2">
            <w:pPr>
              <w:shd w:val="clear" w:color="auto" w:fill="FFFFFF"/>
              <w:spacing w:before="120" w:after="120" w:line="240" w:lineRule="auto"/>
              <w:jc w:val="center"/>
              <w:rPr>
                <w:rFonts w:eastAsia="Calibri" w:cs="Times New Roman"/>
                <w:b/>
                <w:noProof/>
                <w:sz w:val="16"/>
                <w:szCs w:val="16"/>
              </w:rPr>
            </w:pPr>
          </w:p>
        </w:tc>
      </w:tr>
      <w:tr w:rsidR="00191FE2" w:rsidRPr="003A6407" w14:paraId="131F8C7D" w14:textId="77777777" w:rsidTr="001D52F2">
        <w:trPr>
          <w:trHeight w:val="340"/>
        </w:trPr>
        <w:tc>
          <w:tcPr>
            <w:tcW w:w="451" w:type="pct"/>
            <w:shd w:val="clear" w:color="auto" w:fill="auto"/>
            <w:vAlign w:val="center"/>
          </w:tcPr>
          <w:p w14:paraId="4C11AEE1" w14:textId="77777777" w:rsidR="002C7A7F"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6 (i)</w:t>
            </w:r>
          </w:p>
          <w:p w14:paraId="0013A09F" w14:textId="55FFE17D" w:rsidR="00E37971" w:rsidRPr="003A6407" w:rsidRDefault="00E37971" w:rsidP="001D52F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8.1</w:t>
            </w:r>
          </w:p>
        </w:tc>
        <w:tc>
          <w:tcPr>
            <w:tcW w:w="494" w:type="pct"/>
            <w:shd w:val="clear" w:color="auto" w:fill="auto"/>
            <w:vAlign w:val="center"/>
          </w:tcPr>
          <w:p w14:paraId="0C059A5A" w14:textId="77777777" w:rsidR="002C7A7F" w:rsidRPr="003A6407"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FST</w:t>
            </w:r>
          </w:p>
        </w:tc>
        <w:tc>
          <w:tcPr>
            <w:tcW w:w="558" w:type="pct"/>
            <w:shd w:val="clear" w:color="auto" w:fill="auto"/>
            <w:vAlign w:val="center"/>
          </w:tcPr>
          <w:p w14:paraId="4DFF3714" w14:textId="77777777" w:rsidR="002C7A7F" w:rsidRPr="003A6407"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52F0CD3B" w14:textId="77777777" w:rsidR="002C7A7F" w:rsidRPr="003A6407" w:rsidRDefault="002C7A7F"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 02</w:t>
            </w:r>
          </w:p>
        </w:tc>
        <w:tc>
          <w:tcPr>
            <w:tcW w:w="1206" w:type="pct"/>
            <w:shd w:val="clear" w:color="auto" w:fill="auto"/>
            <w:vAlign w:val="center"/>
          </w:tcPr>
          <w:p w14:paraId="7AFE2553" w14:textId="77777777" w:rsidR="002C7A7F" w:rsidRPr="003A6407" w:rsidRDefault="002C7A7F" w:rsidP="001D52F2">
            <w:pPr>
              <w:keepNext/>
              <w:keepLines/>
              <w:spacing w:before="200" w:after="0"/>
              <w:jc w:val="center"/>
              <w:outlineLvl w:val="2"/>
              <w:rPr>
                <w:rFonts w:eastAsia="Times New Roman" w:cs="Times New Roman"/>
                <w:b/>
                <w:bCs/>
                <w:noProof/>
                <w:sz w:val="16"/>
                <w:szCs w:val="16"/>
              </w:rPr>
            </w:pPr>
            <w:bookmarkStart w:id="419" w:name="_Toc95917156"/>
            <w:bookmarkStart w:id="420" w:name="_Toc97895946"/>
            <w:bookmarkStart w:id="421" w:name="_Toc114662379"/>
            <w:bookmarkStart w:id="422" w:name="_Toc120464534"/>
            <w:r w:rsidRPr="003A6407">
              <w:rPr>
                <w:rFonts w:asciiTheme="minorHAnsi" w:eastAsia="Times New Roman" w:hAnsiTheme="minorHAnsi" w:cstheme="minorHAnsi"/>
                <w:bCs/>
                <w:noProof/>
                <w:sz w:val="16"/>
                <w:szCs w:val="16"/>
              </w:rPr>
              <w:t>Przedsiębiorstwa objęte wsparciem w formie dotacji</w:t>
            </w:r>
            <w:bookmarkEnd w:id="419"/>
            <w:bookmarkEnd w:id="420"/>
            <w:bookmarkEnd w:id="421"/>
            <w:bookmarkEnd w:id="422"/>
          </w:p>
        </w:tc>
        <w:tc>
          <w:tcPr>
            <w:tcW w:w="884" w:type="pct"/>
            <w:shd w:val="clear" w:color="auto" w:fill="auto"/>
            <w:vAlign w:val="center"/>
          </w:tcPr>
          <w:p w14:paraId="02EAD9A4" w14:textId="39C34BAD" w:rsidR="002C7A7F" w:rsidRPr="003A6407" w:rsidRDefault="00C37117" w:rsidP="001D52F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przedsiębiorstwa</w:t>
            </w:r>
          </w:p>
        </w:tc>
        <w:tc>
          <w:tcPr>
            <w:tcW w:w="482" w:type="pct"/>
            <w:shd w:val="clear" w:color="auto" w:fill="auto"/>
            <w:vAlign w:val="center"/>
          </w:tcPr>
          <w:p w14:paraId="06AC1F0E" w14:textId="061AC42A" w:rsidR="002C7A7F" w:rsidRPr="003A6407" w:rsidRDefault="009E03DD" w:rsidP="001D52F2">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0,00</w:t>
            </w:r>
          </w:p>
        </w:tc>
        <w:tc>
          <w:tcPr>
            <w:tcW w:w="502" w:type="pct"/>
            <w:shd w:val="clear" w:color="auto" w:fill="auto"/>
            <w:vAlign w:val="center"/>
          </w:tcPr>
          <w:p w14:paraId="14301197" w14:textId="143B089D" w:rsidR="002C7A7F" w:rsidRPr="003A6407" w:rsidRDefault="003C129F" w:rsidP="001D52F2">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186</w:t>
            </w:r>
            <w:r w:rsidR="001D52F2" w:rsidRPr="003A6407">
              <w:rPr>
                <w:rFonts w:eastAsia="Calibri" w:cs="Times New Roman"/>
                <w:noProof/>
                <w:sz w:val="16"/>
                <w:szCs w:val="16"/>
              </w:rPr>
              <w:t>,00</w:t>
            </w:r>
          </w:p>
        </w:tc>
      </w:tr>
      <w:tr w:rsidR="002C7A7F" w:rsidRPr="003A6407" w14:paraId="1F648D27" w14:textId="77777777" w:rsidTr="002B58A1">
        <w:trPr>
          <w:trHeight w:val="340"/>
        </w:trPr>
        <w:tc>
          <w:tcPr>
            <w:tcW w:w="5000" w:type="pct"/>
            <w:gridSpan w:val="8"/>
            <w:shd w:val="clear" w:color="auto" w:fill="auto"/>
          </w:tcPr>
          <w:p w14:paraId="3C5D5C4F"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Metodologia:</w:t>
            </w:r>
          </w:p>
          <w:p w14:paraId="64AB0A11" w14:textId="37C61D91"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w:t>
            </w:r>
            <w:r w:rsidR="003C129F">
              <w:rPr>
                <w:rFonts w:eastAsia="Calibri" w:cs="Times New Roman"/>
              </w:rPr>
              <w:t>5</w:t>
            </w:r>
            <w:r w:rsidR="003C129F" w:rsidRPr="003A6407">
              <w:rPr>
                <w:rFonts w:eastAsia="Calibri" w:cs="Times New Roman"/>
              </w:rPr>
              <w:t xml:space="preserve"> </w:t>
            </w:r>
            <w:r w:rsidRPr="003A6407">
              <w:rPr>
                <w:rFonts w:eastAsia="Calibri" w:cs="Times New Roman"/>
              </w:rPr>
              <w:t>000 000,00 EUR);</w:t>
            </w:r>
          </w:p>
          <w:p w14:paraId="10AE1BB9" w14:textId="7C6DDC87"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020 Infrastruktura biznesowa dla MŚP (w tym parki i obiekty przemysłowe) (15 000 000,00 EUR);</w:t>
            </w:r>
          </w:p>
          <w:p w14:paraId="026A511E" w14:textId="466915CC"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w:t>
            </w:r>
            <w:r w:rsidRPr="003A6407">
              <w:rPr>
                <w:rFonts w:eastAsia="Calibri" w:cs="Times New Roman"/>
              </w:rPr>
              <w:br/>
              <w:t>(</w:t>
            </w:r>
            <w:r w:rsidR="003C129F">
              <w:rPr>
                <w:rFonts w:eastAsia="Calibri" w:cs="Times New Roman"/>
              </w:rPr>
              <w:t>45</w:t>
            </w:r>
            <w:r w:rsidR="003C129F" w:rsidRPr="003A6407">
              <w:rPr>
                <w:rFonts w:eastAsia="Calibri" w:cs="Times New Roman"/>
              </w:rPr>
              <w:t xml:space="preserve"> </w:t>
            </w:r>
            <w:r w:rsidRPr="003A6407">
              <w:rPr>
                <w:rFonts w:eastAsia="Calibri" w:cs="Times New Roman"/>
              </w:rPr>
              <w:t>000 000,00 EUR).</w:t>
            </w:r>
          </w:p>
          <w:p w14:paraId="43B69542" w14:textId="48760FF2"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029  Procesy badawcze i innowacyjne, transfer technologii i współpraca między przedsiębiorstwami, organizacjami badawczymi i uczelniami wyższymi, koncentrujące się na gospodarce niskoemisyjnej, odporności i przystosowaniu się do zmian klimatu (</w:t>
            </w:r>
            <w:r w:rsidR="003C129F">
              <w:rPr>
                <w:rFonts w:eastAsia="Calibri" w:cs="Times New Roman"/>
              </w:rPr>
              <w:t xml:space="preserve">12 </w:t>
            </w:r>
            <w:r w:rsidR="003C129F" w:rsidRPr="003A6407">
              <w:rPr>
                <w:rFonts w:eastAsia="Calibri" w:cs="Times New Roman"/>
              </w:rPr>
              <w:t xml:space="preserve">000 </w:t>
            </w:r>
            <w:r w:rsidRPr="003A6407">
              <w:rPr>
                <w:rFonts w:eastAsia="Calibri" w:cs="Times New Roman"/>
              </w:rPr>
              <w:t>000,00 EUR);</w:t>
            </w:r>
          </w:p>
          <w:p w14:paraId="4E88E902" w14:textId="77777777" w:rsidR="002C7A7F" w:rsidRPr="003A6407" w:rsidRDefault="002C7A7F" w:rsidP="002C7A7F">
            <w:pPr>
              <w:shd w:val="clear" w:color="auto" w:fill="FFFFFF"/>
              <w:spacing w:before="60" w:after="60" w:line="240" w:lineRule="auto"/>
              <w:ind w:left="770"/>
              <w:contextualSpacing/>
              <w:jc w:val="both"/>
              <w:rPr>
                <w:rFonts w:eastAsia="Calibri" w:cs="Times New Roman"/>
                <w:sz w:val="22"/>
                <w:szCs w:val="22"/>
              </w:rPr>
            </w:pPr>
          </w:p>
          <w:p w14:paraId="755FCF02" w14:textId="744E92C6"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3C129F" w:rsidRPr="003C129F">
              <w:rPr>
                <w:rFonts w:eastAsia="Calibri"/>
              </w:rPr>
              <w:t xml:space="preserve"> 342 650 000,00    </w:t>
            </w:r>
            <w:r w:rsidRPr="003A6407">
              <w:rPr>
                <w:rFonts w:eastAsia="Calibri"/>
              </w:rPr>
              <w:t xml:space="preserve">PLN. </w:t>
            </w:r>
          </w:p>
          <w:p w14:paraId="77958565" w14:textId="5E8B3CE4"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Historyczny koszt jednostkowy wyliczono na bazie doświadczeń z perspektywy 2014-2020 (w zakresie działań 1.2, 1.3, 1.4, 1.5), które wykorzystano przy wyliczeniu kosztu jednostkowego dla wskaźnika RCO002 w CP 1 (i) oraz wskaźnika RCO002 w CP 1 (iii). Sumę kosztów jednostkowych dla ww. wskaźników w CP 1 podzielono na 2 aby uzyskać średnią. W konsekwencji przyjęto, że koszt jednostkowy dla wskaźnika RCO02 w CP 6 (i) wynosi 1 392 407,03 PLN.  Koszt jednostkowy został skorygowany w oparciu o wartość inflacji na poziomie 15% i wynosi 1 601 268,09 PLN, a obniżony do wartości dofinansowania na poziomie 70% wynosi 1 120 887,66 PLN, tj. 251 884,87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3E2B75B1" w14:textId="699C0122" w:rsidR="002C7A7F" w:rsidRPr="003A6407" w:rsidRDefault="002C7A7F" w:rsidP="002C7A7F">
            <w:pPr>
              <w:spacing w:before="60" w:after="60" w:line="240" w:lineRule="auto"/>
              <w:jc w:val="both"/>
              <w:rPr>
                <w:rFonts w:eastAsia="Calibri"/>
              </w:rPr>
            </w:pPr>
            <w:r w:rsidRPr="003A6407">
              <w:rPr>
                <w:rFonts w:eastAsia="Calibri"/>
              </w:rPr>
              <w:t>R= [(6*25)+(4*68)]/9= 39,33</w:t>
            </w:r>
            <w:r w:rsidR="00412D9C" w:rsidRPr="003A6407">
              <w:rPr>
                <w:rFonts w:eastAsia="Calibri"/>
              </w:rPr>
              <w:t>%</w:t>
            </w:r>
            <w:r w:rsidRPr="003A6407">
              <w:rPr>
                <w:rFonts w:eastAsia="Calibri"/>
              </w:rPr>
              <w:t xml:space="preserve">. Wartość zaokrąglono do pełnej wartości 39%. </w:t>
            </w:r>
          </w:p>
          <w:p w14:paraId="244EE6D6" w14:textId="77777777" w:rsidR="002C7A7F" w:rsidRPr="003A6407" w:rsidRDefault="002C7A7F" w:rsidP="002C7A7F">
            <w:pPr>
              <w:shd w:val="clear" w:color="auto" w:fill="FFFFFF"/>
              <w:spacing w:before="60" w:after="60" w:line="240" w:lineRule="auto"/>
              <w:jc w:val="both"/>
              <w:rPr>
                <w:rFonts w:eastAsia="Calibri"/>
              </w:rPr>
            </w:pPr>
          </w:p>
          <w:p w14:paraId="01FA69ED"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Wyliczenie:</w:t>
            </w:r>
          </w:p>
          <w:p w14:paraId="7EBE55D4" w14:textId="0ECEDC89" w:rsidR="002C7A7F" w:rsidRPr="003A6407" w:rsidRDefault="003C129F" w:rsidP="002C7A7F">
            <w:pPr>
              <w:shd w:val="clear" w:color="auto" w:fill="FFFFFF"/>
              <w:spacing w:before="60" w:after="60" w:line="240" w:lineRule="auto"/>
              <w:jc w:val="both"/>
              <w:rPr>
                <w:rFonts w:eastAsia="Calibri"/>
              </w:rPr>
            </w:pPr>
            <w:r>
              <w:rPr>
                <w:rFonts w:eastAsia="Calibri"/>
              </w:rPr>
              <w:t>77 000 000</w:t>
            </w:r>
            <w:r w:rsidR="002C7A7F" w:rsidRPr="003A6407">
              <w:rPr>
                <w:rFonts w:eastAsia="Calibri"/>
              </w:rPr>
              <w:t xml:space="preserve">,00 / 251 884,87 * (1-0,39) = </w:t>
            </w:r>
            <w:r>
              <w:rPr>
                <w:rFonts w:eastAsia="Calibri"/>
              </w:rPr>
              <w:t>186</w:t>
            </w:r>
            <w:r w:rsidRPr="003A6407">
              <w:rPr>
                <w:rFonts w:eastAsia="Calibri"/>
              </w:rPr>
              <w:t xml:space="preserve"> </w:t>
            </w:r>
            <w:r w:rsidR="002C7A7F" w:rsidRPr="003A6407">
              <w:rPr>
                <w:rFonts w:eastAsia="Calibri"/>
              </w:rPr>
              <w:t xml:space="preserve">szt. </w:t>
            </w:r>
          </w:p>
          <w:p w14:paraId="66EF90B7" w14:textId="77777777" w:rsidR="002C7A7F" w:rsidRPr="003A6407" w:rsidRDefault="002C7A7F" w:rsidP="002C7A7F">
            <w:pPr>
              <w:shd w:val="clear" w:color="auto" w:fill="FFFFFF"/>
              <w:spacing w:before="60" w:after="60" w:line="240" w:lineRule="auto"/>
              <w:jc w:val="both"/>
              <w:rPr>
                <w:rFonts w:eastAsia="Calibri"/>
                <w:color w:val="000000"/>
              </w:rPr>
            </w:pPr>
            <w:r w:rsidRPr="003A6407">
              <w:rPr>
                <w:rFonts w:eastAsia="Calibri"/>
                <w:color w:val="000000"/>
              </w:rPr>
              <w:lastRenderedPageBreak/>
              <w:t>Czynniki ryzyka, które mogą mieć wpływ na poziom osiągnięcia założonej wartości docelowej:</w:t>
            </w:r>
          </w:p>
          <w:p w14:paraId="0F8FA037" w14:textId="77777777" w:rsidR="002C7A7F" w:rsidRPr="003A6407" w:rsidRDefault="002C7A7F">
            <w:pPr>
              <w:numPr>
                <w:ilvl w:val="0"/>
                <w:numId w:val="7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Ryzyko walutowe</w:t>
            </w:r>
            <w:r w:rsidRPr="003A6407">
              <w:rPr>
                <w:rFonts w:eastAsia="Calibri" w:cs="Times New Roman"/>
                <w:bCs/>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14020865" w14:textId="77777777" w:rsidR="002C7A7F" w:rsidRPr="003A6407" w:rsidRDefault="002C7A7F">
            <w:pPr>
              <w:numPr>
                <w:ilvl w:val="0"/>
                <w:numId w:val="7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Zawieszenie płatności</w:t>
            </w:r>
            <w:r w:rsidRPr="003A6407">
              <w:rPr>
                <w:rFonts w:eastAsia="Calibri" w:cs="Times New Roman"/>
                <w:bCs/>
                <w:color w:val="000000"/>
              </w:rPr>
              <w:t xml:space="preserve"> przez KE dla danej osi priorytetowej; (istotność: umiarkowana);</w:t>
            </w:r>
          </w:p>
          <w:p w14:paraId="2D08B6D3" w14:textId="77777777" w:rsidR="002C7A7F" w:rsidRPr="003A6407" w:rsidRDefault="002C7A7F">
            <w:pPr>
              <w:numPr>
                <w:ilvl w:val="0"/>
                <w:numId w:val="7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Opóźnienia</w:t>
            </w:r>
            <w:r w:rsidRPr="003A6407">
              <w:rPr>
                <w:rFonts w:eastAsia="Calibri" w:cs="Times New Roman"/>
                <w:bCs/>
                <w:color w:val="000000"/>
              </w:rPr>
              <w:t xml:space="preserve">, bądź niewykonanie projektu związane z trybem konkurencyjnym i brakiem / ograniczonym dostępem do materiałów/surowców/półproduktów, </w:t>
            </w:r>
            <w:proofErr w:type="spellStart"/>
            <w:r w:rsidRPr="003A6407">
              <w:rPr>
                <w:rFonts w:eastAsia="Calibri" w:cs="Times New Roman"/>
                <w:bCs/>
                <w:color w:val="000000"/>
              </w:rPr>
              <w:t>ect</w:t>
            </w:r>
            <w:proofErr w:type="spellEnd"/>
            <w:r w:rsidRPr="003A6407">
              <w:rPr>
                <w:rFonts w:eastAsia="Calibri" w:cs="Times New Roman"/>
                <w:bCs/>
                <w:color w:val="000000"/>
              </w:rPr>
              <w:t>. (istotność: umiarkowana);</w:t>
            </w:r>
          </w:p>
          <w:p w14:paraId="425A95F8" w14:textId="77777777" w:rsidR="002C7A7F" w:rsidRPr="003A6407" w:rsidRDefault="002C7A7F">
            <w:pPr>
              <w:numPr>
                <w:ilvl w:val="0"/>
                <w:numId w:val="7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Wpływ pandemii Covid-19</w:t>
            </w:r>
            <w:r w:rsidRPr="003A6407">
              <w:rPr>
                <w:rFonts w:eastAsia="Calibri" w:cs="Times New Roman"/>
                <w:bCs/>
                <w:color w:val="000000"/>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2838125A" w14:textId="77777777" w:rsidR="002C7A7F" w:rsidRPr="003A6407" w:rsidRDefault="002C7A7F">
            <w:pPr>
              <w:numPr>
                <w:ilvl w:val="0"/>
                <w:numId w:val="7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Problemy z zabezpieczeniem</w:t>
            </w:r>
            <w:r w:rsidRPr="003A6407">
              <w:rPr>
                <w:rFonts w:eastAsia="Calibri" w:cs="Times New Roman"/>
                <w:bCs/>
                <w:color w:val="000000"/>
              </w:rPr>
              <w:t xml:space="preserve"> </w:t>
            </w:r>
            <w:r w:rsidRPr="003A6407">
              <w:rPr>
                <w:rFonts w:eastAsia="Calibri" w:cs="Times New Roman"/>
                <w:b/>
                <w:color w:val="000000"/>
              </w:rPr>
              <w:t>wkładu</w:t>
            </w:r>
            <w:r w:rsidRPr="003A6407">
              <w:rPr>
                <w:rFonts w:eastAsia="Calibri" w:cs="Times New Roman"/>
                <w:bCs/>
                <w:color w:val="000000"/>
              </w:rPr>
              <w:t xml:space="preserve"> własnego wnioskodawcy (istotność: poważna); </w:t>
            </w:r>
          </w:p>
          <w:p w14:paraId="0A24D693" w14:textId="77777777" w:rsidR="002C7A7F" w:rsidRPr="003A6407" w:rsidRDefault="002C7A7F">
            <w:pPr>
              <w:numPr>
                <w:ilvl w:val="0"/>
                <w:numId w:val="74"/>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Ryzyko wzrostu cen</w:t>
            </w:r>
            <w:r w:rsidRPr="003A6407">
              <w:rPr>
                <w:rFonts w:eastAsia="Calibri" w:cs="Times New Roman"/>
                <w:bCs/>
                <w:color w:val="000000"/>
              </w:rPr>
              <w:t xml:space="preserve"> związane ze wzrostem cen w gospodarce związane głównie ze wzrostem cen energii, gazu, surowców, </w:t>
            </w:r>
            <w:proofErr w:type="spellStart"/>
            <w:r w:rsidRPr="003A6407">
              <w:rPr>
                <w:rFonts w:eastAsia="Calibri" w:cs="Times New Roman"/>
                <w:bCs/>
                <w:color w:val="000000"/>
              </w:rPr>
              <w:t>ect</w:t>
            </w:r>
            <w:proofErr w:type="spellEnd"/>
            <w:r w:rsidRPr="003A6407">
              <w:rPr>
                <w:rFonts w:eastAsia="Calibri" w:cs="Times New Roman"/>
                <w:bCs/>
                <w:color w:val="000000"/>
              </w:rPr>
              <w:t>. oraz poziomem inflacji (istotność: poważna);</w:t>
            </w:r>
          </w:p>
          <w:p w14:paraId="42486AA4" w14:textId="77777777" w:rsidR="002C7A7F" w:rsidRPr="003A6407" w:rsidRDefault="002C7A7F">
            <w:pPr>
              <w:numPr>
                <w:ilvl w:val="0"/>
                <w:numId w:val="74"/>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Brak zainteresowania oferowanym wsparciem</w:t>
            </w:r>
            <w:r w:rsidRPr="003A6407">
              <w:rPr>
                <w:rFonts w:eastAsia="Calibri" w:cs="Times New Roman"/>
                <w:bCs/>
                <w:color w:val="000000"/>
              </w:rPr>
              <w:t xml:space="preserve"> ze strony przedsiębiorstw - (istotność: poważna);</w:t>
            </w:r>
          </w:p>
          <w:p w14:paraId="6F2FF9FB" w14:textId="77777777" w:rsidR="002C7A7F" w:rsidRPr="003A6407" w:rsidRDefault="002C7A7F">
            <w:pPr>
              <w:numPr>
                <w:ilvl w:val="0"/>
                <w:numId w:val="74"/>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Duplikujące się przedsiębiorstwa</w:t>
            </w:r>
            <w:r w:rsidRPr="003A6407">
              <w:rPr>
                <w:rFonts w:eastAsia="Calibri" w:cs="Times New Roman"/>
                <w:bCs/>
                <w:color w:val="000000"/>
              </w:rPr>
              <w:t xml:space="preserve"> (istotność: umiarkowana); </w:t>
            </w:r>
          </w:p>
          <w:p w14:paraId="1E95FB4F" w14:textId="77777777" w:rsidR="002C7A7F" w:rsidRPr="003A6407" w:rsidRDefault="002C7A7F">
            <w:pPr>
              <w:numPr>
                <w:ilvl w:val="0"/>
                <w:numId w:val="74"/>
              </w:numPr>
              <w:shd w:val="clear" w:color="auto" w:fill="FFFFFF"/>
              <w:spacing w:before="60" w:after="0" w:line="240" w:lineRule="auto"/>
              <w:contextualSpacing/>
              <w:jc w:val="both"/>
              <w:rPr>
                <w:rFonts w:eastAsia="Calibri" w:cs="Times New Roman"/>
                <w:bCs/>
                <w:color w:val="000000"/>
              </w:rPr>
            </w:pPr>
            <w:r w:rsidRPr="003A6407">
              <w:rPr>
                <w:rFonts w:eastAsia="Calibri" w:cs="Times New Roman"/>
                <w:b/>
                <w:color w:val="000000"/>
              </w:rPr>
              <w:t>Rozwiązane umowy o dofinansowanie</w:t>
            </w:r>
            <w:r w:rsidRPr="003A6407">
              <w:rPr>
                <w:rFonts w:eastAsia="Calibri" w:cs="Times New Roman"/>
                <w:bCs/>
                <w:color w:val="000000"/>
              </w:rPr>
              <w:t xml:space="preserve"> realizacji projektu – (istotność: umiarkowana).</w:t>
            </w:r>
          </w:p>
          <w:p w14:paraId="222C9F80" w14:textId="77777777" w:rsidR="001D52F2" w:rsidRPr="003A6407" w:rsidRDefault="001D52F2" w:rsidP="001D52F2">
            <w:pPr>
              <w:spacing w:after="0" w:line="240" w:lineRule="auto"/>
              <w:contextualSpacing/>
              <w:jc w:val="both"/>
              <w:rPr>
                <w:rFonts w:eastAsia="Calibri" w:cs="Times New Roman"/>
                <w:color w:val="000000"/>
                <w:sz w:val="22"/>
                <w:szCs w:val="22"/>
              </w:rPr>
            </w:pPr>
          </w:p>
          <w:p w14:paraId="2F45D82D" w14:textId="4563D69A" w:rsidR="001D52F2" w:rsidRPr="003A6407" w:rsidRDefault="001D52F2" w:rsidP="001D52F2">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7AD6D98A" w14:textId="1B93C723" w:rsidR="002C7A7F" w:rsidRPr="003A6407" w:rsidRDefault="001D52F2" w:rsidP="001D52F2">
            <w:pPr>
              <w:spacing w:after="0" w:line="240" w:lineRule="auto"/>
              <w:contextualSpacing/>
              <w:jc w:val="both"/>
              <w:rPr>
                <w:rFonts w:eastAsia="Calibri" w:cs="Times New Roman"/>
                <w:color w:val="000000"/>
                <w:sz w:val="22"/>
                <w:szCs w:val="22"/>
              </w:rPr>
            </w:pPr>
            <w:r w:rsidRPr="003A6407">
              <w:rPr>
                <w:rFonts w:eastAsia="Calibri" w:cs="Times New Roman"/>
                <w:b/>
                <w:bCs/>
                <w:color w:val="000000"/>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1a), na podstawie Sprawozdania rocznego z 2021 r. - wskaźnik pn. Inwestycje produkcyjne: Liczba przedsiębiorstw otrzymujących wsparcie (CI 1) w 2016 r. osiągnął wartość 2, co stanowi zaledwie 0,3% wartości sprawozdawanej w 2021 r. (657). Mając na uwadze, że 2016 r. był już trzecim rokiem wdrażania programu RPO WD 2014-2020, a rok 2024 będzie de facto dopiero drugim rokiem wdrażania FEDS, wartość pośrednią dla tego wskaźnika ustalono jako 0.</w:t>
            </w:r>
          </w:p>
        </w:tc>
      </w:tr>
    </w:tbl>
    <w:p w14:paraId="60EE3D4E" w14:textId="11C32D91" w:rsidR="001832AD" w:rsidRDefault="001832AD" w:rsidP="00BC2057">
      <w:pPr>
        <w:pStyle w:val="Nagwek2"/>
        <w:rPr>
          <w:rFonts w:eastAsia="Times New Roman"/>
        </w:rPr>
      </w:pPr>
      <w:bookmarkStart w:id="423" w:name="_Toc95917158"/>
      <w:bookmarkStart w:id="424" w:name="_Toc97895947"/>
      <w:bookmarkStart w:id="425" w:name="_Toc114662380"/>
      <w:bookmarkEnd w:id="418"/>
    </w:p>
    <w:p w14:paraId="07B7D145" w14:textId="1D0B2A35" w:rsidR="001832AD" w:rsidRDefault="001832AD" w:rsidP="006641B5"/>
    <w:p w14:paraId="505EE9BA" w14:textId="77777777" w:rsidR="007241BC" w:rsidRPr="001832AD" w:rsidRDefault="007241BC" w:rsidP="006641B5"/>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127"/>
        <w:gridCol w:w="1559"/>
        <w:gridCol w:w="850"/>
        <w:gridCol w:w="885"/>
      </w:tblGrid>
      <w:tr w:rsidR="001832AD" w:rsidRPr="003A6407" w14:paraId="07E47BFE" w14:textId="77777777" w:rsidTr="00593E55">
        <w:trPr>
          <w:cantSplit/>
          <w:trHeight w:val="1647"/>
        </w:trPr>
        <w:tc>
          <w:tcPr>
            <w:tcW w:w="451" w:type="pct"/>
            <w:shd w:val="clear" w:color="auto" w:fill="auto"/>
            <w:vAlign w:val="center"/>
          </w:tcPr>
          <w:p w14:paraId="1B0E0423" w14:textId="0529542D"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6</w:t>
            </w:r>
          </w:p>
          <w:p w14:paraId="03C17AF3"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309673A7"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16DF8A10"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18C04ABA" w14:textId="77777777" w:rsidR="001832AD" w:rsidRPr="003A6407" w:rsidRDefault="001832AD" w:rsidP="00593E55">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206" w:type="pct"/>
            <w:shd w:val="clear" w:color="auto" w:fill="auto"/>
            <w:vAlign w:val="center"/>
          </w:tcPr>
          <w:p w14:paraId="23FF7CEA"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884" w:type="pct"/>
            <w:shd w:val="clear" w:color="auto" w:fill="auto"/>
            <w:vAlign w:val="center"/>
          </w:tcPr>
          <w:p w14:paraId="1B67F174"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482" w:type="pct"/>
            <w:shd w:val="clear" w:color="auto" w:fill="auto"/>
            <w:vAlign w:val="center"/>
          </w:tcPr>
          <w:p w14:paraId="7DA6BDD0"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00CCCA21"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p>
        </w:tc>
        <w:tc>
          <w:tcPr>
            <w:tcW w:w="502" w:type="pct"/>
            <w:shd w:val="clear" w:color="auto" w:fill="auto"/>
            <w:vAlign w:val="center"/>
          </w:tcPr>
          <w:p w14:paraId="4B730750"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16EC722A" w14:textId="77777777" w:rsidR="001832AD" w:rsidRPr="003A6407" w:rsidRDefault="001832AD" w:rsidP="00593E55">
            <w:pPr>
              <w:shd w:val="clear" w:color="auto" w:fill="FFFFFF"/>
              <w:spacing w:before="120" w:after="120" w:line="240" w:lineRule="auto"/>
              <w:jc w:val="center"/>
              <w:rPr>
                <w:rFonts w:eastAsia="Calibri" w:cs="Times New Roman"/>
                <w:b/>
                <w:noProof/>
                <w:sz w:val="16"/>
                <w:szCs w:val="16"/>
              </w:rPr>
            </w:pPr>
          </w:p>
        </w:tc>
      </w:tr>
      <w:tr w:rsidR="001832AD" w:rsidRPr="003A6407" w14:paraId="155A0AF6" w14:textId="77777777" w:rsidTr="00593E55">
        <w:trPr>
          <w:trHeight w:val="340"/>
        </w:trPr>
        <w:tc>
          <w:tcPr>
            <w:tcW w:w="451" w:type="pct"/>
            <w:shd w:val="clear" w:color="auto" w:fill="auto"/>
            <w:vAlign w:val="center"/>
          </w:tcPr>
          <w:p w14:paraId="637584BB" w14:textId="31D0F30E" w:rsidR="001832AD" w:rsidRDefault="001832AD" w:rsidP="00593E5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6</w:t>
            </w:r>
            <w:r w:rsidRPr="003A6407">
              <w:rPr>
                <w:rFonts w:eastAsia="Calibri" w:cs="Times New Roman"/>
                <w:noProof/>
                <w:sz w:val="16"/>
                <w:szCs w:val="16"/>
              </w:rPr>
              <w:t xml:space="preserve"> (i)</w:t>
            </w:r>
          </w:p>
          <w:p w14:paraId="2E71E263" w14:textId="12D440E0" w:rsidR="001832AD" w:rsidRPr="003A6407" w:rsidRDefault="001832AD" w:rsidP="00593E5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8.1</w:t>
            </w:r>
          </w:p>
        </w:tc>
        <w:tc>
          <w:tcPr>
            <w:tcW w:w="494" w:type="pct"/>
            <w:shd w:val="clear" w:color="auto" w:fill="auto"/>
            <w:vAlign w:val="center"/>
          </w:tcPr>
          <w:p w14:paraId="6206AB62" w14:textId="3587C5C4" w:rsidR="001832AD" w:rsidRPr="003A6407" w:rsidRDefault="001832AD" w:rsidP="00593E5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FST</w:t>
            </w:r>
          </w:p>
        </w:tc>
        <w:tc>
          <w:tcPr>
            <w:tcW w:w="558" w:type="pct"/>
            <w:shd w:val="clear" w:color="auto" w:fill="auto"/>
            <w:vAlign w:val="center"/>
          </w:tcPr>
          <w:p w14:paraId="34E9AA04" w14:textId="77777777" w:rsidR="001832AD" w:rsidRPr="003A6407" w:rsidRDefault="001832AD" w:rsidP="00593E5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6D1E1E3B" w14:textId="77777777" w:rsidR="001832AD" w:rsidRDefault="001832AD" w:rsidP="00593E5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RCO10</w:t>
            </w:r>
          </w:p>
          <w:p w14:paraId="032C2603" w14:textId="3D153DA9" w:rsidR="00F45A7E" w:rsidRPr="003A6407" w:rsidRDefault="00F45A7E" w:rsidP="00593E5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(DOL5P)</w:t>
            </w:r>
          </w:p>
        </w:tc>
        <w:tc>
          <w:tcPr>
            <w:tcW w:w="1206" w:type="pct"/>
            <w:shd w:val="clear" w:color="auto" w:fill="auto"/>
            <w:vAlign w:val="center"/>
          </w:tcPr>
          <w:p w14:paraId="4FBAEA4D" w14:textId="77777777" w:rsidR="001832AD" w:rsidRPr="003A6407" w:rsidRDefault="001832AD" w:rsidP="00593E55">
            <w:pPr>
              <w:keepNext/>
              <w:keepLines/>
              <w:spacing w:before="200" w:after="0"/>
              <w:jc w:val="center"/>
              <w:outlineLvl w:val="2"/>
              <w:rPr>
                <w:rFonts w:eastAsia="Times New Roman" w:cs="Times New Roman"/>
                <w:b/>
                <w:bCs/>
                <w:noProof/>
              </w:rPr>
            </w:pPr>
            <w:bookmarkStart w:id="426" w:name="_Toc120464535"/>
            <w:r w:rsidRPr="003A6407">
              <w:rPr>
                <w:rFonts w:asciiTheme="minorHAnsi" w:eastAsia="Times New Roman" w:hAnsiTheme="minorHAnsi" w:cstheme="minorHAnsi"/>
                <w:bCs/>
                <w:noProof/>
              </w:rPr>
              <w:t>Przedsiębiorstwa współpracujące z organizacjami badawczymi</w:t>
            </w:r>
            <w:bookmarkEnd w:id="426"/>
          </w:p>
        </w:tc>
        <w:tc>
          <w:tcPr>
            <w:tcW w:w="884" w:type="pct"/>
            <w:shd w:val="clear" w:color="auto" w:fill="auto"/>
            <w:vAlign w:val="center"/>
          </w:tcPr>
          <w:p w14:paraId="50BB6211" w14:textId="4ACCBCC1" w:rsidR="001832AD" w:rsidRPr="003A6407" w:rsidRDefault="001832AD" w:rsidP="00593E5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przedsi</w:t>
            </w:r>
            <w:r w:rsidR="007241BC">
              <w:rPr>
                <w:rFonts w:eastAsia="Calibri" w:cs="Times New Roman"/>
                <w:noProof/>
                <w:sz w:val="16"/>
                <w:szCs w:val="16"/>
              </w:rPr>
              <w:t>ę</w:t>
            </w:r>
            <w:r>
              <w:rPr>
                <w:rFonts w:eastAsia="Calibri" w:cs="Times New Roman"/>
                <w:noProof/>
                <w:sz w:val="16"/>
                <w:szCs w:val="16"/>
              </w:rPr>
              <w:t>biorstwa</w:t>
            </w:r>
          </w:p>
        </w:tc>
        <w:tc>
          <w:tcPr>
            <w:tcW w:w="482" w:type="pct"/>
            <w:shd w:val="clear" w:color="auto" w:fill="auto"/>
            <w:vAlign w:val="center"/>
          </w:tcPr>
          <w:p w14:paraId="3FAE0BB4" w14:textId="695E8FD7" w:rsidR="001832AD" w:rsidRPr="003A6407" w:rsidRDefault="00FE3338" w:rsidP="00593E5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w:t>
            </w:r>
            <w:r w:rsidR="001832AD" w:rsidRPr="003A6407">
              <w:rPr>
                <w:rFonts w:eastAsia="Calibri" w:cs="Times New Roman"/>
                <w:noProof/>
                <w:sz w:val="16"/>
                <w:szCs w:val="16"/>
              </w:rPr>
              <w:t>,00</w:t>
            </w:r>
          </w:p>
        </w:tc>
        <w:tc>
          <w:tcPr>
            <w:tcW w:w="502" w:type="pct"/>
            <w:shd w:val="clear" w:color="auto" w:fill="auto"/>
            <w:vAlign w:val="center"/>
          </w:tcPr>
          <w:p w14:paraId="1303D6F4" w14:textId="69693B16" w:rsidR="001832AD" w:rsidRPr="003A6407" w:rsidRDefault="00FE3338" w:rsidP="00593E55">
            <w:pPr>
              <w:spacing w:after="0" w:line="240" w:lineRule="auto"/>
              <w:jc w:val="center"/>
              <w:rPr>
                <w:rFonts w:eastAsia="Calibri" w:cs="Times New Roman"/>
                <w:noProof/>
                <w:sz w:val="16"/>
                <w:szCs w:val="16"/>
              </w:rPr>
            </w:pPr>
            <w:r>
              <w:rPr>
                <w:rFonts w:eastAsia="Calibri" w:cs="Times New Roman"/>
                <w:noProof/>
                <w:sz w:val="16"/>
                <w:szCs w:val="16"/>
              </w:rPr>
              <w:t>30</w:t>
            </w:r>
            <w:r w:rsidR="001832AD" w:rsidRPr="003A6407">
              <w:rPr>
                <w:rFonts w:eastAsia="Calibri" w:cs="Times New Roman"/>
                <w:noProof/>
                <w:sz w:val="16"/>
                <w:szCs w:val="16"/>
              </w:rPr>
              <w:t>,00</w:t>
            </w:r>
          </w:p>
        </w:tc>
      </w:tr>
      <w:tr w:rsidR="001832AD" w:rsidRPr="003A6407" w14:paraId="3C362DC3" w14:textId="77777777" w:rsidTr="00593E55">
        <w:trPr>
          <w:trHeight w:val="340"/>
        </w:trPr>
        <w:tc>
          <w:tcPr>
            <w:tcW w:w="5000" w:type="pct"/>
            <w:gridSpan w:val="8"/>
            <w:shd w:val="clear" w:color="auto" w:fill="auto"/>
          </w:tcPr>
          <w:p w14:paraId="3A633B4F" w14:textId="77777777" w:rsidR="001832AD" w:rsidRPr="003A6407" w:rsidRDefault="001832AD" w:rsidP="00593E55">
            <w:pPr>
              <w:shd w:val="clear" w:color="auto" w:fill="FFFFFF"/>
              <w:spacing w:before="60" w:after="60" w:line="240" w:lineRule="auto"/>
              <w:jc w:val="both"/>
              <w:rPr>
                <w:rFonts w:eastAsia="Calibri"/>
              </w:rPr>
            </w:pPr>
            <w:r w:rsidRPr="003A6407">
              <w:rPr>
                <w:rFonts w:eastAsia="Calibri"/>
              </w:rPr>
              <w:t>Metodologia:</w:t>
            </w:r>
          </w:p>
          <w:p w14:paraId="0BE72B88" w14:textId="77777777" w:rsidR="001832AD" w:rsidRPr="003A6407" w:rsidRDefault="001832AD" w:rsidP="00593E55">
            <w:pPr>
              <w:shd w:val="clear" w:color="auto" w:fill="FFFFFF"/>
              <w:spacing w:before="60" w:after="60" w:line="240" w:lineRule="auto"/>
              <w:jc w:val="both"/>
              <w:rPr>
                <w:rFonts w:eastAsia="Calibri"/>
              </w:rPr>
            </w:pPr>
            <w:r w:rsidRPr="003A6407">
              <w:rPr>
                <w:rFonts w:eastAsia="Calibri"/>
              </w:rPr>
              <w:t>Wskaźnik realizuje kod interwencji:</w:t>
            </w:r>
          </w:p>
          <w:p w14:paraId="124E3733" w14:textId="77777777" w:rsidR="00FE3338" w:rsidRPr="00FE3338" w:rsidRDefault="00FE3338" w:rsidP="00FE3338">
            <w:pPr>
              <w:numPr>
                <w:ilvl w:val="0"/>
                <w:numId w:val="12"/>
              </w:numPr>
              <w:shd w:val="clear" w:color="auto" w:fill="FFFFFF"/>
              <w:spacing w:before="60" w:after="60" w:line="240" w:lineRule="auto"/>
              <w:contextualSpacing/>
              <w:jc w:val="both"/>
              <w:rPr>
                <w:rFonts w:eastAsia="Calibri" w:cs="Times New Roman"/>
              </w:rPr>
            </w:pPr>
            <w:r w:rsidRPr="00FE3338">
              <w:rPr>
                <w:rFonts w:eastAsia="Calibri" w:cs="Times New Roman"/>
              </w:rPr>
              <w:t>010 Działania badawcze i innowacyjne w MŚP, w tym tworzenie sieci kontaktów (5 000 000,00 EUR);</w:t>
            </w:r>
          </w:p>
          <w:p w14:paraId="5DA852C7" w14:textId="77777777" w:rsidR="00FE3338" w:rsidRPr="00FE3338" w:rsidRDefault="00FE3338" w:rsidP="00FE3338">
            <w:pPr>
              <w:numPr>
                <w:ilvl w:val="0"/>
                <w:numId w:val="12"/>
              </w:numPr>
              <w:shd w:val="clear" w:color="auto" w:fill="FFFFFF"/>
              <w:spacing w:before="60" w:after="60" w:line="240" w:lineRule="auto"/>
              <w:contextualSpacing/>
              <w:jc w:val="both"/>
              <w:rPr>
                <w:rFonts w:eastAsia="Calibri" w:cs="Times New Roman"/>
              </w:rPr>
            </w:pPr>
            <w:r w:rsidRPr="00FE3338">
              <w:rPr>
                <w:rFonts w:eastAsia="Calibri" w:cs="Times New Roman"/>
              </w:rPr>
              <w:t>029  Procesy badawcze i innowacyjne, transfer technologii i współpraca między przedsiębiorstwami, organizacjami badawczymi i uczelniami wyższymi, koncentrujące się na gospodarce niskoemisyjnej, odporności i przystosowaniu się do zmian klimatu (12 000 000,00 EUR);</w:t>
            </w:r>
          </w:p>
          <w:p w14:paraId="0E66F236" w14:textId="77777777" w:rsidR="00FE3338" w:rsidRDefault="00FE3338" w:rsidP="00FE3338">
            <w:pPr>
              <w:shd w:val="clear" w:color="auto" w:fill="FFFFFF"/>
              <w:spacing w:before="60" w:after="60" w:line="240" w:lineRule="auto"/>
              <w:contextualSpacing/>
              <w:jc w:val="both"/>
              <w:rPr>
                <w:rFonts w:eastAsia="Calibri" w:cs="Times New Roman"/>
              </w:rPr>
            </w:pPr>
          </w:p>
          <w:p w14:paraId="4C3137FD" w14:textId="7CFCEEED" w:rsidR="00FE3338" w:rsidRPr="00FE3338" w:rsidRDefault="00FE3338" w:rsidP="00FE3338">
            <w:pPr>
              <w:shd w:val="clear" w:color="auto" w:fill="FFFFFF"/>
              <w:spacing w:before="60" w:after="60" w:line="240" w:lineRule="auto"/>
              <w:contextualSpacing/>
              <w:jc w:val="both"/>
              <w:rPr>
                <w:rFonts w:eastAsia="Calibri" w:cs="Times New Roman"/>
              </w:rPr>
            </w:pPr>
            <w:r w:rsidRPr="00FE3338">
              <w:rPr>
                <w:rFonts w:eastAsia="Calibri" w:cs="Times New Roman"/>
              </w:rPr>
              <w:lastRenderedPageBreak/>
              <w:t>Biorąc pod uwagę kurs EUR na poziomie 4,45 suma alokacji na realizację wskaźnika wynosi   75 650 000,00    PLN.</w:t>
            </w:r>
          </w:p>
          <w:p w14:paraId="66AF556F" w14:textId="77777777" w:rsidR="001832AD" w:rsidRPr="003A6407" w:rsidRDefault="001832AD" w:rsidP="00593E55">
            <w:pPr>
              <w:shd w:val="clear" w:color="auto" w:fill="FFFFFF"/>
              <w:spacing w:before="60" w:after="60" w:line="240" w:lineRule="auto"/>
              <w:jc w:val="both"/>
              <w:rPr>
                <w:rFonts w:eastAsia="Calibri"/>
              </w:rPr>
            </w:pPr>
            <w:r w:rsidRPr="003A6407">
              <w:rPr>
                <w:rFonts w:eastAsia="Calibri"/>
              </w:rPr>
              <w:t xml:space="preserve">Historyczny kwalifikowalny koszt jednostkowy na bazie doświadczeń z perspektywy 2014-2020 wynosi </w:t>
            </w:r>
            <w:r w:rsidRPr="003A6407">
              <w:rPr>
                <w:rFonts w:eastAsia="Calibri"/>
              </w:rPr>
              <w:br/>
            </w:r>
            <w:bookmarkStart w:id="427" w:name="OLE_LINK2"/>
            <w:r w:rsidRPr="003A6407">
              <w:rPr>
                <w:rFonts w:eastAsia="Calibri"/>
              </w:rPr>
              <w:t xml:space="preserve">2 005 174,36 </w:t>
            </w:r>
            <w:bookmarkEnd w:id="427"/>
            <w:r w:rsidRPr="003A6407">
              <w:rPr>
                <w:rFonts w:eastAsia="Calibri"/>
              </w:rPr>
              <w:t xml:space="preserve">PLN. Koszt jednostkowy został skorygowany w oparciu o wartość inflacji na poziomie 15% i wynosi 2 305 950,52 PLN, uwzględniając dofinansowanie na poziomie 70% wynosi 1 614 165,36 PLN, tj. 362 733,79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6F6D6D6C" w14:textId="77777777" w:rsidR="001832AD" w:rsidRPr="003A6407" w:rsidRDefault="001832AD" w:rsidP="00593E55">
            <w:pPr>
              <w:spacing w:before="60" w:after="60" w:line="240" w:lineRule="auto"/>
              <w:jc w:val="both"/>
              <w:rPr>
                <w:rFonts w:eastAsia="Calibri"/>
              </w:rPr>
            </w:pPr>
            <w:r w:rsidRPr="003A6407">
              <w:rPr>
                <w:rFonts w:eastAsia="Calibri"/>
              </w:rPr>
              <w:t xml:space="preserve">R= [(5*25)+(2*68)]/7= 37,2%. Wartość zaokrąglono do pełnej wartości 37%. </w:t>
            </w:r>
          </w:p>
          <w:p w14:paraId="540BA9DD" w14:textId="77777777" w:rsidR="001832AD" w:rsidRPr="003A6407" w:rsidRDefault="001832AD" w:rsidP="00593E55">
            <w:pPr>
              <w:shd w:val="clear" w:color="auto" w:fill="FFFFFF"/>
              <w:spacing w:before="60" w:after="60" w:line="240" w:lineRule="auto"/>
              <w:jc w:val="both"/>
              <w:rPr>
                <w:rFonts w:eastAsia="Calibri"/>
              </w:rPr>
            </w:pPr>
          </w:p>
          <w:p w14:paraId="5E807733" w14:textId="77777777" w:rsidR="001832AD" w:rsidRPr="003A6407" w:rsidRDefault="001832AD" w:rsidP="00593E55">
            <w:pPr>
              <w:shd w:val="clear" w:color="auto" w:fill="FFFFFF"/>
              <w:spacing w:before="60" w:after="60" w:line="240" w:lineRule="auto"/>
              <w:jc w:val="both"/>
              <w:rPr>
                <w:rFonts w:eastAsia="Calibri"/>
              </w:rPr>
            </w:pPr>
            <w:r w:rsidRPr="003A6407">
              <w:rPr>
                <w:rFonts w:eastAsia="Calibri"/>
              </w:rPr>
              <w:t>Wyliczenie:</w:t>
            </w:r>
          </w:p>
          <w:p w14:paraId="0169B94C" w14:textId="1E9AB9B2" w:rsidR="001832AD" w:rsidRPr="003A6407" w:rsidRDefault="00FE3338" w:rsidP="00593E55">
            <w:pPr>
              <w:shd w:val="clear" w:color="auto" w:fill="FFFFFF"/>
              <w:spacing w:before="60" w:after="60" w:line="240" w:lineRule="auto"/>
              <w:jc w:val="both"/>
              <w:rPr>
                <w:rFonts w:eastAsia="Calibri"/>
              </w:rPr>
            </w:pPr>
            <w:r w:rsidRPr="00FE3338">
              <w:rPr>
                <w:rFonts w:eastAsia="Calibri"/>
              </w:rPr>
              <w:t xml:space="preserve">17 000 000,00 </w:t>
            </w:r>
            <w:r w:rsidR="001832AD" w:rsidRPr="003A6407">
              <w:rPr>
                <w:rFonts w:eastAsia="Calibri"/>
              </w:rPr>
              <w:t xml:space="preserve">/ 362 733,79 * (1-0,37) = </w:t>
            </w:r>
            <w:r>
              <w:rPr>
                <w:rFonts w:eastAsia="Calibri"/>
              </w:rPr>
              <w:t>30</w:t>
            </w:r>
            <w:r w:rsidR="001832AD" w:rsidRPr="003A6407">
              <w:rPr>
                <w:rFonts w:eastAsia="Calibri"/>
              </w:rPr>
              <w:t xml:space="preserve"> przedsiębiorstw</w:t>
            </w:r>
          </w:p>
          <w:p w14:paraId="4FF63CF3" w14:textId="77777777" w:rsidR="001832AD" w:rsidRPr="003A6407" w:rsidRDefault="001832AD" w:rsidP="00593E55">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348D13CA" w14:textId="77777777" w:rsidR="001832AD" w:rsidRPr="003A6407" w:rsidRDefault="001832AD" w:rsidP="006641B5">
            <w:pPr>
              <w:numPr>
                <w:ilvl w:val="0"/>
                <w:numId w:val="9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33D05B3" w14:textId="77777777" w:rsidR="001832AD" w:rsidRPr="003A6407" w:rsidRDefault="001832AD" w:rsidP="006641B5">
            <w:pPr>
              <w:numPr>
                <w:ilvl w:val="0"/>
                <w:numId w:val="94"/>
              </w:numPr>
              <w:shd w:val="clear" w:color="auto" w:fill="FFFFFF"/>
              <w:spacing w:before="60" w:after="60" w:line="240" w:lineRule="auto"/>
              <w:contextualSpacing/>
              <w:jc w:val="both"/>
              <w:rPr>
                <w:rFonts w:eastAsia="Calibri" w:cs="Times New Roman"/>
                <w:color w:val="000000"/>
              </w:rPr>
            </w:pPr>
            <w:r w:rsidRPr="003A6407">
              <w:rPr>
                <w:rFonts w:eastAsia="Calibri" w:cs="Times New Roman"/>
                <w:b/>
                <w:color w:val="000000"/>
              </w:rPr>
              <w:t xml:space="preserve">Zawieszenie płatności </w:t>
            </w:r>
            <w:r w:rsidRPr="003A6407">
              <w:rPr>
                <w:rFonts w:eastAsia="Calibri" w:cs="Times New Roman"/>
                <w:bCs/>
                <w:color w:val="000000"/>
              </w:rPr>
              <w:t>przez KE dla danej osi priorytetowej</w:t>
            </w:r>
            <w:r w:rsidRPr="003A6407">
              <w:rPr>
                <w:rFonts w:eastAsia="Calibri" w:cs="Times New Roman"/>
                <w:color w:val="000000"/>
              </w:rPr>
              <w:t>; (istotność: umiarkowana);</w:t>
            </w:r>
          </w:p>
          <w:p w14:paraId="77106B48" w14:textId="77777777" w:rsidR="001832AD" w:rsidRPr="003A6407" w:rsidRDefault="001832AD" w:rsidP="006641B5">
            <w:pPr>
              <w:numPr>
                <w:ilvl w:val="0"/>
                <w:numId w:val="94"/>
              </w:numPr>
              <w:shd w:val="clear" w:color="auto" w:fill="FFFFFF"/>
              <w:spacing w:before="60" w:after="60" w:line="240" w:lineRule="auto"/>
              <w:contextualSpacing/>
              <w:jc w:val="both"/>
              <w:rPr>
                <w:rFonts w:eastAsia="Calibri" w:cs="Times New Roman"/>
                <w:b/>
                <w:color w:val="000000"/>
              </w:rPr>
            </w:pPr>
            <w:r w:rsidRPr="003A6407">
              <w:rPr>
                <w:rFonts w:eastAsia="Calibri" w:cs="Times New Roman"/>
                <w:b/>
                <w:color w:val="000000"/>
              </w:rPr>
              <w:t xml:space="preserve">Opóźnienia, </w:t>
            </w:r>
            <w:r w:rsidRPr="003A6407">
              <w:rPr>
                <w:rFonts w:eastAsia="Calibri" w:cs="Times New Roman"/>
                <w:bCs/>
                <w:color w:val="000000"/>
              </w:rPr>
              <w:t>bądź niewykonanie projektu związane z problemem z zabezpieczenia wkładu własnego wnioskodawcy (istotność: poważna);</w:t>
            </w:r>
            <w:r w:rsidRPr="003A6407" w:rsidDel="00065428">
              <w:rPr>
                <w:rFonts w:eastAsia="Calibri" w:cs="Times New Roman"/>
                <w:b/>
                <w:color w:val="000000"/>
              </w:rPr>
              <w:t xml:space="preserve"> </w:t>
            </w:r>
          </w:p>
          <w:p w14:paraId="4BF09F65" w14:textId="77777777" w:rsidR="001832AD" w:rsidRPr="003A6407" w:rsidRDefault="001832AD" w:rsidP="006641B5">
            <w:pPr>
              <w:numPr>
                <w:ilvl w:val="0"/>
                <w:numId w:val="9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color w:val="000000"/>
              </w:rPr>
              <w:t xml:space="preserve">Wpływ pandemii Covid-19 </w:t>
            </w:r>
            <w:r w:rsidRPr="003A6407">
              <w:rPr>
                <w:rFonts w:eastAsia="Calibri" w:cs="Times New Roman"/>
                <w:bCs/>
                <w:color w:val="000000"/>
              </w:rPr>
              <w:t>na gospodarkę regionalną, potencjalne możliwości realizacji projektów, na zdolności inwestycyjne i nastroje przedsiębiorstw oraz innych beneficjentów do inwestowania, zdolność administracyjną i kadrową (istotność: umiarkowana).</w:t>
            </w:r>
          </w:p>
          <w:p w14:paraId="691FB171" w14:textId="77777777" w:rsidR="001832AD" w:rsidRPr="003A6407" w:rsidRDefault="001832AD" w:rsidP="006641B5">
            <w:pPr>
              <w:numPr>
                <w:ilvl w:val="0"/>
                <w:numId w:val="94"/>
              </w:numPr>
              <w:shd w:val="clear" w:color="auto" w:fill="FFFFFF"/>
              <w:spacing w:before="60" w:after="60" w:line="240" w:lineRule="auto"/>
              <w:contextualSpacing/>
              <w:jc w:val="both"/>
              <w:rPr>
                <w:rFonts w:eastAsia="Calibri" w:cs="Times New Roman"/>
                <w:bCs/>
                <w:color w:val="000000"/>
              </w:rPr>
            </w:pPr>
            <w:r w:rsidRPr="003A6407">
              <w:rPr>
                <w:rFonts w:eastAsia="Calibri" w:cs="Times New Roman"/>
                <w:b/>
                <w:bCs/>
                <w:color w:val="000000"/>
                <w:sz w:val="22"/>
                <w:szCs w:val="22"/>
              </w:rPr>
              <w:t>Brak zainteresowania oferowanym wsparciem</w:t>
            </w:r>
            <w:r w:rsidRPr="003A6407">
              <w:rPr>
                <w:rFonts w:eastAsia="Calibri" w:cs="Times New Roman"/>
                <w:color w:val="000000"/>
                <w:sz w:val="22"/>
                <w:szCs w:val="22"/>
              </w:rPr>
              <w:t xml:space="preserve"> ze strony przedsiębiorstw - (istotność: poważna);</w:t>
            </w:r>
          </w:p>
          <w:p w14:paraId="7FE72E63" w14:textId="77777777" w:rsidR="001832AD" w:rsidRPr="003A6407" w:rsidRDefault="001832AD" w:rsidP="006641B5">
            <w:pPr>
              <w:numPr>
                <w:ilvl w:val="0"/>
                <w:numId w:val="94"/>
              </w:numPr>
              <w:spacing w:after="0" w:line="240" w:lineRule="auto"/>
              <w:contextualSpacing/>
              <w:jc w:val="both"/>
              <w:rPr>
                <w:rFonts w:eastAsia="Calibri" w:cs="Times New Roman"/>
                <w:color w:val="000000"/>
              </w:rPr>
            </w:pPr>
            <w:r w:rsidRPr="003A6407">
              <w:rPr>
                <w:rFonts w:eastAsia="Calibri" w:cs="Times New Roman"/>
                <w:b/>
                <w:bCs/>
                <w:color w:val="000000"/>
              </w:rPr>
              <w:t>Duplikujące się przedsiębiorstwa</w:t>
            </w:r>
            <w:r w:rsidRPr="003A6407">
              <w:rPr>
                <w:rFonts w:eastAsia="Calibri" w:cs="Times New Roman"/>
                <w:color w:val="000000"/>
              </w:rPr>
              <w:t xml:space="preserve"> (istotność: umiarkowana);</w:t>
            </w:r>
          </w:p>
          <w:p w14:paraId="62EB9335" w14:textId="77777777" w:rsidR="001832AD" w:rsidRPr="003A6407" w:rsidRDefault="001832AD" w:rsidP="006641B5">
            <w:pPr>
              <w:numPr>
                <w:ilvl w:val="0"/>
                <w:numId w:val="94"/>
              </w:numPr>
              <w:spacing w:after="0" w:line="240" w:lineRule="auto"/>
              <w:contextualSpacing/>
              <w:jc w:val="both"/>
              <w:rPr>
                <w:rFonts w:eastAsia="Calibri" w:cs="Times New Roman"/>
                <w:color w:val="000000"/>
                <w:sz w:val="22"/>
                <w:szCs w:val="22"/>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027B5337" w14:textId="77777777" w:rsidR="001832AD" w:rsidRPr="003A6407" w:rsidRDefault="001832AD" w:rsidP="00593E55">
            <w:pPr>
              <w:spacing w:after="0" w:line="240" w:lineRule="auto"/>
              <w:contextualSpacing/>
              <w:jc w:val="both"/>
              <w:rPr>
                <w:rFonts w:eastAsia="Calibri" w:cs="Times New Roman"/>
                <w:b/>
                <w:bCs/>
                <w:color w:val="000000"/>
              </w:rPr>
            </w:pPr>
          </w:p>
          <w:p w14:paraId="50341B3A" w14:textId="77777777" w:rsidR="001832AD" w:rsidRPr="003A6407" w:rsidRDefault="001832AD" w:rsidP="00593E55">
            <w:pPr>
              <w:spacing w:after="0" w:line="240" w:lineRule="auto"/>
              <w:contextualSpacing/>
              <w:jc w:val="both"/>
              <w:rPr>
                <w:rFonts w:eastAsia="Calibri" w:cs="Times New Roman"/>
                <w:b/>
                <w:bCs/>
                <w:color w:val="000000"/>
              </w:rPr>
            </w:pPr>
            <w:r w:rsidRPr="003A6407">
              <w:rPr>
                <w:rFonts w:eastAsia="Calibri" w:cs="Times New Roman"/>
                <w:b/>
                <w:bCs/>
                <w:color w:val="000000"/>
              </w:rPr>
              <w:t>Uzasadnienie dla celu pośredniego:</w:t>
            </w:r>
          </w:p>
          <w:p w14:paraId="7A056D64" w14:textId="77777777" w:rsidR="001832AD" w:rsidRPr="003A6407" w:rsidRDefault="001832AD" w:rsidP="00593E55">
            <w:pPr>
              <w:spacing w:after="0" w:line="240" w:lineRule="auto"/>
              <w:contextualSpacing/>
              <w:jc w:val="both"/>
              <w:rPr>
                <w:rFonts w:eastAsia="Calibri" w:cs="Times New Roman"/>
                <w:b/>
                <w:bCs/>
                <w:color w:val="000000"/>
              </w:rPr>
            </w:pPr>
            <w:r w:rsidRPr="003A6407">
              <w:rPr>
                <w:rFonts w:eastAsia="Calibri" w:cs="Times New Roman"/>
                <w:b/>
                <w:bCs/>
                <w:color w:val="000000"/>
              </w:rPr>
              <w:t xml:space="preserve">Projekty infrastrukturalne finansowane w ramach EFRR/FST cechują się dłuższym okresem realizacji i rozliczenia a biorąc pod uwagę termin zatwierdzenia programu </w:t>
            </w:r>
            <w:r w:rsidRPr="00243B24">
              <w:rPr>
                <w:rFonts w:eastAsia="Calibri" w:cs="Times New Roman"/>
                <w:b/>
                <w:bCs/>
                <w:color w:val="000000"/>
              </w:rPr>
              <w:t>cel pośredni dla 2024 r. będzie mógł być osiągnięty na niskim poziomie</w:t>
            </w:r>
            <w:r w:rsidRPr="003A6407">
              <w:rPr>
                <w:rFonts w:eastAsia="Calibri" w:cs="Times New Roman"/>
                <w:b/>
                <w:bCs/>
                <w:color w:val="000000"/>
              </w:rPr>
              <w:t xml:space="preserve">. Przeanalizowano dane historyczne z wdrażania RPO WD 2014-2020 (PI 1b ), na podstawie Sprawozdania rocznego z 2021 r. - wskaźnik pn. Liczba przedsiębiorstw współpracujących z ośrodkami badawczymi (CI 26) dopiero w 2017 r. osiągnął wartość 16, co wobec wartości z wykonania na 2021 r. (243) stanowi zaledwie 6,6%. Mając na uwadze, że 2017 r. był już czwartym rokiem wdrażania programu RPO WD 2014-2020, a rok 2024 będzie de facto dopiero drugim rokiem wdrażania FEDS, wartość pośrednią dla tego wskaźnika ustalono </w:t>
            </w:r>
            <w:r w:rsidRPr="0036719D">
              <w:rPr>
                <w:rFonts w:eastAsia="Calibri" w:cs="Times New Roman"/>
                <w:b/>
                <w:bCs/>
                <w:color w:val="000000"/>
              </w:rPr>
              <w:t>na poziomie 3% wartości docelowej.</w:t>
            </w:r>
            <w:r w:rsidRPr="003A6407">
              <w:rPr>
                <w:rFonts w:eastAsia="Calibri" w:cs="Times New Roman"/>
                <w:b/>
                <w:bCs/>
                <w:color w:val="000000"/>
              </w:rPr>
              <w:t>.</w:t>
            </w:r>
          </w:p>
          <w:p w14:paraId="3D4286B2" w14:textId="77777777" w:rsidR="001832AD" w:rsidRPr="003A6407" w:rsidRDefault="001832AD" w:rsidP="00593E55">
            <w:pPr>
              <w:spacing w:after="0" w:line="240" w:lineRule="auto"/>
              <w:jc w:val="both"/>
              <w:rPr>
                <w:rFonts w:eastAsia="Calibri"/>
                <w:color w:val="000000"/>
              </w:rPr>
            </w:pPr>
          </w:p>
        </w:tc>
      </w:tr>
    </w:tbl>
    <w:p w14:paraId="77882E73" w14:textId="77777777" w:rsidR="001832AD" w:rsidRDefault="001832AD" w:rsidP="00BC2057">
      <w:pPr>
        <w:pStyle w:val="Nagwek2"/>
        <w:rPr>
          <w:rFonts w:eastAsia="Times New Roman"/>
        </w:rPr>
      </w:pPr>
    </w:p>
    <w:p w14:paraId="7B1C98D4" w14:textId="77777777" w:rsidR="00FD3041" w:rsidRDefault="00FD3041" w:rsidP="00FD3041">
      <w:pPr>
        <w:spacing w:after="160" w:line="256" w:lineRule="auto"/>
        <w:rPr>
          <w:rFonts w:eastAsia="Times New Roman" w:cs="Calibri"/>
          <w:lang w:eastAsia="pl-PL"/>
        </w:rPr>
      </w:pPr>
    </w:p>
    <w:tbl>
      <w:tblPr>
        <w:tblW w:w="4846" w:type="pct"/>
        <w:tblInd w:w="1" w:type="dxa"/>
        <w:tblLayout w:type="fixed"/>
        <w:tblCellMar>
          <w:left w:w="10" w:type="dxa"/>
          <w:right w:w="10" w:type="dxa"/>
        </w:tblCellMar>
        <w:tblLook w:val="04A0" w:firstRow="1" w:lastRow="0" w:firstColumn="1" w:lastColumn="0" w:noHBand="0" w:noVBand="1"/>
      </w:tblPr>
      <w:tblGrid>
        <w:gridCol w:w="611"/>
        <w:gridCol w:w="666"/>
        <w:gridCol w:w="752"/>
        <w:gridCol w:w="487"/>
        <w:gridCol w:w="1902"/>
        <w:gridCol w:w="741"/>
        <w:gridCol w:w="845"/>
        <w:gridCol w:w="843"/>
        <w:gridCol w:w="740"/>
        <w:gridCol w:w="738"/>
        <w:gridCol w:w="458"/>
      </w:tblGrid>
      <w:tr w:rsidR="00FD3041" w14:paraId="0A36A090" w14:textId="77777777" w:rsidTr="00390560">
        <w:trPr>
          <w:cantSplit/>
          <w:trHeight w:val="1679"/>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FFE0C" w14:textId="77777777" w:rsidR="00FD3041" w:rsidRDefault="00FD3041" w:rsidP="00390560">
            <w:pPr>
              <w:spacing w:before="120" w:after="120" w:line="240" w:lineRule="auto"/>
              <w:jc w:val="center"/>
              <w:rPr>
                <w:b/>
                <w:sz w:val="16"/>
                <w:szCs w:val="16"/>
              </w:rPr>
            </w:pPr>
            <w:r>
              <w:rPr>
                <w:b/>
                <w:sz w:val="16"/>
                <w:szCs w:val="16"/>
              </w:rPr>
              <w:t>CP 6</w:t>
            </w:r>
          </w:p>
          <w:p w14:paraId="4D61BDBE" w14:textId="77777777" w:rsidR="00FD3041" w:rsidRDefault="00FD3041" w:rsidP="00390560">
            <w:pPr>
              <w:spacing w:before="120" w:after="120" w:line="240" w:lineRule="auto"/>
              <w:jc w:val="center"/>
              <w:rPr>
                <w:b/>
                <w:sz w:val="16"/>
                <w:szCs w:val="16"/>
              </w:rPr>
            </w:pPr>
            <w:r>
              <w:rPr>
                <w:b/>
                <w:sz w:val="16"/>
                <w:szCs w:val="16"/>
              </w:rPr>
              <w:t>Cel szczegółowy</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90262" w14:textId="77777777" w:rsidR="00FD3041" w:rsidRDefault="00FD3041" w:rsidP="00390560">
            <w:pPr>
              <w:spacing w:before="120" w:after="120" w:line="240" w:lineRule="auto"/>
              <w:jc w:val="center"/>
              <w:rPr>
                <w:b/>
                <w:sz w:val="16"/>
                <w:szCs w:val="16"/>
              </w:rPr>
            </w:pPr>
            <w:r>
              <w:rPr>
                <w:b/>
                <w:sz w:val="16"/>
                <w:szCs w:val="16"/>
              </w:rPr>
              <w:t>Fundusz</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D33B6" w14:textId="77777777" w:rsidR="00FD3041" w:rsidRDefault="00FD3041" w:rsidP="00390560">
            <w:pPr>
              <w:spacing w:before="120" w:after="120" w:line="240" w:lineRule="auto"/>
              <w:jc w:val="center"/>
              <w:rPr>
                <w:b/>
                <w:sz w:val="16"/>
                <w:szCs w:val="16"/>
              </w:rPr>
            </w:pPr>
            <w:r>
              <w:rPr>
                <w:b/>
                <w:sz w:val="16"/>
                <w:szCs w:val="16"/>
              </w:rPr>
              <w:t>Kategoria regionu</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ED572E1" w14:textId="77777777" w:rsidR="00FD3041" w:rsidRDefault="00FD3041" w:rsidP="00390560">
            <w:pPr>
              <w:spacing w:before="120" w:after="120" w:line="240" w:lineRule="auto"/>
              <w:ind w:left="113" w:right="113"/>
              <w:jc w:val="center"/>
              <w:rPr>
                <w:b/>
                <w:sz w:val="16"/>
                <w:szCs w:val="16"/>
              </w:rPr>
            </w:pPr>
            <w:r>
              <w:rPr>
                <w:b/>
                <w:sz w:val="16"/>
                <w:szCs w:val="16"/>
              </w:rPr>
              <w:t>Nr identyfikacyjny [5]</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51090" w14:textId="77777777" w:rsidR="00FD3041" w:rsidRDefault="00FD3041" w:rsidP="00390560">
            <w:pPr>
              <w:spacing w:before="120" w:after="120" w:line="240" w:lineRule="auto"/>
              <w:jc w:val="center"/>
              <w:rPr>
                <w:b/>
                <w:sz w:val="16"/>
                <w:szCs w:val="16"/>
              </w:rPr>
            </w:pPr>
            <w:r>
              <w:rPr>
                <w:b/>
                <w:sz w:val="16"/>
                <w:szCs w:val="16"/>
              </w:rPr>
              <w:t>Wskaźnik [255]</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0790A4E" w14:textId="77777777" w:rsidR="00FD3041" w:rsidRDefault="00FD3041" w:rsidP="00390560">
            <w:pPr>
              <w:spacing w:before="120" w:after="120" w:line="240" w:lineRule="auto"/>
              <w:ind w:left="113" w:right="113"/>
              <w:jc w:val="center"/>
              <w:rPr>
                <w:b/>
                <w:sz w:val="16"/>
                <w:szCs w:val="16"/>
              </w:rPr>
            </w:pPr>
            <w:r>
              <w:rPr>
                <w:b/>
                <w:sz w:val="16"/>
                <w:szCs w:val="16"/>
              </w:rPr>
              <w:t>Jednostka miary</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E8D0956" w14:textId="77777777" w:rsidR="00FD3041" w:rsidRDefault="00FD3041" w:rsidP="00390560">
            <w:pPr>
              <w:spacing w:before="120" w:after="120" w:line="240" w:lineRule="auto"/>
              <w:ind w:left="113" w:right="113"/>
              <w:jc w:val="center"/>
              <w:rPr>
                <w:b/>
                <w:sz w:val="16"/>
                <w:szCs w:val="16"/>
              </w:rPr>
            </w:pPr>
            <w:r>
              <w:rPr>
                <w:b/>
                <w:sz w:val="16"/>
                <w:szCs w:val="16"/>
              </w:rPr>
              <w:t>Wartość bazowa lub wartość odniesienia</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3ABE828" w14:textId="77777777" w:rsidR="00FD3041" w:rsidRDefault="00FD3041" w:rsidP="00390560">
            <w:pPr>
              <w:spacing w:before="120" w:after="120" w:line="240" w:lineRule="auto"/>
              <w:ind w:left="113" w:right="113"/>
              <w:jc w:val="center"/>
              <w:rPr>
                <w:b/>
                <w:sz w:val="16"/>
                <w:szCs w:val="16"/>
              </w:rPr>
            </w:pPr>
            <w:r>
              <w:rPr>
                <w:b/>
                <w:sz w:val="16"/>
                <w:szCs w:val="16"/>
              </w:rPr>
              <w:t>Rok referencyjny</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61E0D" w14:textId="77777777" w:rsidR="00FD3041" w:rsidRDefault="00FD3041" w:rsidP="00390560">
            <w:pPr>
              <w:spacing w:before="120" w:after="120" w:line="240" w:lineRule="auto"/>
              <w:jc w:val="center"/>
              <w:rPr>
                <w:rFonts w:cs="Times New Roman"/>
                <w:b/>
                <w:sz w:val="16"/>
                <w:szCs w:val="16"/>
                <w:lang w:eastAsia="pl-PL"/>
              </w:rPr>
            </w:pPr>
            <w:r>
              <w:rPr>
                <w:rFonts w:cs="Times New Roman"/>
                <w:b/>
                <w:sz w:val="16"/>
                <w:szCs w:val="16"/>
                <w:lang w:eastAsia="pl-PL"/>
              </w:rPr>
              <w:t>Cel (2029)</w:t>
            </w:r>
          </w:p>
          <w:p w14:paraId="70EB9231" w14:textId="77777777" w:rsidR="00FD3041" w:rsidRDefault="00FD3041" w:rsidP="00390560">
            <w:pPr>
              <w:spacing w:before="120" w:after="120" w:line="240" w:lineRule="auto"/>
              <w:jc w:val="center"/>
              <w:rPr>
                <w:b/>
                <w:sz w:val="16"/>
                <w:szCs w:val="16"/>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447DB" w14:textId="77777777" w:rsidR="00FD3041" w:rsidRDefault="00FD3041" w:rsidP="00390560">
            <w:pPr>
              <w:spacing w:before="120" w:after="120" w:line="240" w:lineRule="auto"/>
              <w:jc w:val="center"/>
            </w:pPr>
            <w:r>
              <w:rPr>
                <w:rFonts w:cs="Times New Roman"/>
                <w:b/>
                <w:sz w:val="16"/>
                <w:szCs w:val="16"/>
                <w:lang w:eastAsia="pl-PL"/>
              </w:rPr>
              <w:t>Źródło danych [200]</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55F51" w14:textId="77777777" w:rsidR="00FD3041" w:rsidRDefault="00FD3041" w:rsidP="00390560">
            <w:pPr>
              <w:spacing w:before="120" w:after="120" w:line="240" w:lineRule="auto"/>
              <w:jc w:val="center"/>
            </w:pPr>
            <w:r>
              <w:rPr>
                <w:rFonts w:cs="Times New Roman"/>
                <w:b/>
                <w:sz w:val="16"/>
                <w:szCs w:val="16"/>
                <w:lang w:eastAsia="pl-PL"/>
              </w:rPr>
              <w:t>Uwagi [200]</w:t>
            </w:r>
          </w:p>
        </w:tc>
      </w:tr>
      <w:tr w:rsidR="00FD3041" w14:paraId="4EFEADF9" w14:textId="77777777" w:rsidTr="00390560">
        <w:trPr>
          <w:trHeight w:val="340"/>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A6AC8" w14:textId="77777777" w:rsidR="00FD3041" w:rsidRDefault="00FD3041" w:rsidP="00390560">
            <w:pPr>
              <w:spacing w:before="120" w:after="120" w:line="240" w:lineRule="auto"/>
              <w:jc w:val="center"/>
              <w:rPr>
                <w:sz w:val="16"/>
                <w:szCs w:val="16"/>
              </w:rPr>
            </w:pPr>
            <w:r>
              <w:rPr>
                <w:sz w:val="16"/>
                <w:szCs w:val="16"/>
              </w:rPr>
              <w:t>6 i</w:t>
            </w:r>
          </w:p>
          <w:p w14:paraId="469F7CE2" w14:textId="77777777" w:rsidR="00FD3041" w:rsidRDefault="00FD3041" w:rsidP="00390560">
            <w:pPr>
              <w:spacing w:before="120" w:after="120" w:line="240" w:lineRule="auto"/>
              <w:jc w:val="center"/>
              <w:rPr>
                <w:sz w:val="16"/>
                <w:szCs w:val="16"/>
              </w:rPr>
            </w:pPr>
            <w:r>
              <w:rPr>
                <w:sz w:val="16"/>
                <w:szCs w:val="16"/>
              </w:rPr>
              <w:t>8.1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6B840" w14:textId="77777777" w:rsidR="00FD3041" w:rsidRDefault="00FD3041" w:rsidP="00390560">
            <w:pPr>
              <w:spacing w:before="120" w:after="120" w:line="240" w:lineRule="auto"/>
              <w:jc w:val="center"/>
              <w:rPr>
                <w:sz w:val="16"/>
                <w:szCs w:val="16"/>
              </w:rPr>
            </w:pPr>
            <w:r>
              <w:rPr>
                <w:sz w:val="16"/>
                <w:szCs w:val="16"/>
              </w:rPr>
              <w:t>FST</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75A66" w14:textId="77777777" w:rsidR="00FD3041" w:rsidRDefault="00FD3041" w:rsidP="00390560">
            <w:pPr>
              <w:spacing w:before="120" w:after="120" w:line="240" w:lineRule="auto"/>
              <w:jc w:val="center"/>
              <w:rPr>
                <w:sz w:val="16"/>
                <w:szCs w:val="16"/>
              </w:rPr>
            </w:pPr>
            <w:r>
              <w:rPr>
                <w:sz w:val="16"/>
                <w:szCs w:val="16"/>
              </w:rPr>
              <w:t>przejściowy</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CB4E" w14:textId="77777777" w:rsidR="00FD3041" w:rsidRDefault="00FD3041" w:rsidP="00390560">
            <w:pPr>
              <w:spacing w:before="120" w:after="120" w:line="240" w:lineRule="auto"/>
              <w:jc w:val="center"/>
              <w:rPr>
                <w:sz w:val="16"/>
                <w:szCs w:val="16"/>
              </w:rPr>
            </w:pPr>
            <w:r>
              <w:rPr>
                <w:sz w:val="16"/>
                <w:szCs w:val="16"/>
              </w:rPr>
              <w:t>DOL1P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B376B" w14:textId="77777777" w:rsidR="00FD3041" w:rsidRPr="00FD3041" w:rsidRDefault="00FD3041" w:rsidP="00390560">
            <w:pPr>
              <w:keepNext/>
              <w:keepLines/>
              <w:spacing w:before="200" w:after="0"/>
              <w:jc w:val="center"/>
              <w:outlineLvl w:val="2"/>
              <w:rPr>
                <w:rFonts w:eastAsia="Times New Roman" w:cs="Times New Roman"/>
                <w:sz w:val="16"/>
                <w:szCs w:val="16"/>
              </w:rPr>
            </w:pPr>
            <w:bookmarkStart w:id="428" w:name="_Hlk120186859"/>
            <w:bookmarkStart w:id="429" w:name="_Toc120464536"/>
            <w:r w:rsidRPr="00FD3041">
              <w:rPr>
                <w:rFonts w:eastAsia="Times New Roman" w:cs="Times New Roman"/>
                <w:sz w:val="16"/>
                <w:szCs w:val="16"/>
              </w:rPr>
              <w:t>Powierzchnia budynków MŚP poddanych termomodernizacji</w:t>
            </w:r>
            <w:bookmarkEnd w:id="428"/>
            <w:bookmarkEnd w:id="429"/>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9D3AB" w14:textId="77777777" w:rsidR="00FD3041" w:rsidRDefault="00FD3041" w:rsidP="00390560">
            <w:pPr>
              <w:spacing w:before="120" w:after="120" w:line="240" w:lineRule="auto"/>
              <w:jc w:val="center"/>
              <w:rPr>
                <w:sz w:val="16"/>
                <w:szCs w:val="16"/>
              </w:rPr>
            </w:pPr>
            <w:r>
              <w:rPr>
                <w:sz w:val="16"/>
                <w:szCs w:val="16"/>
              </w:rPr>
              <w:t>m2</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A321E" w14:textId="77777777" w:rsidR="00FD3041" w:rsidRDefault="00FD3041" w:rsidP="00390560">
            <w:pPr>
              <w:spacing w:before="120" w:after="120" w:line="240" w:lineRule="auto"/>
              <w:jc w:val="center"/>
              <w:rPr>
                <w:sz w:val="16"/>
                <w:szCs w:val="16"/>
              </w:rPr>
            </w:pPr>
            <w:r>
              <w:rPr>
                <w:sz w:val="16"/>
                <w:szCs w:val="16"/>
              </w:rPr>
              <w:t>0,00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1916C" w14:textId="77777777" w:rsidR="00FD3041" w:rsidRDefault="00FD3041" w:rsidP="00390560">
            <w:pPr>
              <w:spacing w:before="120" w:after="120" w:line="240" w:lineRule="auto"/>
              <w:jc w:val="center"/>
              <w:rPr>
                <w:sz w:val="16"/>
                <w:szCs w:val="16"/>
              </w:rPr>
            </w:pPr>
            <w:r>
              <w:rPr>
                <w:sz w:val="16"/>
                <w:szCs w:val="16"/>
              </w:rPr>
              <w:t>2022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4C4FB" w14:textId="77777777" w:rsidR="00FD3041" w:rsidRDefault="00FD3041" w:rsidP="00390560">
            <w:pPr>
              <w:spacing w:before="120" w:after="120" w:line="240" w:lineRule="auto"/>
              <w:jc w:val="center"/>
              <w:rPr>
                <w:sz w:val="16"/>
                <w:szCs w:val="16"/>
              </w:rPr>
            </w:pPr>
            <w:r>
              <w:rPr>
                <w:sz w:val="16"/>
                <w:szCs w:val="16"/>
              </w:rPr>
              <w:t>92 542</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5CEFD" w14:textId="77777777" w:rsidR="00FD3041" w:rsidRDefault="00FD3041" w:rsidP="00390560">
            <w:pPr>
              <w:spacing w:before="120" w:after="120" w:line="240" w:lineRule="auto"/>
              <w:jc w:val="center"/>
              <w:rPr>
                <w:sz w:val="16"/>
                <w:szCs w:val="16"/>
              </w:rPr>
            </w:pPr>
            <w:r>
              <w:rPr>
                <w:sz w:val="16"/>
                <w:szCs w:val="16"/>
              </w:rPr>
              <w:t>SL</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298D9" w14:textId="77777777" w:rsidR="00FD3041" w:rsidRDefault="00FD3041" w:rsidP="00390560">
            <w:pPr>
              <w:spacing w:before="120" w:after="120" w:line="240" w:lineRule="auto"/>
              <w:jc w:val="center"/>
              <w:rPr>
                <w:sz w:val="16"/>
                <w:szCs w:val="16"/>
              </w:rPr>
            </w:pPr>
          </w:p>
        </w:tc>
      </w:tr>
      <w:tr w:rsidR="00FD3041" w14:paraId="0710CD93" w14:textId="77777777" w:rsidTr="00390560">
        <w:trPr>
          <w:trHeight w:val="340"/>
        </w:trPr>
        <w:tc>
          <w:tcPr>
            <w:tcW w:w="878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0E17" w14:textId="77777777" w:rsidR="00FD3041" w:rsidRDefault="00FD3041" w:rsidP="00390560">
            <w:pPr>
              <w:spacing w:before="60" w:after="60" w:line="240" w:lineRule="auto"/>
              <w:jc w:val="both"/>
            </w:pPr>
            <w:r>
              <w:lastRenderedPageBreak/>
              <w:t xml:space="preserve">Metodologia: Wskaźnik realizuje kod interwencji 040 Projekty w zakresie efektywności energetycznej </w:t>
            </w:r>
            <w:r>
              <w:br/>
              <w:t xml:space="preserve">i projekty demonstracyjne w MŚP lub w dużych przedsiębiorstwach oraz działania wspierające zgodne </w:t>
            </w:r>
            <w:r>
              <w:br/>
              <w:t xml:space="preserve">z kryteriami efektywności energetycznej w kwocie 35 145 364,00 EUR. </w:t>
            </w:r>
          </w:p>
          <w:p w14:paraId="0EDA39A9" w14:textId="77777777" w:rsidR="00FD3041" w:rsidRDefault="00FD3041" w:rsidP="00390560">
            <w:pPr>
              <w:spacing w:before="60" w:after="60" w:line="240" w:lineRule="auto"/>
              <w:jc w:val="both"/>
            </w:pPr>
          </w:p>
          <w:p w14:paraId="64E2CFCD" w14:textId="77777777" w:rsidR="00FD3041" w:rsidRDefault="00FD3041" w:rsidP="00390560">
            <w:pPr>
              <w:spacing w:before="60" w:after="60" w:line="240" w:lineRule="auto"/>
              <w:jc w:val="both"/>
            </w:pPr>
            <w:r>
              <w:t xml:space="preserve">Uwzględniając (odejmując) koszty uproszczone na poziomie 7%, wartość alokacji realizującej dany wskaźnik wynosi 32 685 188,50 EUR. </w:t>
            </w:r>
          </w:p>
          <w:p w14:paraId="6C4AC948" w14:textId="77777777" w:rsidR="00FD3041" w:rsidRDefault="00FD3041" w:rsidP="00390560">
            <w:pPr>
              <w:spacing w:before="60" w:after="60" w:line="240" w:lineRule="auto"/>
              <w:jc w:val="both"/>
            </w:pPr>
          </w:p>
          <w:p w14:paraId="0C18B8E2" w14:textId="77777777" w:rsidR="00FD3041" w:rsidRDefault="00FD3041" w:rsidP="00390560">
            <w:pPr>
              <w:spacing w:before="60" w:after="60" w:line="240" w:lineRule="auto"/>
              <w:jc w:val="both"/>
            </w:pPr>
            <w:r w:rsidRPr="00B256CA">
              <w:rPr>
                <w:i/>
              </w:rPr>
              <w:t>Historyczny koszt jednostkowy na bazie doświadczeń z perspektywy 2014-2020 wynosi</w:t>
            </w:r>
            <w:r>
              <w:rPr>
                <w:i/>
              </w:rPr>
              <w:t xml:space="preserve"> 1 149,96 </w:t>
            </w:r>
            <w:r>
              <w:t xml:space="preserve">PLN. Koszt jednostkowy został skorygowany w oparciu o wartość inflacji na poziomie 15%, co równa się 1 322,45 PLN, </w:t>
            </w:r>
            <w:r>
              <w:br/>
              <w:t xml:space="preserve">a wartość dofinansowania na poziomie 70% wynosi 925,72 PLN; biorąc pod uwagę kurs EUR na poziomie 4,45 koszt jednostkowy wynosi 208,03 EUR; na podstawie tych danych wyliczono wartość wskaźnika. Jednocześnie na podstawie </w:t>
            </w:r>
            <w:proofErr w:type="spellStart"/>
            <w:r>
              <w:t>ryzyk</w:t>
            </w:r>
            <w:proofErr w:type="spellEnd"/>
            <w:r>
              <w:t xml:space="preserve"> związanych z realizacją tego typu projektów określono wskaźnik kompensacji:</w:t>
            </w:r>
          </w:p>
          <w:p w14:paraId="2B7974F8" w14:textId="77777777" w:rsidR="00FD3041" w:rsidRDefault="00FD3041" w:rsidP="00390560">
            <w:pPr>
              <w:spacing w:before="60" w:after="60" w:line="240" w:lineRule="auto"/>
              <w:jc w:val="both"/>
            </w:pPr>
          </w:p>
          <w:p w14:paraId="6D8910C7" w14:textId="77777777" w:rsidR="00FD3041" w:rsidRPr="00B256CA" w:rsidRDefault="00FD3041" w:rsidP="00390560">
            <w:pPr>
              <w:spacing w:before="60" w:after="60" w:line="240" w:lineRule="auto"/>
              <w:jc w:val="both"/>
              <w:rPr>
                <w:i/>
              </w:rPr>
            </w:pPr>
            <w:r w:rsidRPr="00B256CA">
              <w:rPr>
                <w:i/>
              </w:rPr>
              <w:t>R: [(</w:t>
            </w:r>
            <w:r>
              <w:rPr>
                <w:i/>
              </w:rPr>
              <w:t>5</w:t>
            </w:r>
            <w:r w:rsidRPr="00B256CA">
              <w:rPr>
                <w:i/>
              </w:rPr>
              <w:t>*25)+(3*68)]/</w:t>
            </w:r>
            <w:r>
              <w:rPr>
                <w:i/>
              </w:rPr>
              <w:t>8</w:t>
            </w:r>
            <w:r w:rsidRPr="00B256CA">
              <w:rPr>
                <w:i/>
              </w:rPr>
              <w:t xml:space="preserve"> = </w:t>
            </w:r>
            <w:r>
              <w:rPr>
                <w:i/>
              </w:rPr>
              <w:t>41,1</w:t>
            </w:r>
            <w:r w:rsidRPr="00B256CA">
              <w:rPr>
                <w:i/>
              </w:rPr>
              <w:t>%</w:t>
            </w:r>
          </w:p>
          <w:p w14:paraId="3E559575" w14:textId="77777777" w:rsidR="00FD3041" w:rsidRDefault="00FD3041" w:rsidP="00390560">
            <w:pPr>
              <w:spacing w:before="60" w:after="60" w:line="240" w:lineRule="auto"/>
              <w:jc w:val="both"/>
            </w:pPr>
          </w:p>
          <w:p w14:paraId="74538A62" w14:textId="77777777" w:rsidR="00FD3041" w:rsidRDefault="00FD3041" w:rsidP="00390560">
            <w:pPr>
              <w:spacing w:before="60" w:after="60" w:line="240" w:lineRule="auto"/>
              <w:jc w:val="both"/>
            </w:pPr>
            <w:r>
              <w:t>Wyliczenie:</w:t>
            </w:r>
          </w:p>
          <w:p w14:paraId="43F0CC7C" w14:textId="77777777" w:rsidR="00FD3041" w:rsidRDefault="00FD3041" w:rsidP="00390560">
            <w:pPr>
              <w:spacing w:before="60" w:after="60" w:line="240" w:lineRule="auto"/>
              <w:jc w:val="both"/>
            </w:pPr>
            <w:r>
              <w:t>32 685 188,50 / 208,03 * (1-0,411) = 92 542 m2</w:t>
            </w:r>
          </w:p>
          <w:p w14:paraId="07E186B2" w14:textId="77777777" w:rsidR="00FD3041" w:rsidRDefault="00FD3041" w:rsidP="00390560">
            <w:pPr>
              <w:spacing w:before="60" w:after="60" w:line="240" w:lineRule="auto"/>
              <w:jc w:val="both"/>
            </w:pPr>
          </w:p>
          <w:p w14:paraId="71F8FF60" w14:textId="77777777" w:rsidR="00FD3041" w:rsidRPr="00B256CA" w:rsidRDefault="00FD3041" w:rsidP="00390560">
            <w:pPr>
              <w:spacing w:before="60" w:after="60" w:line="240" w:lineRule="auto"/>
              <w:jc w:val="both"/>
            </w:pPr>
            <w:r w:rsidRPr="00B256CA">
              <w:t>Należy zwrócić szczególną uwagę na następujące czynniki ryzyka, które może mogą mieć wpływ na poziom osiągnięcia założonej wartości docelowej:</w:t>
            </w:r>
          </w:p>
          <w:p w14:paraId="786A0639" w14:textId="77777777" w:rsidR="00FD3041" w:rsidRPr="00B256CA" w:rsidRDefault="00FD3041" w:rsidP="00390560">
            <w:pPr>
              <w:spacing w:before="60" w:after="60" w:line="240" w:lineRule="auto"/>
              <w:jc w:val="both"/>
            </w:pPr>
            <w:r w:rsidRPr="00B256CA">
              <w:t>•</w:t>
            </w:r>
            <w:r w:rsidRPr="00B256CA">
              <w:rPr>
                <w:b/>
              </w:rPr>
              <w:t>ryzyko wzrostu cen</w:t>
            </w:r>
            <w:r>
              <w:rPr>
                <w:b/>
              </w:rPr>
              <w:t xml:space="preserve"> </w:t>
            </w:r>
            <w:r w:rsidRPr="00B256CA">
              <w:t>- ryzyko</w:t>
            </w:r>
            <w:r>
              <w:t xml:space="preserve"> </w:t>
            </w:r>
            <w:r w:rsidRPr="00B256CA">
              <w:t>związane ze wzrostem cen</w:t>
            </w:r>
            <w:r>
              <w:t xml:space="preserve"> </w:t>
            </w:r>
            <w:r w:rsidRPr="00B256CA">
              <w:t>materiałów, sprzętu i usług; ryzyko związane z poziomem inflacji; (istotność: poważna)</w:t>
            </w:r>
          </w:p>
          <w:p w14:paraId="167DBEC2" w14:textId="77777777" w:rsidR="00FD3041" w:rsidRPr="00B256CA" w:rsidRDefault="00FD3041" w:rsidP="00390560">
            <w:pPr>
              <w:spacing w:before="60" w:after="60" w:line="240" w:lineRule="auto"/>
              <w:jc w:val="both"/>
            </w:pPr>
            <w:r w:rsidRPr="00B256CA">
              <w:t>•</w:t>
            </w:r>
            <w:r w:rsidRPr="00B256CA">
              <w:rPr>
                <w:b/>
              </w:rPr>
              <w:t>ryzyko walutowe</w:t>
            </w:r>
            <w:r w:rsidRPr="00B256CA">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umiarkowane)</w:t>
            </w:r>
          </w:p>
          <w:p w14:paraId="710BCA4D" w14:textId="77777777" w:rsidR="00FD3041" w:rsidRPr="00B256CA" w:rsidRDefault="00FD3041" w:rsidP="00390560">
            <w:pPr>
              <w:spacing w:before="60" w:after="60" w:line="240" w:lineRule="auto"/>
              <w:jc w:val="both"/>
            </w:pPr>
            <w:r w:rsidRPr="00B256CA">
              <w:t>•</w:t>
            </w:r>
            <w:r w:rsidRPr="00B256CA">
              <w:rPr>
                <w:b/>
              </w:rPr>
              <w:t>zawieszenie płatności przez KE dla danej osi priorytetowej</w:t>
            </w:r>
            <w:r w:rsidRPr="00B256CA">
              <w:t>; (istotność: umiarkowana)</w:t>
            </w:r>
          </w:p>
          <w:p w14:paraId="6C5CE428" w14:textId="77777777" w:rsidR="00FD3041" w:rsidRPr="00B256CA" w:rsidRDefault="00FD3041" w:rsidP="00390560">
            <w:pPr>
              <w:spacing w:before="60" w:after="60" w:line="240" w:lineRule="auto"/>
              <w:jc w:val="both"/>
            </w:pPr>
            <w:r w:rsidRPr="00B256CA">
              <w:t>•</w:t>
            </w:r>
            <w:r w:rsidRPr="00B256CA">
              <w:rPr>
                <w:b/>
                <w:bCs/>
              </w:rPr>
              <w:t>czynniki które mogą wpłynąć na harmonogram realizacji planów działania dot. spełnienia warunków podstawowych</w:t>
            </w:r>
            <w:r w:rsidRPr="00B256CA">
              <w:t xml:space="preserve"> a które są poza kompetencjami IZ oraz instytucji odpowiedzialnych za spełnienie tych warunków; (istotność: poważna)</w:t>
            </w:r>
          </w:p>
          <w:p w14:paraId="42A9B9DC" w14:textId="77777777" w:rsidR="00FD3041" w:rsidRPr="00B256CA" w:rsidRDefault="00FD3041" w:rsidP="00390560">
            <w:pPr>
              <w:spacing w:before="60" w:after="60" w:line="240" w:lineRule="auto"/>
              <w:jc w:val="both"/>
            </w:pPr>
            <w:r w:rsidRPr="00B256CA">
              <w:t>•</w:t>
            </w:r>
            <w:r w:rsidRPr="00B256CA">
              <w:rPr>
                <w:b/>
              </w:rPr>
              <w:t>problemy z zabezpieczeniem</w:t>
            </w:r>
            <w:r w:rsidRPr="00B256CA">
              <w:t xml:space="preserve"> </w:t>
            </w:r>
            <w:r w:rsidRPr="00B256CA">
              <w:rPr>
                <w:b/>
              </w:rPr>
              <w:t>wkładu własnego wnioskodawcy</w:t>
            </w:r>
            <w:r w:rsidRPr="00B256CA">
              <w:t>; (istotność: umiarkowana)</w:t>
            </w:r>
          </w:p>
          <w:p w14:paraId="044BF2FC" w14:textId="77777777" w:rsidR="00FD3041" w:rsidRPr="00B256CA" w:rsidRDefault="00FD3041" w:rsidP="00390560">
            <w:pPr>
              <w:spacing w:before="60" w:after="60" w:line="240" w:lineRule="auto"/>
              <w:jc w:val="both"/>
              <w:rPr>
                <w:b/>
              </w:rPr>
            </w:pPr>
            <w:r w:rsidRPr="00B256CA">
              <w:rPr>
                <w:b/>
              </w:rPr>
              <w:t xml:space="preserve">•opóźnienia, </w:t>
            </w:r>
            <w:r w:rsidRPr="00B256CA">
              <w:rPr>
                <w:bCs/>
              </w:rPr>
              <w:t>bądź niewykonanie projektu związane z procedurami wynikającymi z zamówień publicznych, braku wykonawców, sezonowością prac itp.; (istotność: poważna)</w:t>
            </w:r>
          </w:p>
          <w:p w14:paraId="70B55AA7" w14:textId="77777777" w:rsidR="00FD3041" w:rsidRPr="00B256CA" w:rsidRDefault="00FD3041" w:rsidP="00390560">
            <w:pPr>
              <w:spacing w:before="60" w:after="60" w:line="240" w:lineRule="auto"/>
              <w:jc w:val="both"/>
              <w:rPr>
                <w:b/>
              </w:rPr>
            </w:pPr>
            <w:r w:rsidRPr="00B256CA">
              <w:rPr>
                <w:b/>
              </w:rPr>
              <w:t xml:space="preserve">•zmiany w uwarunkowaniach prawnych mające wpływ na planowanie i realizację projektu. </w:t>
            </w:r>
            <w:r w:rsidRPr="00B256CA">
              <w:rPr>
                <w:bCs/>
              </w:rPr>
              <w:t>(istotność: umiarkowana)</w:t>
            </w:r>
          </w:p>
          <w:p w14:paraId="78639FD7" w14:textId="77777777" w:rsidR="00FD3041" w:rsidRDefault="00FD3041" w:rsidP="00390560">
            <w:pPr>
              <w:spacing w:before="60" w:after="60" w:line="240" w:lineRule="auto"/>
              <w:rPr>
                <w:bCs/>
              </w:rPr>
            </w:pPr>
            <w:r w:rsidRPr="00B256CA">
              <w:rPr>
                <w:b/>
              </w:rPr>
              <w:t xml:space="preserve">•wpływ pandemii koronawirusa SARS-CoV-2 </w:t>
            </w:r>
            <w:r w:rsidRPr="00B256CA">
              <w:rPr>
                <w:bCs/>
              </w:rPr>
              <w:t>na możliwość terminowego pozyskiwania zgód i pozwoleń administracyjnych</w:t>
            </w:r>
            <w:r w:rsidRPr="00B256CA" w:rsidDel="002E4947">
              <w:rPr>
                <w:bCs/>
              </w:rPr>
              <w:t xml:space="preserve"> </w:t>
            </w:r>
            <w:r w:rsidRPr="00B256CA">
              <w:rPr>
                <w:bCs/>
              </w:rPr>
              <w:t xml:space="preserve">(istotność: umiarkowana </w:t>
            </w:r>
          </w:p>
          <w:p w14:paraId="20F7FFF5" w14:textId="77777777" w:rsidR="00FD3041" w:rsidRDefault="00FD3041" w:rsidP="00390560">
            <w:pPr>
              <w:spacing w:before="60" w:after="60" w:line="240" w:lineRule="auto"/>
              <w:rPr>
                <w:bCs/>
              </w:rPr>
            </w:pPr>
          </w:p>
          <w:p w14:paraId="65230F6D" w14:textId="77777777" w:rsidR="00FD3041" w:rsidRPr="0014693F" w:rsidRDefault="00FD3041" w:rsidP="00390560">
            <w:pPr>
              <w:spacing w:before="60" w:after="60" w:line="240" w:lineRule="auto"/>
              <w:rPr>
                <w:bCs/>
              </w:rPr>
            </w:pPr>
            <w:r w:rsidRPr="0014693F">
              <w:rPr>
                <w:bCs/>
              </w:rPr>
              <w:t>Uzasadnienie dla celu pośredniego:</w:t>
            </w:r>
          </w:p>
          <w:p w14:paraId="0D13B5FF" w14:textId="77777777" w:rsidR="00FD3041" w:rsidRDefault="00FD3041" w:rsidP="00390560">
            <w:pPr>
              <w:spacing w:before="60" w:after="60" w:line="240" w:lineRule="auto"/>
              <w:rPr>
                <w:bCs/>
              </w:rPr>
            </w:pPr>
            <w:r w:rsidRPr="0014693F">
              <w:rPr>
                <w:bCs/>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4c Efektywność energetyczna w budynkach użyteczności publicznej i sektorze mieszkaniowym), na podstawie Sprawozdania rocznego z 2021 r. - wskaźnik pn. Powierzchnia użytkowa budynków poddanych termomodernizacji w 2017 r. osiągnął wartość 14 157 m2, co wobec wartości z wykonania na 2021 r. (1 125 737 m2) stanowi zaledwie 1,26%. Mając na uwadze, że 2017 r. był już czwartym rokiem wdrażania programu RPO WD 2014-2020, a rok 2024 będzie de facto dopiero drugim rokiem wdrażania FEDS, wartość pośrednią dla tego wskaźnika ustalono jako 0.</w:t>
            </w:r>
          </w:p>
          <w:p w14:paraId="4839B29B" w14:textId="77777777" w:rsidR="00FD3041" w:rsidRDefault="00FD3041" w:rsidP="00390560">
            <w:pPr>
              <w:spacing w:before="60" w:after="60" w:line="240" w:lineRule="auto"/>
              <w:rPr>
                <w:bCs/>
              </w:rPr>
            </w:pPr>
          </w:p>
          <w:p w14:paraId="6885BC46" w14:textId="77777777" w:rsidR="00FD3041" w:rsidRDefault="00FD3041" w:rsidP="00390560">
            <w:pPr>
              <w:spacing w:before="60" w:after="60" w:line="240" w:lineRule="auto"/>
              <w:rPr>
                <w:bCs/>
              </w:rPr>
            </w:pPr>
            <w:r>
              <w:rPr>
                <w:bCs/>
              </w:rPr>
              <w:lastRenderedPageBreak/>
              <w:t>Definicja:</w:t>
            </w:r>
          </w:p>
          <w:p w14:paraId="6D94ACB5" w14:textId="77777777" w:rsidR="00FD3041" w:rsidRPr="00A67D16" w:rsidRDefault="00FD3041" w:rsidP="00390560">
            <w:pPr>
              <w:spacing w:before="60" w:after="60" w:line="240" w:lineRule="auto"/>
              <w:rPr>
                <w:bCs/>
              </w:rPr>
            </w:pPr>
            <w:r w:rsidRPr="00A67D16">
              <w:rPr>
                <w:bCs/>
              </w:rPr>
              <w:t xml:space="preserve">Wskaźnik mierzy powierzchnię netto budynków poddanych termomodernizacji (wyrażoną w m2).  Termomodernizacja definiowana jest jako przedsięwzięcia służące poprawie efektywności energetycznej budynku.    </w:t>
            </w:r>
          </w:p>
          <w:p w14:paraId="7BB28F71" w14:textId="77777777" w:rsidR="00FD3041" w:rsidRPr="00B256CA" w:rsidRDefault="00FD3041" w:rsidP="00390560">
            <w:pPr>
              <w:spacing w:before="60" w:after="60" w:line="240" w:lineRule="auto"/>
              <w:rPr>
                <w:bCs/>
              </w:rPr>
            </w:pPr>
            <w:r w:rsidRPr="00A67D16">
              <w:rPr>
                <w:bCs/>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p w14:paraId="0C35CD47" w14:textId="77777777" w:rsidR="00FD3041" w:rsidRDefault="00FD3041" w:rsidP="00390560">
            <w:pPr>
              <w:spacing w:before="60" w:after="60" w:line="240" w:lineRule="auto"/>
              <w:jc w:val="both"/>
            </w:pPr>
          </w:p>
        </w:tc>
      </w:tr>
    </w:tbl>
    <w:p w14:paraId="3063AF55" w14:textId="77777777" w:rsidR="001832AD" w:rsidRDefault="001832AD" w:rsidP="00BC2057">
      <w:pPr>
        <w:pStyle w:val="Nagwek2"/>
        <w:rPr>
          <w:rFonts w:eastAsia="Times New Roman"/>
        </w:rPr>
      </w:pPr>
    </w:p>
    <w:p w14:paraId="082B3B01" w14:textId="77777777" w:rsidR="001832AD" w:rsidRDefault="001832AD" w:rsidP="00BC2057">
      <w:pPr>
        <w:pStyle w:val="Nagwek2"/>
        <w:rPr>
          <w:rFonts w:eastAsia="Times New Roman"/>
        </w:rPr>
      </w:pPr>
    </w:p>
    <w:p w14:paraId="49EE18D1" w14:textId="3A0FB8A4" w:rsidR="002C7A7F" w:rsidRPr="003A6407" w:rsidRDefault="002C7A7F" w:rsidP="00BC2057">
      <w:pPr>
        <w:pStyle w:val="Nagwek2"/>
        <w:rPr>
          <w:rFonts w:eastAsia="Times New Roman"/>
        </w:rPr>
      </w:pPr>
      <w:bookmarkStart w:id="430" w:name="_Toc120464537"/>
      <w:r w:rsidRPr="003A6407">
        <w:rPr>
          <w:rFonts w:eastAsia="Times New Roman"/>
        </w:rPr>
        <w:t>Wskaźniki rezultatu</w:t>
      </w:r>
      <w:bookmarkEnd w:id="423"/>
      <w:bookmarkEnd w:id="424"/>
      <w:bookmarkEnd w:id="425"/>
      <w:bookmarkEnd w:id="430"/>
      <w:r w:rsidRPr="003A6407">
        <w:rPr>
          <w:rFonts w:eastAsia="Times New Roman"/>
        </w:rPr>
        <w:t xml:space="preserve">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850"/>
        <w:gridCol w:w="1418"/>
        <w:gridCol w:w="850"/>
        <w:gridCol w:w="852"/>
        <w:gridCol w:w="515"/>
        <w:gridCol w:w="691"/>
        <w:gridCol w:w="691"/>
        <w:gridCol w:w="690"/>
      </w:tblGrid>
      <w:tr w:rsidR="00191FE2" w:rsidRPr="003A6407" w14:paraId="7F788068" w14:textId="77777777" w:rsidTr="001D52F2">
        <w:trPr>
          <w:cantSplit/>
          <w:trHeight w:val="1768"/>
        </w:trPr>
        <w:tc>
          <w:tcPr>
            <w:tcW w:w="375" w:type="pct"/>
            <w:vAlign w:val="center"/>
          </w:tcPr>
          <w:p w14:paraId="4E3ADAC6" w14:textId="77777777" w:rsidR="002C7A7F" w:rsidRPr="003A6407" w:rsidRDefault="002C7A7F" w:rsidP="001D52F2">
            <w:pPr>
              <w:spacing w:before="120" w:after="120" w:line="240" w:lineRule="auto"/>
              <w:jc w:val="center"/>
              <w:rPr>
                <w:rFonts w:eastAsia="Calibri" w:cs="Times New Roman"/>
                <w:b/>
                <w:noProof/>
                <w:sz w:val="16"/>
                <w:szCs w:val="16"/>
                <w:lang w:eastAsia="pl-PL"/>
              </w:rPr>
            </w:pPr>
            <w:bookmarkStart w:id="431" w:name="_Hlk120000795"/>
            <w:r w:rsidRPr="003A6407">
              <w:rPr>
                <w:rFonts w:eastAsia="Calibri" w:cs="Times New Roman"/>
                <w:b/>
                <w:noProof/>
                <w:sz w:val="16"/>
                <w:szCs w:val="16"/>
                <w:lang w:eastAsia="pl-PL"/>
              </w:rPr>
              <w:t>CP 6</w:t>
            </w:r>
          </w:p>
          <w:p w14:paraId="42E7B765" w14:textId="24EFA4E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345" w:type="pct"/>
            <w:vAlign w:val="center"/>
          </w:tcPr>
          <w:p w14:paraId="4E7372E2"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3E0B3619"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82" w:type="pct"/>
            <w:textDirection w:val="btLr"/>
            <w:vAlign w:val="center"/>
          </w:tcPr>
          <w:p w14:paraId="4F27296F"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04" w:type="pct"/>
            <w:shd w:val="clear" w:color="auto" w:fill="auto"/>
            <w:vAlign w:val="center"/>
          </w:tcPr>
          <w:p w14:paraId="2C6D64B0"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7BBC73D9"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83" w:type="pct"/>
            <w:textDirection w:val="btLr"/>
            <w:vAlign w:val="center"/>
          </w:tcPr>
          <w:p w14:paraId="07B549B7"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292" w:type="pct"/>
            <w:textDirection w:val="btLr"/>
            <w:vAlign w:val="center"/>
          </w:tcPr>
          <w:p w14:paraId="50D9AAF3"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49801254"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514C097D" w14:textId="77777777" w:rsidR="002C7A7F" w:rsidRPr="003A6407" w:rsidRDefault="002C7A7F" w:rsidP="001D52F2">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6D14EC9B" w14:textId="77777777" w:rsidR="002C7A7F" w:rsidRPr="003A6407" w:rsidRDefault="002C7A7F" w:rsidP="001D52F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56C5DB3C" w14:textId="77777777" w:rsidR="002C7A7F" w:rsidRPr="003A6407" w:rsidRDefault="002C7A7F" w:rsidP="001D52F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6BFF07CB" w14:textId="77777777" w:rsidTr="001D52F2">
        <w:trPr>
          <w:trHeight w:val="434"/>
        </w:trPr>
        <w:tc>
          <w:tcPr>
            <w:tcW w:w="375" w:type="pct"/>
            <w:vAlign w:val="center"/>
          </w:tcPr>
          <w:p w14:paraId="1C424CC4" w14:textId="77777777" w:rsidR="002C7A7F"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6 (i)</w:t>
            </w:r>
          </w:p>
          <w:p w14:paraId="4CE32066" w14:textId="3CE12724" w:rsidR="006641B5" w:rsidRPr="003A6407" w:rsidRDefault="006641B5" w:rsidP="001D52F2">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8.1</w:t>
            </w:r>
          </w:p>
        </w:tc>
        <w:tc>
          <w:tcPr>
            <w:tcW w:w="345" w:type="pct"/>
            <w:vAlign w:val="center"/>
          </w:tcPr>
          <w:p w14:paraId="405EC465" w14:textId="77777777" w:rsidR="002C7A7F" w:rsidRPr="003A6407" w:rsidRDefault="002C7A7F" w:rsidP="001D52F2">
            <w:pPr>
              <w:jc w:val="center"/>
              <w:rPr>
                <w:rFonts w:eastAsia="Calibri" w:cs="Times New Roman"/>
                <w:sz w:val="16"/>
                <w:szCs w:val="16"/>
              </w:rPr>
            </w:pPr>
            <w:r w:rsidRPr="003A6407">
              <w:rPr>
                <w:rFonts w:eastAsia="Calibri" w:cs="Times New Roman"/>
                <w:noProof/>
                <w:sz w:val="16"/>
                <w:szCs w:val="16"/>
              </w:rPr>
              <w:t>FST</w:t>
            </w:r>
          </w:p>
        </w:tc>
        <w:tc>
          <w:tcPr>
            <w:tcW w:w="562" w:type="pct"/>
            <w:vAlign w:val="center"/>
          </w:tcPr>
          <w:p w14:paraId="0EA11A48" w14:textId="77777777" w:rsidR="002C7A7F" w:rsidRPr="003A6407" w:rsidRDefault="002C7A7F" w:rsidP="001D52F2">
            <w:pPr>
              <w:jc w:val="center"/>
              <w:rPr>
                <w:rFonts w:eastAsia="Calibri" w:cs="Times New Roman"/>
                <w:sz w:val="16"/>
                <w:szCs w:val="16"/>
              </w:rPr>
            </w:pPr>
            <w:r w:rsidRPr="003A6407">
              <w:rPr>
                <w:rFonts w:eastAsia="Calibri" w:cs="Times New Roman"/>
                <w:noProof/>
                <w:sz w:val="16"/>
                <w:szCs w:val="16"/>
              </w:rPr>
              <w:t>Przejściowy</w:t>
            </w:r>
          </w:p>
        </w:tc>
        <w:tc>
          <w:tcPr>
            <w:tcW w:w="482" w:type="pct"/>
            <w:vAlign w:val="center"/>
          </w:tcPr>
          <w:p w14:paraId="5579E97D" w14:textId="77777777" w:rsidR="002C7A7F" w:rsidRPr="003A6407"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 01</w:t>
            </w:r>
          </w:p>
        </w:tc>
        <w:tc>
          <w:tcPr>
            <w:tcW w:w="804" w:type="pct"/>
            <w:shd w:val="clear" w:color="auto" w:fill="auto"/>
            <w:vAlign w:val="center"/>
          </w:tcPr>
          <w:p w14:paraId="40FF3621" w14:textId="77777777" w:rsidR="002C7A7F" w:rsidRPr="003A6407" w:rsidRDefault="002C7A7F" w:rsidP="001D52F2">
            <w:pPr>
              <w:keepNext/>
              <w:keepLines/>
              <w:spacing w:before="200" w:after="0"/>
              <w:jc w:val="center"/>
              <w:outlineLvl w:val="2"/>
              <w:rPr>
                <w:rFonts w:eastAsia="Calibri" w:cs="Times New Roman"/>
                <w:b/>
                <w:bCs/>
                <w:noProof/>
                <w:sz w:val="16"/>
                <w:szCs w:val="16"/>
                <w:lang w:eastAsia="pl-PL"/>
              </w:rPr>
            </w:pPr>
            <w:bookmarkStart w:id="432" w:name="_Toc95917160"/>
            <w:bookmarkStart w:id="433" w:name="_Toc97895949"/>
            <w:bookmarkStart w:id="434" w:name="_Toc114662381"/>
            <w:bookmarkStart w:id="435" w:name="_Toc120464538"/>
            <w:r w:rsidRPr="003A6407">
              <w:rPr>
                <w:rFonts w:asciiTheme="minorHAnsi" w:eastAsia="Times New Roman" w:hAnsiTheme="minorHAnsi" w:cstheme="minorHAnsi"/>
                <w:bCs/>
                <w:noProof/>
                <w:sz w:val="16"/>
                <w:szCs w:val="16"/>
              </w:rPr>
              <w:t>Miejsca pracy utworzone we wspieranych jednostkach</w:t>
            </w:r>
            <w:bookmarkEnd w:id="432"/>
            <w:bookmarkEnd w:id="433"/>
            <w:bookmarkEnd w:id="434"/>
            <w:bookmarkEnd w:id="435"/>
          </w:p>
        </w:tc>
        <w:tc>
          <w:tcPr>
            <w:tcW w:w="482" w:type="pct"/>
            <w:vAlign w:val="center"/>
          </w:tcPr>
          <w:p w14:paraId="19CC620A" w14:textId="77777777" w:rsidR="002C7A7F" w:rsidRPr="003A6407" w:rsidRDefault="002C7A7F" w:rsidP="001D52F2">
            <w:pPr>
              <w:jc w:val="center"/>
              <w:rPr>
                <w:rFonts w:eastAsia="Calibri" w:cs="Times New Roman"/>
                <w:noProof/>
                <w:sz w:val="16"/>
                <w:szCs w:val="16"/>
              </w:rPr>
            </w:pPr>
          </w:p>
          <w:p w14:paraId="50D9C923" w14:textId="68209F34" w:rsidR="002C7A7F" w:rsidRPr="003A6407" w:rsidRDefault="00C37117" w:rsidP="001D52F2">
            <w:pPr>
              <w:jc w:val="center"/>
              <w:rPr>
                <w:rFonts w:eastAsia="Calibri" w:cs="Times New Roman"/>
                <w:noProof/>
                <w:sz w:val="16"/>
                <w:szCs w:val="16"/>
              </w:rPr>
            </w:pPr>
            <w:r>
              <w:rPr>
                <w:rFonts w:eastAsia="Calibri" w:cs="Times New Roman"/>
                <w:noProof/>
                <w:sz w:val="16"/>
                <w:szCs w:val="16"/>
              </w:rPr>
              <w:t>roczn</w:t>
            </w:r>
            <w:r w:rsidR="001910A1">
              <w:rPr>
                <w:rFonts w:eastAsia="Calibri" w:cs="Times New Roman"/>
                <w:noProof/>
                <w:sz w:val="16"/>
                <w:szCs w:val="16"/>
              </w:rPr>
              <w:t>y</w:t>
            </w:r>
            <w:r>
              <w:rPr>
                <w:rFonts w:eastAsia="Calibri" w:cs="Times New Roman"/>
                <w:noProof/>
                <w:sz w:val="16"/>
                <w:szCs w:val="16"/>
              </w:rPr>
              <w:t xml:space="preserve"> </w:t>
            </w:r>
            <w:r w:rsidR="002C7A7F" w:rsidRPr="003A6407">
              <w:rPr>
                <w:rFonts w:eastAsia="Calibri" w:cs="Times New Roman"/>
                <w:noProof/>
                <w:sz w:val="16"/>
                <w:szCs w:val="16"/>
              </w:rPr>
              <w:t>EPC</w:t>
            </w:r>
          </w:p>
        </w:tc>
        <w:tc>
          <w:tcPr>
            <w:tcW w:w="483" w:type="pct"/>
            <w:vAlign w:val="center"/>
          </w:tcPr>
          <w:p w14:paraId="4E0623B3" w14:textId="77777777" w:rsidR="002C7A7F" w:rsidRPr="003A6407" w:rsidRDefault="002C7A7F" w:rsidP="001D52F2">
            <w:pPr>
              <w:spacing w:before="120" w:after="120" w:line="240" w:lineRule="auto"/>
              <w:jc w:val="center"/>
              <w:rPr>
                <w:rFonts w:eastAsia="Calibri" w:cs="Times New Roman"/>
                <w:noProof/>
                <w:sz w:val="16"/>
                <w:szCs w:val="16"/>
              </w:rPr>
            </w:pPr>
            <w:r w:rsidRPr="003A6407">
              <w:rPr>
                <w:rFonts w:eastAsia="Calibri" w:cs="Times New Roman"/>
                <w:noProof/>
                <w:sz w:val="16"/>
                <w:szCs w:val="16"/>
              </w:rPr>
              <w:t>0</w:t>
            </w:r>
          </w:p>
        </w:tc>
        <w:tc>
          <w:tcPr>
            <w:tcW w:w="292" w:type="pct"/>
            <w:vAlign w:val="center"/>
          </w:tcPr>
          <w:p w14:paraId="5C9457A7" w14:textId="7EC95F65" w:rsidR="002C7A7F" w:rsidRPr="003A6407" w:rsidRDefault="009E03DD" w:rsidP="001D52F2">
            <w:pPr>
              <w:spacing w:before="120" w:after="120" w:line="240" w:lineRule="auto"/>
              <w:jc w:val="center"/>
              <w:rPr>
                <w:rFonts w:eastAsia="Calibri" w:cs="Times New Roman"/>
                <w:noProof/>
                <w:sz w:val="16"/>
                <w:szCs w:val="16"/>
              </w:rPr>
            </w:pPr>
            <w:r w:rsidRPr="003A6407">
              <w:rPr>
                <w:rFonts w:eastAsia="Calibri" w:cs="Times New Roman"/>
                <w:noProof/>
                <w:sz w:val="16"/>
                <w:szCs w:val="16"/>
              </w:rPr>
              <w:t>2022</w:t>
            </w:r>
          </w:p>
        </w:tc>
        <w:tc>
          <w:tcPr>
            <w:tcW w:w="392" w:type="pct"/>
            <w:shd w:val="clear" w:color="auto" w:fill="auto"/>
            <w:vAlign w:val="center"/>
          </w:tcPr>
          <w:p w14:paraId="41F38267" w14:textId="54E9C70D" w:rsidR="002C7A7F" w:rsidRPr="003A6407" w:rsidRDefault="008B1997" w:rsidP="001D52F2">
            <w:pPr>
              <w:spacing w:after="0" w:line="240" w:lineRule="auto"/>
              <w:jc w:val="center"/>
              <w:rPr>
                <w:rFonts w:eastAsia="Calibri" w:cs="Times New Roman"/>
                <w:noProof/>
                <w:sz w:val="16"/>
                <w:szCs w:val="16"/>
              </w:rPr>
            </w:pPr>
            <w:r>
              <w:rPr>
                <w:rFonts w:eastAsia="Calibri" w:cs="Times New Roman"/>
                <w:noProof/>
                <w:sz w:val="16"/>
                <w:szCs w:val="16"/>
              </w:rPr>
              <w:t xml:space="preserve"> </w:t>
            </w:r>
            <w:r w:rsidR="003007F4">
              <w:rPr>
                <w:rFonts w:eastAsia="Calibri" w:cs="Times New Roman"/>
                <w:noProof/>
                <w:sz w:val="16"/>
                <w:szCs w:val="16"/>
              </w:rPr>
              <w:t>1074</w:t>
            </w:r>
          </w:p>
        </w:tc>
        <w:tc>
          <w:tcPr>
            <w:tcW w:w="392" w:type="pct"/>
            <w:shd w:val="clear" w:color="auto" w:fill="auto"/>
            <w:vAlign w:val="center"/>
          </w:tcPr>
          <w:p w14:paraId="35DE7000" w14:textId="3532242C" w:rsidR="002C7A7F" w:rsidRPr="003A6407" w:rsidRDefault="009E03DD" w:rsidP="001D52F2">
            <w:pPr>
              <w:spacing w:before="120" w:after="120" w:line="480" w:lineRule="auto"/>
              <w:jc w:val="center"/>
              <w:rPr>
                <w:rFonts w:eastAsia="Calibri" w:cs="Times New Roman"/>
                <w:noProof/>
                <w:sz w:val="16"/>
                <w:szCs w:val="16"/>
              </w:rPr>
            </w:pPr>
            <w:r w:rsidRPr="003A6407">
              <w:rPr>
                <w:rFonts w:eastAsia="Calibri" w:cs="Times New Roman"/>
                <w:noProof/>
                <w:sz w:val="16"/>
                <w:szCs w:val="16"/>
              </w:rPr>
              <w:t>SL</w:t>
            </w:r>
          </w:p>
        </w:tc>
        <w:tc>
          <w:tcPr>
            <w:tcW w:w="391" w:type="pct"/>
            <w:vAlign w:val="center"/>
          </w:tcPr>
          <w:p w14:paraId="317B8DE3" w14:textId="77777777" w:rsidR="002C7A7F" w:rsidRPr="003A6407" w:rsidRDefault="002C7A7F" w:rsidP="001D52F2">
            <w:pPr>
              <w:jc w:val="center"/>
              <w:rPr>
                <w:rFonts w:eastAsia="Calibri" w:cs="Times New Roman"/>
                <w:noProof/>
                <w:sz w:val="16"/>
                <w:szCs w:val="16"/>
              </w:rPr>
            </w:pPr>
          </w:p>
        </w:tc>
      </w:tr>
      <w:tr w:rsidR="002C7A7F" w:rsidRPr="003A6407" w14:paraId="51807785" w14:textId="77777777" w:rsidTr="002B58A1">
        <w:trPr>
          <w:trHeight w:val="434"/>
        </w:trPr>
        <w:tc>
          <w:tcPr>
            <w:tcW w:w="5000" w:type="pct"/>
            <w:gridSpan w:val="11"/>
          </w:tcPr>
          <w:p w14:paraId="31DAD7C8"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Metodologia:</w:t>
            </w:r>
          </w:p>
          <w:p w14:paraId="3394CFD3"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Wskaźnik realizuje kod interwencji:</w:t>
            </w:r>
          </w:p>
          <w:p w14:paraId="6EF5A605" w14:textId="0A0FEDDC"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021 Rozwój działalności i umiędzynarodowienie MŚP, w tym inwestycje produkcyjne (</w:t>
            </w:r>
            <w:r w:rsidR="003C129F">
              <w:rPr>
                <w:rFonts w:eastAsia="Calibri" w:cs="Times New Roman"/>
              </w:rPr>
              <w:t>45</w:t>
            </w:r>
            <w:r w:rsidR="003C129F" w:rsidRPr="003A6407">
              <w:rPr>
                <w:rFonts w:eastAsia="Calibri" w:cs="Times New Roman"/>
              </w:rPr>
              <w:t xml:space="preserve"> </w:t>
            </w:r>
            <w:r w:rsidRPr="003A6407">
              <w:rPr>
                <w:rFonts w:eastAsia="Calibri" w:cs="Times New Roman"/>
              </w:rPr>
              <w:t>000 000,00 EUR).</w:t>
            </w:r>
          </w:p>
          <w:p w14:paraId="60EEFBE2" w14:textId="2024C41A"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Biorąc pod uwagę kurs EUR na poziomie 4,45 suma alokacji na realizację wskaźnika wynosi </w:t>
            </w:r>
            <w:r w:rsidR="006B1AA4" w:rsidRPr="006B1AA4">
              <w:rPr>
                <w:rFonts w:eastAsia="Calibri"/>
              </w:rPr>
              <w:t xml:space="preserve"> 200 250 000,00    </w:t>
            </w:r>
            <w:r w:rsidRPr="003A6407">
              <w:rPr>
                <w:rFonts w:eastAsia="Calibri"/>
              </w:rPr>
              <w:t xml:space="preserve">PLN. </w:t>
            </w:r>
          </w:p>
          <w:p w14:paraId="4B4206DC" w14:textId="749CA9AA" w:rsidR="002C7A7F" w:rsidRPr="003A6407" w:rsidRDefault="002C7A7F" w:rsidP="002C7A7F">
            <w:pPr>
              <w:shd w:val="clear" w:color="auto" w:fill="FFFFFF"/>
              <w:spacing w:before="60" w:after="60" w:line="240" w:lineRule="auto"/>
              <w:jc w:val="both"/>
              <w:rPr>
                <w:rFonts w:eastAsia="Calibri"/>
              </w:rPr>
            </w:pPr>
            <w:r w:rsidRPr="003A6407">
              <w:rPr>
                <w:rFonts w:eastAsia="Calibri"/>
              </w:rPr>
              <w:t>Koszt jednostkowy wyliczony na bazie wskaźnika EECO02 z CP4 a „Liczba osób bezrobotnych, w tym długotrwale bezrobotnych, objętych wsparciem w programie”, który wynosi 19 507,89 PLN. Koszt jednostkowy został skorygowany w oparciu o wartość inflacji na poziomie 15% i wynosi 22 434,07 PLN</w:t>
            </w:r>
            <w:r w:rsidR="00E170FA">
              <w:rPr>
                <w:rFonts w:eastAsia="Calibri"/>
              </w:rPr>
              <w:t>,</w:t>
            </w:r>
            <w:r w:rsidR="00E170FA">
              <w:t xml:space="preserve"> </w:t>
            </w:r>
            <w:r w:rsidR="00E170FA" w:rsidRPr="00E170FA">
              <w:rPr>
                <w:rFonts w:eastAsia="Calibri"/>
              </w:rPr>
              <w:t>a obniżony do wartości dofinansowania na poziomie 70% wynosi 15 703,85 PLN</w:t>
            </w:r>
            <w:r w:rsidR="003007F4">
              <w:rPr>
                <w:rFonts w:eastAsia="Calibri"/>
              </w:rPr>
              <w:t>,</w:t>
            </w:r>
            <w:r w:rsidR="00E170FA" w:rsidRPr="00E170FA">
              <w:rPr>
                <w:rFonts w:eastAsia="Calibri"/>
              </w:rPr>
              <w:t xml:space="preserve"> tj.  w zaokrągleniu 3 528,96 EUR. </w:t>
            </w:r>
            <w:r w:rsidR="001D3E4C">
              <w:rPr>
                <w:rFonts w:eastAsia="Calibri"/>
              </w:rPr>
              <w:t xml:space="preserve"> </w:t>
            </w:r>
            <w:r w:rsidRPr="003A6407">
              <w:rPr>
                <w:rFonts w:eastAsia="Calibri"/>
              </w:rPr>
              <w:t xml:space="preserve">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3F0E0621" w14:textId="77777777" w:rsidR="002C7A7F" w:rsidRPr="003A6407" w:rsidRDefault="002C7A7F" w:rsidP="002C7A7F">
            <w:pPr>
              <w:spacing w:before="60" w:after="60" w:line="240" w:lineRule="auto"/>
              <w:jc w:val="both"/>
              <w:rPr>
                <w:rFonts w:eastAsia="Calibri"/>
              </w:rPr>
            </w:pPr>
            <w:r w:rsidRPr="003A6407">
              <w:rPr>
                <w:rFonts w:eastAsia="Calibri"/>
              </w:rPr>
              <w:t xml:space="preserve">R= [(5*25)+(3*68)]/8= 41,1. Wartość zaokrąglono do pełnej wartości 41%. </w:t>
            </w:r>
          </w:p>
          <w:p w14:paraId="180E0286" w14:textId="77777777" w:rsidR="002C7A7F" w:rsidRPr="003A6407" w:rsidRDefault="002C7A7F" w:rsidP="002C7A7F">
            <w:pPr>
              <w:shd w:val="clear" w:color="auto" w:fill="FFFFFF"/>
              <w:spacing w:before="60" w:after="60" w:line="240" w:lineRule="auto"/>
              <w:jc w:val="both"/>
              <w:rPr>
                <w:rFonts w:eastAsia="Calibri"/>
              </w:rPr>
            </w:pPr>
          </w:p>
          <w:p w14:paraId="6C837CAF"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Wyliczenie:</w:t>
            </w:r>
          </w:p>
          <w:p w14:paraId="0B5333A6" w14:textId="7DC61726" w:rsidR="002C7A7F" w:rsidRPr="003A6407" w:rsidRDefault="008B1997" w:rsidP="002C7A7F">
            <w:pPr>
              <w:shd w:val="clear" w:color="auto" w:fill="FFFFFF"/>
              <w:spacing w:before="60" w:after="60" w:line="240" w:lineRule="auto"/>
              <w:jc w:val="both"/>
              <w:rPr>
                <w:rFonts w:eastAsia="Calibri"/>
              </w:rPr>
            </w:pPr>
            <w:r>
              <w:rPr>
                <w:rFonts w:eastAsia="Calibri"/>
              </w:rPr>
              <w:t>(</w:t>
            </w:r>
            <w:r w:rsidR="006B1AA4">
              <w:rPr>
                <w:rFonts w:eastAsia="Calibri"/>
              </w:rPr>
              <w:t>45</w:t>
            </w:r>
            <w:r w:rsidR="006B1AA4" w:rsidRPr="003A6407">
              <w:rPr>
                <w:rFonts w:eastAsia="Calibri"/>
              </w:rPr>
              <w:t xml:space="preserve"> </w:t>
            </w:r>
            <w:r w:rsidR="002C7A7F" w:rsidRPr="003A6407">
              <w:rPr>
                <w:rFonts w:eastAsia="Calibri"/>
              </w:rPr>
              <w:t xml:space="preserve">000 000,00 / </w:t>
            </w:r>
            <w:r w:rsidR="003007F4" w:rsidRPr="003007F4">
              <w:rPr>
                <w:rFonts w:eastAsia="Calibri"/>
              </w:rPr>
              <w:t xml:space="preserve">3 528,96 </w:t>
            </w:r>
            <w:r w:rsidR="002C7A7F" w:rsidRPr="003A6407">
              <w:rPr>
                <w:rFonts w:eastAsia="Calibri"/>
              </w:rPr>
              <w:t>* (1-0,41)</w:t>
            </w:r>
            <w:r>
              <w:rPr>
                <w:rFonts w:eastAsia="Calibri"/>
              </w:rPr>
              <w:t>) / 7 lat</w:t>
            </w:r>
            <w:r w:rsidR="002C7A7F" w:rsidRPr="003A6407">
              <w:rPr>
                <w:rFonts w:eastAsia="Calibri"/>
              </w:rPr>
              <w:t xml:space="preserve"> = </w:t>
            </w:r>
            <w:r w:rsidR="003007F4">
              <w:rPr>
                <w:rFonts w:eastAsia="Calibri"/>
              </w:rPr>
              <w:t>w zaokrągleniu do pełnej wartości</w:t>
            </w:r>
            <w:r w:rsidR="006B48D4">
              <w:rPr>
                <w:rFonts w:eastAsia="Calibri"/>
              </w:rPr>
              <w:t xml:space="preserve"> </w:t>
            </w:r>
            <w:r w:rsidR="003007F4">
              <w:rPr>
                <w:rFonts w:eastAsia="Calibri"/>
              </w:rPr>
              <w:t>(bez uwzględniania miejsc po przecinku) 1074</w:t>
            </w:r>
            <w:r w:rsidR="003007F4" w:rsidRPr="003A6407">
              <w:rPr>
                <w:rFonts w:eastAsia="Calibri"/>
              </w:rPr>
              <w:t xml:space="preserve"> </w:t>
            </w:r>
            <w:r w:rsidR="00C37117">
              <w:rPr>
                <w:rFonts w:eastAsia="Calibri"/>
              </w:rPr>
              <w:t>roczn</w:t>
            </w:r>
            <w:r w:rsidR="001910A1">
              <w:rPr>
                <w:rFonts w:eastAsia="Calibri"/>
              </w:rPr>
              <w:t>y</w:t>
            </w:r>
            <w:r w:rsidR="00C37117">
              <w:rPr>
                <w:rFonts w:eastAsia="Calibri"/>
              </w:rPr>
              <w:t xml:space="preserve"> </w:t>
            </w:r>
            <w:r w:rsidR="002C7A7F" w:rsidRPr="003A6407">
              <w:rPr>
                <w:rFonts w:eastAsia="Calibri"/>
              </w:rPr>
              <w:t>EPC</w:t>
            </w:r>
          </w:p>
          <w:p w14:paraId="11F11457" w14:textId="77777777" w:rsidR="002C7A7F" w:rsidRPr="003A6407" w:rsidRDefault="002C7A7F" w:rsidP="002C7A7F">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68A60773"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t>Ryzyko walutowe</w:t>
            </w:r>
            <w:r w:rsidRPr="003A6407">
              <w:rPr>
                <w:rFonts w:eastAsia="Calibr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478A94F"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t>Zawieszenie płatności przez KE</w:t>
            </w:r>
            <w:r w:rsidRPr="003A6407">
              <w:rPr>
                <w:rFonts w:eastAsia="Calibri"/>
              </w:rPr>
              <w:t xml:space="preserve"> dla danej osi priorytetowej; (istotność: umiarkowana);</w:t>
            </w:r>
          </w:p>
          <w:p w14:paraId="64041011"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t>Opóźnienia</w:t>
            </w:r>
            <w:r w:rsidRPr="003A6407">
              <w:rPr>
                <w:rFonts w:eastAsia="Calibri"/>
              </w:rPr>
              <w:t xml:space="preserve">, bądź niewykonanie projektu związane z trybem konkurencyjnym i brakiem / ograniczonym dostępem do materiałów/surowców/półproduktów, </w:t>
            </w:r>
            <w:proofErr w:type="spellStart"/>
            <w:r w:rsidRPr="003A6407">
              <w:rPr>
                <w:rFonts w:eastAsia="Calibri"/>
              </w:rPr>
              <w:t>ect</w:t>
            </w:r>
            <w:proofErr w:type="spellEnd"/>
            <w:r w:rsidRPr="003A6407">
              <w:rPr>
                <w:rFonts w:eastAsia="Calibri"/>
              </w:rPr>
              <w:t>. (istotność: umiarkowana);</w:t>
            </w:r>
          </w:p>
          <w:p w14:paraId="0AE94A40"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lastRenderedPageBreak/>
              <w:t>Wpływ pandemii Covid-19</w:t>
            </w:r>
            <w:r w:rsidRPr="003A6407">
              <w:rPr>
                <w:rFonts w:eastAsia="Calibri"/>
              </w:rPr>
              <w:t xml:space="preserve"> na gospodarkę regionalną, potencjalne możliwości realizacji projektów, na zdolności inwestycyjne i nastroje przedsiębiorstw oraz innych beneficjentów do inwestowania, zdolność administracyjną i kadrową (istotność: umiarkowana).</w:t>
            </w:r>
          </w:p>
          <w:p w14:paraId="32D22635"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t>Problemy z zabezpieczeniem wkładu własnego</w:t>
            </w:r>
            <w:r w:rsidRPr="003A6407">
              <w:rPr>
                <w:rFonts w:eastAsia="Calibri"/>
              </w:rPr>
              <w:t xml:space="preserve"> wnioskodawcy (istotność: poważna); </w:t>
            </w:r>
          </w:p>
          <w:p w14:paraId="4310987E"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t>Ryzyko wzrostu cen</w:t>
            </w:r>
            <w:r w:rsidRPr="003A6407">
              <w:rPr>
                <w:rFonts w:eastAsia="Calibri"/>
              </w:rPr>
              <w:t xml:space="preserve"> związane ze wzrostem cen w gospodarce związane głównie ze wzrostem cen energii, gazu, surowców, </w:t>
            </w:r>
            <w:proofErr w:type="spellStart"/>
            <w:r w:rsidRPr="003A6407">
              <w:rPr>
                <w:rFonts w:eastAsia="Calibri"/>
              </w:rPr>
              <w:t>ect</w:t>
            </w:r>
            <w:proofErr w:type="spellEnd"/>
            <w:r w:rsidRPr="003A6407">
              <w:rPr>
                <w:rFonts w:eastAsia="Calibri"/>
              </w:rPr>
              <w:t>. oraz poziomem inflacji (istotność: poważna);</w:t>
            </w:r>
          </w:p>
          <w:p w14:paraId="6EB7006C" w14:textId="77777777" w:rsidR="002C7A7F" w:rsidRPr="003A6407" w:rsidRDefault="002C7A7F" w:rsidP="001832AD">
            <w:pPr>
              <w:numPr>
                <w:ilvl w:val="0"/>
                <w:numId w:val="93"/>
              </w:numPr>
              <w:spacing w:after="0" w:line="240" w:lineRule="auto"/>
              <w:contextualSpacing/>
              <w:jc w:val="both"/>
              <w:rPr>
                <w:rFonts w:eastAsia="Calibri"/>
              </w:rPr>
            </w:pPr>
            <w:r w:rsidRPr="003A6407">
              <w:rPr>
                <w:rFonts w:eastAsia="Calibri"/>
                <w:b/>
                <w:bCs/>
              </w:rPr>
              <w:t>Brak zainteresowania oferowanym wsparciem</w:t>
            </w:r>
            <w:r w:rsidRPr="003A6407">
              <w:rPr>
                <w:rFonts w:eastAsia="Calibri"/>
              </w:rPr>
              <w:t xml:space="preserve"> ze strony przedsiębiorstw - (istotność: poważna);</w:t>
            </w:r>
          </w:p>
          <w:p w14:paraId="7CDB6DD1" w14:textId="77777777" w:rsidR="002C7A7F" w:rsidRPr="008B001A" w:rsidRDefault="002C7A7F" w:rsidP="001832AD">
            <w:pPr>
              <w:numPr>
                <w:ilvl w:val="0"/>
                <w:numId w:val="93"/>
              </w:numPr>
              <w:spacing w:after="0" w:line="240" w:lineRule="auto"/>
              <w:contextualSpacing/>
              <w:jc w:val="both"/>
              <w:rPr>
                <w:rFonts w:eastAsia="Calibri" w:cs="Times New Roman"/>
                <w:noProof/>
                <w:sz w:val="16"/>
                <w:szCs w:val="16"/>
              </w:rPr>
            </w:pPr>
            <w:r w:rsidRPr="003A6407">
              <w:rPr>
                <w:rFonts w:eastAsia="Calibri"/>
                <w:b/>
                <w:bCs/>
              </w:rPr>
              <w:t>Rozwiązane umowy o dofinansowanie</w:t>
            </w:r>
            <w:r w:rsidRPr="003A6407">
              <w:rPr>
                <w:rFonts w:eastAsia="Calibri"/>
              </w:rPr>
              <w:t xml:space="preserve"> realizacji projektu – (istotność: umiarkowana).</w:t>
            </w:r>
          </w:p>
          <w:p w14:paraId="7D982997" w14:textId="7EFB94C3" w:rsidR="008B001A" w:rsidRPr="003A6407" w:rsidRDefault="008B001A" w:rsidP="001D3E4C">
            <w:pPr>
              <w:spacing w:after="0" w:line="240" w:lineRule="auto"/>
              <w:ind w:left="720"/>
              <w:contextualSpacing/>
              <w:jc w:val="both"/>
              <w:rPr>
                <w:rFonts w:eastAsia="Calibri" w:cs="Times New Roman"/>
                <w:noProof/>
                <w:sz w:val="16"/>
                <w:szCs w:val="16"/>
              </w:rPr>
            </w:pPr>
          </w:p>
        </w:tc>
      </w:tr>
      <w:bookmarkEnd w:id="431"/>
    </w:tbl>
    <w:p w14:paraId="48761849" w14:textId="77777777" w:rsidR="002C7A7F" w:rsidRPr="003A6407" w:rsidRDefault="002C7A7F" w:rsidP="002C7A7F">
      <w:pPr>
        <w:rPr>
          <w:rFonts w:eastAsia="Calibri"/>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09"/>
        <w:gridCol w:w="991"/>
        <w:gridCol w:w="711"/>
        <w:gridCol w:w="1557"/>
        <w:gridCol w:w="850"/>
        <w:gridCol w:w="813"/>
        <w:gridCol w:w="554"/>
        <w:gridCol w:w="691"/>
        <w:gridCol w:w="691"/>
        <w:gridCol w:w="690"/>
      </w:tblGrid>
      <w:tr w:rsidR="00191FE2" w:rsidRPr="003A6407" w14:paraId="7BCC6C43" w14:textId="77777777" w:rsidTr="001D52F2">
        <w:trPr>
          <w:cantSplit/>
          <w:trHeight w:val="1768"/>
        </w:trPr>
        <w:tc>
          <w:tcPr>
            <w:tcW w:w="375" w:type="pct"/>
            <w:vAlign w:val="center"/>
          </w:tcPr>
          <w:p w14:paraId="758E82BB"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CP 6</w:t>
            </w:r>
          </w:p>
          <w:p w14:paraId="773A3472" w14:textId="7CEDDC21"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szczegółowy</w:t>
            </w:r>
          </w:p>
        </w:tc>
        <w:tc>
          <w:tcPr>
            <w:tcW w:w="345" w:type="pct"/>
            <w:vAlign w:val="center"/>
          </w:tcPr>
          <w:p w14:paraId="0EFAE4A4"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Fundusz</w:t>
            </w:r>
          </w:p>
        </w:tc>
        <w:tc>
          <w:tcPr>
            <w:tcW w:w="562" w:type="pct"/>
            <w:vAlign w:val="center"/>
          </w:tcPr>
          <w:p w14:paraId="4A22185B"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Kategoria regionu</w:t>
            </w:r>
          </w:p>
        </w:tc>
        <w:tc>
          <w:tcPr>
            <w:tcW w:w="403" w:type="pct"/>
            <w:textDirection w:val="btLr"/>
            <w:vAlign w:val="center"/>
          </w:tcPr>
          <w:p w14:paraId="190D3E6B"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Nr identyfikacyjny [5]</w:t>
            </w:r>
          </w:p>
        </w:tc>
        <w:tc>
          <w:tcPr>
            <w:tcW w:w="883" w:type="pct"/>
            <w:shd w:val="clear" w:color="auto" w:fill="auto"/>
            <w:vAlign w:val="center"/>
          </w:tcPr>
          <w:p w14:paraId="2C203CCE"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Wskaźnik [255]</w:t>
            </w:r>
          </w:p>
        </w:tc>
        <w:tc>
          <w:tcPr>
            <w:tcW w:w="482" w:type="pct"/>
            <w:textDirection w:val="btLr"/>
            <w:vAlign w:val="center"/>
          </w:tcPr>
          <w:p w14:paraId="6BC96B92"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Jednostka miary</w:t>
            </w:r>
          </w:p>
        </w:tc>
        <w:tc>
          <w:tcPr>
            <w:tcW w:w="461" w:type="pct"/>
            <w:textDirection w:val="btLr"/>
            <w:vAlign w:val="center"/>
          </w:tcPr>
          <w:p w14:paraId="2930BDD8"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Wartość bazowa lub wartość odniesienia</w:t>
            </w:r>
          </w:p>
        </w:tc>
        <w:tc>
          <w:tcPr>
            <w:tcW w:w="314" w:type="pct"/>
            <w:textDirection w:val="btLr"/>
            <w:vAlign w:val="center"/>
          </w:tcPr>
          <w:p w14:paraId="4DEFE068" w14:textId="77777777" w:rsidR="002C7A7F" w:rsidRPr="003A6407" w:rsidRDefault="002C7A7F" w:rsidP="001D52F2">
            <w:pPr>
              <w:spacing w:before="120" w:after="120" w:line="240" w:lineRule="auto"/>
              <w:ind w:left="113" w:right="113"/>
              <w:jc w:val="center"/>
              <w:rPr>
                <w:rFonts w:eastAsia="Calibri" w:cs="Times New Roman"/>
                <w:b/>
                <w:noProof/>
                <w:sz w:val="16"/>
                <w:szCs w:val="16"/>
                <w:lang w:eastAsia="pl-PL"/>
              </w:rPr>
            </w:pPr>
            <w:r w:rsidRPr="003A6407">
              <w:rPr>
                <w:rFonts w:eastAsia="Calibri" w:cs="Times New Roman"/>
                <w:b/>
                <w:noProof/>
                <w:sz w:val="16"/>
                <w:szCs w:val="16"/>
                <w:lang w:eastAsia="pl-PL"/>
              </w:rPr>
              <w:t>Rok referencyjny</w:t>
            </w:r>
          </w:p>
        </w:tc>
        <w:tc>
          <w:tcPr>
            <w:tcW w:w="392" w:type="pct"/>
            <w:shd w:val="clear" w:color="auto" w:fill="auto"/>
            <w:vAlign w:val="center"/>
          </w:tcPr>
          <w:p w14:paraId="0680E6ED" w14:textId="77777777" w:rsidR="002C7A7F" w:rsidRPr="003A6407" w:rsidRDefault="002C7A7F"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Cel (2029)</w:t>
            </w:r>
          </w:p>
          <w:p w14:paraId="1A27D037" w14:textId="77777777" w:rsidR="002C7A7F" w:rsidRPr="003A6407" w:rsidRDefault="002C7A7F" w:rsidP="001D52F2">
            <w:pPr>
              <w:spacing w:before="120" w:after="120" w:line="240" w:lineRule="auto"/>
              <w:jc w:val="center"/>
              <w:rPr>
                <w:rFonts w:eastAsia="Calibri" w:cs="Times New Roman"/>
                <w:b/>
                <w:noProof/>
                <w:sz w:val="16"/>
                <w:szCs w:val="16"/>
                <w:lang w:eastAsia="pl-PL"/>
              </w:rPr>
            </w:pPr>
          </w:p>
        </w:tc>
        <w:tc>
          <w:tcPr>
            <w:tcW w:w="392" w:type="pct"/>
            <w:shd w:val="clear" w:color="auto" w:fill="auto"/>
            <w:vAlign w:val="center"/>
          </w:tcPr>
          <w:p w14:paraId="046B97B7" w14:textId="77777777" w:rsidR="002C7A7F" w:rsidRPr="003A6407" w:rsidRDefault="002C7A7F" w:rsidP="001D52F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391" w:type="pct"/>
            <w:vAlign w:val="center"/>
          </w:tcPr>
          <w:p w14:paraId="2EA7F0C4" w14:textId="77777777" w:rsidR="002C7A7F" w:rsidRPr="003A6407" w:rsidRDefault="002C7A7F" w:rsidP="001D52F2">
            <w:pPr>
              <w:spacing w:before="120" w:after="120" w:line="48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191FE2" w:rsidRPr="003A6407" w14:paraId="3E334675" w14:textId="77777777" w:rsidTr="001D52F2">
        <w:trPr>
          <w:trHeight w:val="434"/>
        </w:trPr>
        <w:tc>
          <w:tcPr>
            <w:tcW w:w="375" w:type="pct"/>
            <w:vAlign w:val="center"/>
          </w:tcPr>
          <w:p w14:paraId="28EC608B" w14:textId="77777777" w:rsidR="002C7A7F"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6 (i)</w:t>
            </w:r>
          </w:p>
          <w:p w14:paraId="6C62371B" w14:textId="7FFA5A52" w:rsidR="006641B5" w:rsidRPr="003A6407" w:rsidRDefault="006641B5" w:rsidP="001D52F2">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8.1</w:t>
            </w:r>
          </w:p>
        </w:tc>
        <w:tc>
          <w:tcPr>
            <w:tcW w:w="345" w:type="pct"/>
            <w:vAlign w:val="center"/>
          </w:tcPr>
          <w:p w14:paraId="0EE8EEE3" w14:textId="77777777" w:rsidR="002C7A7F" w:rsidRPr="003A6407"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FST</w:t>
            </w:r>
          </w:p>
        </w:tc>
        <w:tc>
          <w:tcPr>
            <w:tcW w:w="562" w:type="pct"/>
            <w:vAlign w:val="center"/>
          </w:tcPr>
          <w:p w14:paraId="1921397B" w14:textId="77777777" w:rsidR="002C7A7F" w:rsidRPr="003A6407"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Przejściowy</w:t>
            </w:r>
          </w:p>
        </w:tc>
        <w:tc>
          <w:tcPr>
            <w:tcW w:w="403" w:type="pct"/>
            <w:vAlign w:val="center"/>
          </w:tcPr>
          <w:p w14:paraId="2AA6F44F" w14:textId="77777777" w:rsidR="002C7A7F" w:rsidRPr="003A6407"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RCR 03</w:t>
            </w:r>
          </w:p>
        </w:tc>
        <w:tc>
          <w:tcPr>
            <w:tcW w:w="883" w:type="pct"/>
            <w:shd w:val="clear" w:color="auto" w:fill="auto"/>
            <w:vAlign w:val="center"/>
          </w:tcPr>
          <w:p w14:paraId="61F73F42" w14:textId="77777777" w:rsidR="002C7A7F" w:rsidRPr="003A6407" w:rsidRDefault="002C7A7F" w:rsidP="001D52F2">
            <w:pPr>
              <w:keepNext/>
              <w:keepLines/>
              <w:spacing w:before="200" w:after="0"/>
              <w:jc w:val="center"/>
              <w:outlineLvl w:val="2"/>
              <w:rPr>
                <w:rFonts w:eastAsia="Calibri" w:cs="Times New Roman"/>
                <w:b/>
                <w:bCs/>
                <w:noProof/>
                <w:sz w:val="16"/>
                <w:szCs w:val="16"/>
              </w:rPr>
            </w:pPr>
            <w:bookmarkStart w:id="436" w:name="_Toc95917161"/>
            <w:bookmarkStart w:id="437" w:name="_Toc97895950"/>
            <w:bookmarkStart w:id="438" w:name="_Toc114662382"/>
            <w:bookmarkStart w:id="439" w:name="_Toc120464539"/>
            <w:r w:rsidRPr="003A6407">
              <w:rPr>
                <w:rFonts w:asciiTheme="minorHAnsi" w:eastAsia="Times New Roman" w:hAnsiTheme="minorHAnsi" w:cstheme="minorHAnsi"/>
                <w:bCs/>
                <w:noProof/>
                <w:sz w:val="16"/>
                <w:szCs w:val="16"/>
              </w:rPr>
              <w:t>Małe i średnie przedsiębiorstwa (MŚP) wprowadzające innowacje produktowe lub procesowe</w:t>
            </w:r>
            <w:bookmarkEnd w:id="436"/>
            <w:bookmarkEnd w:id="437"/>
            <w:bookmarkEnd w:id="438"/>
            <w:bookmarkEnd w:id="439"/>
          </w:p>
        </w:tc>
        <w:tc>
          <w:tcPr>
            <w:tcW w:w="482" w:type="pct"/>
            <w:vAlign w:val="center"/>
          </w:tcPr>
          <w:p w14:paraId="6542A888" w14:textId="5BE746CC" w:rsidR="002C7A7F" w:rsidRPr="003A6407" w:rsidRDefault="00C37117" w:rsidP="001D52F2">
            <w:pPr>
              <w:spacing w:before="120" w:after="120" w:line="240" w:lineRule="auto"/>
              <w:jc w:val="center"/>
              <w:rPr>
                <w:rFonts w:eastAsia="Calibri" w:cs="Times New Roman"/>
                <w:noProof/>
                <w:sz w:val="16"/>
                <w:szCs w:val="16"/>
                <w:lang w:eastAsia="pl-PL"/>
              </w:rPr>
            </w:pPr>
            <w:r>
              <w:rPr>
                <w:rFonts w:eastAsia="Calibri" w:cs="Times New Roman"/>
                <w:noProof/>
                <w:sz w:val="16"/>
                <w:szCs w:val="16"/>
                <w:lang w:eastAsia="pl-PL"/>
              </w:rPr>
              <w:t xml:space="preserve">przedsiębiorstwa </w:t>
            </w:r>
          </w:p>
        </w:tc>
        <w:tc>
          <w:tcPr>
            <w:tcW w:w="461" w:type="pct"/>
            <w:vAlign w:val="center"/>
          </w:tcPr>
          <w:p w14:paraId="49485647" w14:textId="77777777" w:rsidR="002C7A7F" w:rsidRPr="003A6407" w:rsidRDefault="002C7A7F" w:rsidP="001D52F2">
            <w:pPr>
              <w:spacing w:before="120" w:after="120" w:line="240" w:lineRule="auto"/>
              <w:jc w:val="center"/>
              <w:rPr>
                <w:rFonts w:eastAsia="Calibri" w:cs="Times New Roman"/>
                <w:noProof/>
                <w:sz w:val="16"/>
                <w:szCs w:val="16"/>
                <w:lang w:eastAsia="pl-PL"/>
              </w:rPr>
            </w:pPr>
            <w:r w:rsidRPr="003A6407">
              <w:rPr>
                <w:rFonts w:eastAsia="Calibri" w:cs="Times New Roman"/>
                <w:noProof/>
                <w:sz w:val="16"/>
                <w:szCs w:val="16"/>
                <w:lang w:eastAsia="pl-PL"/>
              </w:rPr>
              <w:t>0</w:t>
            </w:r>
          </w:p>
        </w:tc>
        <w:tc>
          <w:tcPr>
            <w:tcW w:w="314" w:type="pct"/>
            <w:vAlign w:val="center"/>
          </w:tcPr>
          <w:p w14:paraId="7722B8B5" w14:textId="79D41EA8" w:rsidR="002C7A7F" w:rsidRPr="003A6407" w:rsidRDefault="009E03DD" w:rsidP="001D52F2">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2022</w:t>
            </w:r>
          </w:p>
        </w:tc>
        <w:tc>
          <w:tcPr>
            <w:tcW w:w="392" w:type="pct"/>
            <w:shd w:val="clear" w:color="auto" w:fill="auto"/>
            <w:vAlign w:val="center"/>
          </w:tcPr>
          <w:p w14:paraId="0A14EC92" w14:textId="5293E290" w:rsidR="002C7A7F" w:rsidRPr="003A6407" w:rsidRDefault="00C24C7F" w:rsidP="001D52F2">
            <w:pPr>
              <w:spacing w:before="120" w:after="120" w:line="240" w:lineRule="auto"/>
              <w:jc w:val="center"/>
              <w:rPr>
                <w:rFonts w:eastAsia="Calibri" w:cs="Times New Roman"/>
                <w:b/>
                <w:noProof/>
                <w:sz w:val="16"/>
                <w:szCs w:val="16"/>
                <w:lang w:eastAsia="pl-PL"/>
              </w:rPr>
            </w:pPr>
            <w:r>
              <w:rPr>
                <w:rFonts w:eastAsia="Calibri" w:cs="Times New Roman"/>
                <w:b/>
                <w:noProof/>
                <w:sz w:val="16"/>
                <w:szCs w:val="16"/>
                <w:lang w:eastAsia="pl-PL"/>
              </w:rPr>
              <w:t>47</w:t>
            </w:r>
          </w:p>
        </w:tc>
        <w:tc>
          <w:tcPr>
            <w:tcW w:w="392" w:type="pct"/>
            <w:shd w:val="clear" w:color="auto" w:fill="auto"/>
            <w:vAlign w:val="center"/>
          </w:tcPr>
          <w:p w14:paraId="5FC45768" w14:textId="5AC1245B" w:rsidR="002C7A7F" w:rsidRPr="003A6407" w:rsidRDefault="009E03DD" w:rsidP="001D52F2">
            <w:pPr>
              <w:spacing w:before="120" w:after="120" w:line="480" w:lineRule="auto"/>
              <w:jc w:val="center"/>
              <w:rPr>
                <w:rFonts w:eastAsia="Calibri" w:cs="Times New Roman"/>
                <w:noProof/>
                <w:sz w:val="16"/>
                <w:szCs w:val="16"/>
                <w:lang w:eastAsia="pl-PL"/>
              </w:rPr>
            </w:pPr>
            <w:r w:rsidRPr="003A6407">
              <w:rPr>
                <w:rFonts w:eastAsia="Calibri" w:cs="Times New Roman"/>
                <w:noProof/>
                <w:sz w:val="16"/>
                <w:szCs w:val="16"/>
                <w:lang w:eastAsia="pl-PL"/>
              </w:rPr>
              <w:t>SL</w:t>
            </w:r>
          </w:p>
        </w:tc>
        <w:tc>
          <w:tcPr>
            <w:tcW w:w="391" w:type="pct"/>
            <w:vAlign w:val="center"/>
          </w:tcPr>
          <w:p w14:paraId="0A5A1DBB" w14:textId="77777777" w:rsidR="002C7A7F" w:rsidRPr="003A6407" w:rsidRDefault="002C7A7F" w:rsidP="001D52F2">
            <w:pPr>
              <w:jc w:val="center"/>
              <w:rPr>
                <w:rFonts w:eastAsia="Calibri" w:cs="Times New Roman"/>
                <w:noProof/>
                <w:sz w:val="16"/>
                <w:szCs w:val="16"/>
              </w:rPr>
            </w:pPr>
          </w:p>
        </w:tc>
      </w:tr>
      <w:tr w:rsidR="002C7A7F" w:rsidRPr="003A6407" w14:paraId="5FDB8455" w14:textId="77777777" w:rsidTr="002B58A1">
        <w:trPr>
          <w:trHeight w:val="434"/>
        </w:trPr>
        <w:tc>
          <w:tcPr>
            <w:tcW w:w="5000" w:type="pct"/>
            <w:gridSpan w:val="11"/>
          </w:tcPr>
          <w:p w14:paraId="5022C0D5"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Metodologia:</w:t>
            </w:r>
          </w:p>
          <w:p w14:paraId="604C8C69"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Wskaźnik realizuje kod interwencji:</w:t>
            </w:r>
          </w:p>
          <w:p w14:paraId="73B37A99" w14:textId="77777777"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Wskaźnik realizuje kod interwencji:</w:t>
            </w:r>
          </w:p>
          <w:p w14:paraId="47733359" w14:textId="0E67A214"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010 Działania badawcze i innowacyjne w MŚP, w tym tworzenie sieci kontaktów (</w:t>
            </w:r>
            <w:r w:rsidR="006B1AA4">
              <w:rPr>
                <w:rFonts w:eastAsia="Calibri" w:cs="Times New Roman"/>
              </w:rPr>
              <w:t>5</w:t>
            </w:r>
            <w:r w:rsidR="006B1AA4" w:rsidRPr="003A6407">
              <w:rPr>
                <w:rFonts w:eastAsia="Calibri" w:cs="Times New Roman"/>
              </w:rPr>
              <w:t xml:space="preserve"> </w:t>
            </w:r>
            <w:r w:rsidRPr="003A6407">
              <w:rPr>
                <w:rFonts w:eastAsia="Calibri" w:cs="Times New Roman"/>
              </w:rPr>
              <w:t>000 000,00 EUR);</w:t>
            </w:r>
          </w:p>
          <w:p w14:paraId="2985A93C" w14:textId="38C1A518" w:rsidR="002C7A7F" w:rsidRPr="003A6407" w:rsidRDefault="002C7A7F" w:rsidP="002C7A7F">
            <w:pPr>
              <w:numPr>
                <w:ilvl w:val="0"/>
                <w:numId w:val="12"/>
              </w:numPr>
              <w:shd w:val="clear" w:color="auto" w:fill="FFFFFF"/>
              <w:spacing w:before="60" w:after="60" w:line="240" w:lineRule="auto"/>
              <w:contextualSpacing/>
              <w:jc w:val="both"/>
              <w:rPr>
                <w:rFonts w:eastAsia="Calibri" w:cs="Times New Roman"/>
              </w:rPr>
            </w:pPr>
            <w:r w:rsidRPr="003A6407">
              <w:rPr>
                <w:rFonts w:eastAsia="Calibri" w:cs="Times New Roman"/>
              </w:rPr>
              <w:t>029  Procesy badawcze i innowacyjne, transfer technologii i współpraca między przedsiębiorstwami, organizacjami badawczymi i uczelniami wyższymi, koncentrujące się na gospodarce niskoemisyjnej, odporności i przystosowaniu się do zmian klimatu (</w:t>
            </w:r>
            <w:r w:rsidR="006B1AA4" w:rsidRPr="003A6407">
              <w:rPr>
                <w:rFonts w:eastAsia="Calibri" w:cs="Times New Roman"/>
              </w:rPr>
              <w:t>1</w:t>
            </w:r>
            <w:r w:rsidR="006B1AA4">
              <w:rPr>
                <w:rFonts w:eastAsia="Calibri" w:cs="Times New Roman"/>
              </w:rPr>
              <w:t>2</w:t>
            </w:r>
            <w:r w:rsidR="006B1AA4" w:rsidRPr="003A6407">
              <w:rPr>
                <w:rFonts w:eastAsia="Calibri" w:cs="Times New Roman"/>
              </w:rPr>
              <w:t xml:space="preserve"> </w:t>
            </w:r>
            <w:r w:rsidRPr="003A6407">
              <w:rPr>
                <w:rFonts w:eastAsia="Calibri" w:cs="Times New Roman"/>
              </w:rPr>
              <w:t>000 000,00 EUR);</w:t>
            </w:r>
          </w:p>
          <w:p w14:paraId="07BA3CB7" w14:textId="77777777" w:rsidR="002C7A7F" w:rsidRPr="003A6407" w:rsidRDefault="002C7A7F" w:rsidP="002C7A7F">
            <w:pPr>
              <w:shd w:val="clear" w:color="auto" w:fill="FFFFFF"/>
              <w:spacing w:before="60" w:after="60" w:line="240" w:lineRule="auto"/>
              <w:contextualSpacing/>
              <w:jc w:val="both"/>
              <w:rPr>
                <w:rFonts w:eastAsia="Calibri" w:cs="Times New Roman"/>
              </w:rPr>
            </w:pPr>
          </w:p>
          <w:p w14:paraId="0EB7EAC3" w14:textId="77E75CA9" w:rsidR="002C7A7F" w:rsidRPr="003A6407" w:rsidRDefault="002C7A7F" w:rsidP="002C7A7F">
            <w:pPr>
              <w:shd w:val="clear" w:color="auto" w:fill="FFFFFF"/>
              <w:spacing w:before="60" w:after="60" w:line="240" w:lineRule="auto"/>
              <w:contextualSpacing/>
              <w:jc w:val="both"/>
              <w:rPr>
                <w:rFonts w:eastAsia="Calibri" w:cs="Times New Roman"/>
              </w:rPr>
            </w:pPr>
            <w:r w:rsidRPr="003A6407">
              <w:rPr>
                <w:rFonts w:eastAsia="Calibri" w:cs="Times New Roman"/>
              </w:rPr>
              <w:t xml:space="preserve">Biorąc pod uwagę kurs EUR na poziomie 4,45 suma alokacji na realizację wskaźnika wynosi  </w:t>
            </w:r>
            <w:r w:rsidR="006B1AA4" w:rsidRPr="006B1AA4">
              <w:rPr>
                <w:rFonts w:eastAsia="Calibri" w:cs="Times New Roman"/>
              </w:rPr>
              <w:t xml:space="preserve"> 75 650 000,00    </w:t>
            </w:r>
            <w:r w:rsidRPr="003A6407">
              <w:rPr>
                <w:rFonts w:eastAsia="Calibri" w:cs="Times New Roman"/>
              </w:rPr>
              <w:t>PLN.</w:t>
            </w:r>
          </w:p>
          <w:p w14:paraId="40B5E9BF" w14:textId="222A091A" w:rsidR="002C7A7F" w:rsidRPr="003A6407" w:rsidRDefault="002C7A7F" w:rsidP="002C7A7F">
            <w:pPr>
              <w:shd w:val="clear" w:color="auto" w:fill="FFFFFF"/>
              <w:spacing w:before="60" w:after="60" w:line="240" w:lineRule="auto"/>
              <w:jc w:val="both"/>
              <w:rPr>
                <w:rFonts w:eastAsia="Calibri"/>
              </w:rPr>
            </w:pPr>
            <w:r w:rsidRPr="003A6407">
              <w:rPr>
                <w:rFonts w:eastAsia="Calibri"/>
              </w:rPr>
              <w:t xml:space="preserve">Historyczny koszt jednostkowy na bazie doświadczeń z perspektywy 2014-2020 wynosi 1 174 155,01 PLN.  Koszt jednostkowy został skorygowany w oparciu o wartość inflacji na poziomie 15% i wynosi 1 350 278,26 PLN, a obniżony do wartości dofinansowania na poziomie 70% wynosi 945 194,78 PLN, tj. 212 403,32 EUR. Na podstawie tych danych wyliczono wartość wskaźnika. Jednocześnie na podstawie </w:t>
            </w:r>
            <w:proofErr w:type="spellStart"/>
            <w:r w:rsidRPr="003A6407">
              <w:rPr>
                <w:rFonts w:eastAsia="Calibri"/>
              </w:rPr>
              <w:t>ryzyk</w:t>
            </w:r>
            <w:proofErr w:type="spellEnd"/>
            <w:r w:rsidRPr="003A6407">
              <w:rPr>
                <w:rFonts w:eastAsia="Calibri"/>
              </w:rPr>
              <w:t xml:space="preserve"> związanych z realizacją tego typu projektów określono wskaźnik kompensacji: </w:t>
            </w:r>
          </w:p>
          <w:p w14:paraId="1DD512FD" w14:textId="77777777" w:rsidR="002C7A7F" w:rsidRPr="003A6407" w:rsidRDefault="002C7A7F" w:rsidP="002C7A7F">
            <w:pPr>
              <w:spacing w:before="60" w:after="60" w:line="240" w:lineRule="auto"/>
              <w:jc w:val="both"/>
              <w:rPr>
                <w:rFonts w:eastAsia="Calibri"/>
              </w:rPr>
            </w:pPr>
            <w:r w:rsidRPr="003A6407">
              <w:rPr>
                <w:rFonts w:eastAsia="Calibri"/>
              </w:rPr>
              <w:t xml:space="preserve">R=[(5*25)+(3*68)]/8= 41,1%. Wartość zaokrąglono do pełnej wartości 41%. </w:t>
            </w:r>
          </w:p>
          <w:p w14:paraId="12463C25" w14:textId="77777777" w:rsidR="002C7A7F" w:rsidRPr="003A6407" w:rsidRDefault="002C7A7F" w:rsidP="002C7A7F">
            <w:pPr>
              <w:shd w:val="clear" w:color="auto" w:fill="FFFFFF"/>
              <w:spacing w:before="60" w:after="60" w:line="240" w:lineRule="auto"/>
              <w:jc w:val="both"/>
              <w:rPr>
                <w:rFonts w:eastAsia="Calibri"/>
              </w:rPr>
            </w:pPr>
          </w:p>
          <w:p w14:paraId="2B7E0ED1" w14:textId="77777777" w:rsidR="002C7A7F" w:rsidRPr="003A6407" w:rsidRDefault="002C7A7F" w:rsidP="002C7A7F">
            <w:pPr>
              <w:shd w:val="clear" w:color="auto" w:fill="FFFFFF"/>
              <w:spacing w:before="60" w:after="60" w:line="240" w:lineRule="auto"/>
              <w:jc w:val="both"/>
              <w:rPr>
                <w:rFonts w:eastAsia="Calibri"/>
              </w:rPr>
            </w:pPr>
            <w:r w:rsidRPr="003A6407">
              <w:rPr>
                <w:rFonts w:eastAsia="Calibri"/>
              </w:rPr>
              <w:t>Wyliczenie:</w:t>
            </w:r>
          </w:p>
          <w:p w14:paraId="1E0B2452" w14:textId="06EFD27C" w:rsidR="002C7A7F" w:rsidRPr="003A6407" w:rsidRDefault="006B1AA4" w:rsidP="002C7A7F">
            <w:pPr>
              <w:shd w:val="clear" w:color="auto" w:fill="FFFFFF"/>
              <w:spacing w:before="60" w:after="60" w:line="240" w:lineRule="auto"/>
              <w:jc w:val="both"/>
              <w:rPr>
                <w:rFonts w:eastAsia="Calibri"/>
              </w:rPr>
            </w:pPr>
            <w:r w:rsidRPr="006B1AA4">
              <w:rPr>
                <w:rFonts w:eastAsia="Calibri"/>
              </w:rPr>
              <w:t xml:space="preserve">17 000 000,00 </w:t>
            </w:r>
            <w:r w:rsidR="002C7A7F" w:rsidRPr="003A6407">
              <w:rPr>
                <w:rFonts w:eastAsia="Calibri"/>
              </w:rPr>
              <w:t xml:space="preserve">/ </w:t>
            </w:r>
            <w:r w:rsidR="00C24C7F" w:rsidRPr="00C24C7F">
              <w:rPr>
                <w:rFonts w:eastAsia="Calibri"/>
              </w:rPr>
              <w:t xml:space="preserve"> 212 403,32 </w:t>
            </w:r>
            <w:r w:rsidR="002C7A7F" w:rsidRPr="003A6407">
              <w:rPr>
                <w:rFonts w:eastAsia="Calibri"/>
              </w:rPr>
              <w:t xml:space="preserve">* (1-0,41) = </w:t>
            </w:r>
            <w:r w:rsidR="00C24C7F">
              <w:rPr>
                <w:rFonts w:eastAsia="Calibri"/>
              </w:rPr>
              <w:t>47</w:t>
            </w:r>
            <w:r w:rsidR="00C24C7F" w:rsidRPr="003A6407">
              <w:rPr>
                <w:rFonts w:eastAsia="Calibri"/>
              </w:rPr>
              <w:t xml:space="preserve"> </w:t>
            </w:r>
            <w:r w:rsidR="002C7A7F" w:rsidRPr="003A6407">
              <w:rPr>
                <w:rFonts w:eastAsia="Calibri"/>
              </w:rPr>
              <w:t>szt.</w:t>
            </w:r>
          </w:p>
          <w:p w14:paraId="2C7D20B4" w14:textId="77777777" w:rsidR="002C7A7F" w:rsidRPr="003A6407" w:rsidRDefault="002C7A7F" w:rsidP="002C7A7F">
            <w:pPr>
              <w:shd w:val="clear" w:color="auto" w:fill="FFFFFF"/>
              <w:spacing w:before="60" w:after="60" w:line="240" w:lineRule="auto"/>
              <w:jc w:val="both"/>
              <w:rPr>
                <w:rFonts w:eastAsia="Calibri"/>
                <w:color w:val="000000"/>
              </w:rPr>
            </w:pPr>
            <w:r w:rsidRPr="003A6407">
              <w:rPr>
                <w:rFonts w:eastAsia="Calibri"/>
                <w:color w:val="000000"/>
              </w:rPr>
              <w:t>Czynniki ryzyka, które mogą mieć wpływ na poziom osiągnięcia założonej wartości docelowej:</w:t>
            </w:r>
          </w:p>
          <w:p w14:paraId="575C54BC"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walutowe</w:t>
            </w:r>
            <w:r w:rsidRPr="003A6407">
              <w:rPr>
                <w:rFonts w:eastAsia="Calibri" w:cs="Times New Roman"/>
                <w:color w:val="00000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0C2B84BF"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Zawieszenie płatności przez KE</w:t>
            </w:r>
            <w:r w:rsidRPr="003A6407">
              <w:rPr>
                <w:rFonts w:eastAsia="Calibri" w:cs="Times New Roman"/>
                <w:color w:val="000000"/>
              </w:rPr>
              <w:t xml:space="preserve"> dla danej osi priorytetowej; (istotność: umiarkowana);</w:t>
            </w:r>
          </w:p>
          <w:p w14:paraId="7C903BB2"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lastRenderedPageBreak/>
              <w:t>Ostateczne ustalenia dot. występowania i poziomu pomocy publicznej</w:t>
            </w:r>
            <w:r w:rsidRPr="003A6407">
              <w:rPr>
                <w:rFonts w:eastAsia="Calibri" w:cs="Times New Roman"/>
                <w:color w:val="000000"/>
              </w:rPr>
              <w:t>; (istotność: umiarkowana)</w:t>
            </w:r>
          </w:p>
          <w:p w14:paraId="444F113A"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Opóźnienia</w:t>
            </w:r>
            <w:r w:rsidRPr="003A6407">
              <w:rPr>
                <w:rFonts w:eastAsia="Calibri" w:cs="Times New Roman"/>
                <w:color w:val="000000"/>
              </w:rPr>
              <w:t xml:space="preserve">, bądź niewykonanie projektu związane z </w:t>
            </w:r>
            <w:proofErr w:type="spellStart"/>
            <w:r w:rsidRPr="003A6407">
              <w:rPr>
                <w:rFonts w:eastAsia="Calibri" w:cs="Times New Roman"/>
                <w:color w:val="000000"/>
              </w:rPr>
              <w:t>z</w:t>
            </w:r>
            <w:proofErr w:type="spellEnd"/>
            <w:r w:rsidRPr="003A6407">
              <w:rPr>
                <w:rFonts w:eastAsia="Calibri" w:cs="Times New Roman"/>
                <w:color w:val="000000"/>
              </w:rPr>
              <w:t xml:space="preserve"> trybem konkurencyjnym i brakiem / ograniczonym dostępem do materiałów/surowców/półproduktów, </w:t>
            </w:r>
            <w:proofErr w:type="spellStart"/>
            <w:r w:rsidRPr="003A6407">
              <w:rPr>
                <w:rFonts w:eastAsia="Calibri" w:cs="Times New Roman"/>
                <w:color w:val="000000"/>
              </w:rPr>
              <w:t>ect</w:t>
            </w:r>
            <w:proofErr w:type="spellEnd"/>
            <w:r w:rsidRPr="003A6407">
              <w:rPr>
                <w:rFonts w:eastAsia="Calibri" w:cs="Times New Roman"/>
                <w:color w:val="000000"/>
              </w:rPr>
              <w:t>. ; (istotność: poważna)</w:t>
            </w:r>
          </w:p>
          <w:p w14:paraId="2854B7C3"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Ryzyko wzrostu cen</w:t>
            </w:r>
            <w:r w:rsidRPr="003A6407">
              <w:rPr>
                <w:rFonts w:eastAsia="Calibri" w:cs="Times New Roman"/>
                <w:color w:val="000000"/>
              </w:rPr>
              <w:t xml:space="preserve"> związane ze wzrostem cen w gospodarce związane głównie ze wzrostem cen energii, gazu, surowców, </w:t>
            </w:r>
            <w:proofErr w:type="spellStart"/>
            <w:r w:rsidRPr="003A6407">
              <w:rPr>
                <w:rFonts w:eastAsia="Calibri" w:cs="Times New Roman"/>
                <w:color w:val="000000"/>
              </w:rPr>
              <w:t>ect</w:t>
            </w:r>
            <w:proofErr w:type="spellEnd"/>
            <w:r w:rsidRPr="003A6407">
              <w:rPr>
                <w:rFonts w:eastAsia="Calibri" w:cs="Times New Roman"/>
                <w:color w:val="000000"/>
              </w:rPr>
              <w:t>, oraz poziomem inflacji (istotność: poważna);</w:t>
            </w:r>
          </w:p>
          <w:p w14:paraId="551A7793"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Rozwiązane umowy o dofinansowanie</w:t>
            </w:r>
            <w:r w:rsidRPr="003A6407">
              <w:rPr>
                <w:rFonts w:eastAsia="Calibri" w:cs="Times New Roman"/>
                <w:color w:val="000000"/>
              </w:rPr>
              <w:t xml:space="preserve"> realizacji projektu – (istotność: umiarkowana);</w:t>
            </w:r>
          </w:p>
          <w:p w14:paraId="736A2408"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color w:val="000000"/>
              </w:rPr>
            </w:pPr>
            <w:r w:rsidRPr="003A6407">
              <w:rPr>
                <w:rFonts w:eastAsia="Calibri" w:cs="Times New Roman"/>
                <w:b/>
                <w:bCs/>
                <w:color w:val="000000"/>
              </w:rPr>
              <w:t>Problemy z zabezpieczeniem wkładu</w:t>
            </w:r>
            <w:r w:rsidRPr="003A6407">
              <w:rPr>
                <w:rFonts w:eastAsia="Calibri" w:cs="Times New Roman"/>
                <w:color w:val="000000"/>
              </w:rPr>
              <w:t xml:space="preserve"> własnego wnioskodawcy (istotność: poważna);</w:t>
            </w:r>
          </w:p>
          <w:p w14:paraId="49F53ABF" w14:textId="77777777" w:rsidR="002C7A7F" w:rsidRPr="003A6407" w:rsidRDefault="002C7A7F">
            <w:pPr>
              <w:numPr>
                <w:ilvl w:val="0"/>
                <w:numId w:val="72"/>
              </w:numPr>
              <w:shd w:val="clear" w:color="auto" w:fill="FFFFFF"/>
              <w:spacing w:before="60" w:after="60" w:line="240" w:lineRule="auto"/>
              <w:contextualSpacing/>
              <w:jc w:val="both"/>
              <w:rPr>
                <w:rFonts w:eastAsia="Calibri" w:cs="Times New Roman"/>
                <w:noProof/>
                <w:sz w:val="16"/>
                <w:szCs w:val="16"/>
              </w:rPr>
            </w:pPr>
            <w:r w:rsidRPr="003A6407">
              <w:rPr>
                <w:rFonts w:eastAsia="Calibri" w:cs="Times New Roman"/>
                <w:b/>
                <w:bCs/>
                <w:color w:val="000000"/>
              </w:rPr>
              <w:t>Duplikujące się przedsiębiorstwa</w:t>
            </w:r>
            <w:r w:rsidRPr="003A6407">
              <w:rPr>
                <w:rFonts w:eastAsia="Calibri" w:cs="Times New Roman"/>
                <w:color w:val="000000"/>
              </w:rPr>
              <w:t xml:space="preserve"> - waga ryzyka (istotność: umiarkowana);</w:t>
            </w:r>
          </w:p>
        </w:tc>
      </w:tr>
    </w:tbl>
    <w:p w14:paraId="03708DA5" w14:textId="6133FDD8" w:rsidR="002C7A7F" w:rsidRDefault="002C7A7F" w:rsidP="002C7A7F"/>
    <w:p w14:paraId="229E2AC0" w14:textId="28DAD514" w:rsidR="000B200D" w:rsidRDefault="000B200D" w:rsidP="002C7A7F"/>
    <w:p w14:paraId="6E2D251F" w14:textId="3DF822C2" w:rsidR="000B200D" w:rsidRPr="000B200D" w:rsidRDefault="000B200D" w:rsidP="002C7A7F">
      <w:pPr>
        <w:rPr>
          <w:b/>
          <w:bCs/>
        </w:rPr>
      </w:pPr>
      <w:r>
        <w:rPr>
          <w:b/>
          <w:bCs/>
        </w:rPr>
        <w:t>Cel środowiskowy:</w:t>
      </w:r>
    </w:p>
    <w:p w14:paraId="591BFB6E" w14:textId="77777777" w:rsidR="00F64240" w:rsidRPr="003A6407" w:rsidRDefault="00F64240" w:rsidP="00C848B1">
      <w:pPr>
        <w:pStyle w:val="Nagwek2"/>
        <w:spacing w:after="200"/>
        <w:rPr>
          <w:lang w:eastAsia="pl-PL"/>
        </w:rPr>
      </w:pPr>
      <w:bookmarkStart w:id="440" w:name="_Toc98189042"/>
      <w:bookmarkStart w:id="441" w:name="_Toc120464540"/>
      <w:r w:rsidRPr="003A6407">
        <w:rPr>
          <w:lang w:eastAsia="pl-PL"/>
        </w:rPr>
        <w:t>Wskaźniki produktu</w:t>
      </w:r>
      <w:bookmarkEnd w:id="440"/>
      <w:bookmarkEnd w:id="441"/>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6CABA145" w14:textId="77777777" w:rsidTr="001D52F2">
        <w:trPr>
          <w:cantSplit/>
          <w:trHeight w:val="1647"/>
        </w:trPr>
        <w:tc>
          <w:tcPr>
            <w:tcW w:w="451" w:type="pct"/>
            <w:vAlign w:val="center"/>
          </w:tcPr>
          <w:p w14:paraId="2189A253" w14:textId="1401DEFC"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38250B31"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szczegółowy</w:t>
            </w:r>
          </w:p>
        </w:tc>
        <w:tc>
          <w:tcPr>
            <w:tcW w:w="494" w:type="pct"/>
            <w:vAlign w:val="center"/>
          </w:tcPr>
          <w:p w14:paraId="002B23C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558" w:type="pct"/>
            <w:vAlign w:val="center"/>
          </w:tcPr>
          <w:p w14:paraId="12076B7F"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0" w:type="pct"/>
            <w:textDirection w:val="btLr"/>
            <w:vAlign w:val="center"/>
          </w:tcPr>
          <w:p w14:paraId="41B3AC72"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1411" w:type="pct"/>
            <w:shd w:val="clear" w:color="auto" w:fill="auto"/>
            <w:vAlign w:val="center"/>
          </w:tcPr>
          <w:p w14:paraId="24EB7A4C" w14:textId="26D43646"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549" w:type="pct"/>
            <w:vAlign w:val="center"/>
          </w:tcPr>
          <w:p w14:paraId="78BF7C57"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Jednostka miary</w:t>
            </w:r>
          </w:p>
        </w:tc>
        <w:tc>
          <w:tcPr>
            <w:tcW w:w="627" w:type="pct"/>
            <w:shd w:val="clear" w:color="auto" w:fill="auto"/>
            <w:vAlign w:val="center"/>
          </w:tcPr>
          <w:p w14:paraId="6512016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pośredni (2024)</w:t>
            </w:r>
          </w:p>
          <w:p w14:paraId="7ECD9B1E" w14:textId="77777777" w:rsidR="00F64240" w:rsidRPr="003A6407" w:rsidRDefault="00F64240" w:rsidP="001D52F2">
            <w:pPr>
              <w:spacing w:before="120" w:after="120" w:line="240" w:lineRule="auto"/>
              <w:jc w:val="center"/>
              <w:rPr>
                <w:rFonts w:eastAsia="Calibri" w:cs="Calibri"/>
                <w:b/>
                <w:noProof/>
                <w:sz w:val="16"/>
                <w:szCs w:val="16"/>
              </w:rPr>
            </w:pPr>
          </w:p>
        </w:tc>
        <w:tc>
          <w:tcPr>
            <w:tcW w:w="550" w:type="pct"/>
            <w:shd w:val="clear" w:color="auto" w:fill="auto"/>
            <w:vAlign w:val="center"/>
          </w:tcPr>
          <w:p w14:paraId="30C4DD03"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0B5F9389" w14:textId="77777777" w:rsidR="00F64240" w:rsidRPr="003A6407" w:rsidRDefault="00F64240" w:rsidP="001D52F2">
            <w:pPr>
              <w:spacing w:before="120" w:after="120" w:line="240" w:lineRule="auto"/>
              <w:jc w:val="center"/>
              <w:rPr>
                <w:rFonts w:eastAsia="Calibri" w:cs="Calibri"/>
                <w:b/>
                <w:noProof/>
                <w:sz w:val="16"/>
                <w:szCs w:val="16"/>
              </w:rPr>
            </w:pPr>
          </w:p>
        </w:tc>
      </w:tr>
      <w:tr w:rsidR="00191FE2" w:rsidRPr="003A6407" w14:paraId="4E1D572F" w14:textId="77777777" w:rsidTr="001D52F2">
        <w:trPr>
          <w:trHeight w:val="340"/>
        </w:trPr>
        <w:tc>
          <w:tcPr>
            <w:tcW w:w="451" w:type="pct"/>
            <w:vAlign w:val="center"/>
          </w:tcPr>
          <w:p w14:paraId="7BD74746"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0F56BE3E" w14:textId="1C8526EF"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494" w:type="pct"/>
            <w:vAlign w:val="center"/>
          </w:tcPr>
          <w:p w14:paraId="0DCD12D7"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558" w:type="pct"/>
            <w:vAlign w:val="center"/>
          </w:tcPr>
          <w:p w14:paraId="0F586C12"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0" w:type="pct"/>
            <w:vAlign w:val="center"/>
          </w:tcPr>
          <w:p w14:paraId="4E369739"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RCO 22</w:t>
            </w:r>
          </w:p>
        </w:tc>
        <w:tc>
          <w:tcPr>
            <w:tcW w:w="1411" w:type="pct"/>
            <w:shd w:val="clear" w:color="auto" w:fill="auto"/>
            <w:vAlign w:val="center"/>
          </w:tcPr>
          <w:p w14:paraId="1F5457C0" w14:textId="77777777" w:rsidR="00F64240" w:rsidRPr="003A6407" w:rsidRDefault="00F64240" w:rsidP="001D52F2">
            <w:pPr>
              <w:keepNext/>
              <w:keepLines/>
              <w:spacing w:before="200" w:after="0"/>
              <w:jc w:val="center"/>
              <w:outlineLvl w:val="2"/>
              <w:rPr>
                <w:rFonts w:eastAsia="Times New Roman" w:cs="Calibri"/>
                <w:b/>
                <w:bCs/>
                <w:noProof/>
                <w:sz w:val="16"/>
                <w:szCs w:val="16"/>
              </w:rPr>
            </w:pPr>
            <w:bookmarkStart w:id="442" w:name="_Toc97191098"/>
            <w:bookmarkStart w:id="443" w:name="_Toc98189043"/>
            <w:bookmarkStart w:id="444" w:name="_Toc120464541"/>
            <w:r w:rsidRPr="003A6407">
              <w:rPr>
                <w:rFonts w:asciiTheme="minorHAnsi" w:eastAsia="Times New Roman" w:hAnsiTheme="minorHAnsi" w:cstheme="minorHAnsi"/>
                <w:bCs/>
                <w:noProof/>
                <w:sz w:val="16"/>
                <w:szCs w:val="16"/>
              </w:rPr>
              <w:t>Dodatkowa zdolność wytwarzania energii odnawialnej (w tym: energii elektrycznej, energii cieplnej)</w:t>
            </w:r>
            <w:bookmarkEnd w:id="442"/>
            <w:bookmarkEnd w:id="443"/>
            <w:bookmarkEnd w:id="444"/>
          </w:p>
        </w:tc>
        <w:tc>
          <w:tcPr>
            <w:tcW w:w="549" w:type="pct"/>
            <w:vAlign w:val="center"/>
          </w:tcPr>
          <w:p w14:paraId="01B725C3" w14:textId="77777777" w:rsidR="00F64240" w:rsidRPr="003A6407" w:rsidRDefault="00F64240" w:rsidP="001D52F2">
            <w:pPr>
              <w:spacing w:before="120" w:after="120" w:line="240" w:lineRule="auto"/>
              <w:jc w:val="center"/>
              <w:rPr>
                <w:rFonts w:eastAsia="Calibri" w:cs="Calibri"/>
                <w:noProof/>
                <w:sz w:val="16"/>
                <w:szCs w:val="16"/>
              </w:rPr>
            </w:pPr>
            <w:bookmarkStart w:id="445" w:name="_Hlk97842713"/>
            <w:r w:rsidRPr="003A6407">
              <w:rPr>
                <w:rFonts w:eastAsia="Calibri" w:cs="Calibri"/>
                <w:noProof/>
                <w:sz w:val="16"/>
                <w:szCs w:val="16"/>
              </w:rPr>
              <w:t>MW</w:t>
            </w:r>
            <w:bookmarkEnd w:id="445"/>
          </w:p>
        </w:tc>
        <w:tc>
          <w:tcPr>
            <w:tcW w:w="627" w:type="pct"/>
            <w:shd w:val="clear" w:color="auto" w:fill="auto"/>
            <w:vAlign w:val="center"/>
          </w:tcPr>
          <w:p w14:paraId="6A30687A" w14:textId="5B4EF9E2" w:rsidR="00F64240" w:rsidRPr="003A6407" w:rsidRDefault="00B26FAC" w:rsidP="001D52F2">
            <w:pPr>
              <w:spacing w:before="120" w:after="120" w:line="240" w:lineRule="auto"/>
              <w:jc w:val="center"/>
              <w:rPr>
                <w:rFonts w:eastAsia="Calibri" w:cs="Calibri"/>
                <w:noProof/>
                <w:sz w:val="16"/>
                <w:szCs w:val="16"/>
              </w:rPr>
            </w:pPr>
            <w:r>
              <w:rPr>
                <w:rFonts w:eastAsia="Calibri" w:cs="Calibri"/>
                <w:noProof/>
                <w:sz w:val="16"/>
                <w:szCs w:val="16"/>
              </w:rPr>
              <w:t>0</w:t>
            </w:r>
            <w:r w:rsidR="009E03DD" w:rsidRPr="003A6407">
              <w:rPr>
                <w:rFonts w:eastAsia="Calibri" w:cs="Calibri"/>
                <w:noProof/>
                <w:sz w:val="16"/>
                <w:szCs w:val="16"/>
              </w:rPr>
              <w:t>,00</w:t>
            </w:r>
          </w:p>
        </w:tc>
        <w:tc>
          <w:tcPr>
            <w:tcW w:w="550" w:type="pct"/>
            <w:shd w:val="clear" w:color="auto" w:fill="auto"/>
            <w:vAlign w:val="center"/>
          </w:tcPr>
          <w:p w14:paraId="5E250AD4" w14:textId="4B5EBF66"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56</w:t>
            </w:r>
            <w:r w:rsidR="001D52F2" w:rsidRPr="003A6407">
              <w:rPr>
                <w:rFonts w:eastAsia="Calibri" w:cs="Calibri"/>
                <w:noProof/>
                <w:sz w:val="16"/>
                <w:szCs w:val="16"/>
              </w:rPr>
              <w:t>,00</w:t>
            </w:r>
          </w:p>
        </w:tc>
      </w:tr>
      <w:tr w:rsidR="00F64240" w:rsidRPr="003A6407" w14:paraId="52EE3FF2" w14:textId="77777777" w:rsidTr="002B58A1">
        <w:trPr>
          <w:trHeight w:val="340"/>
        </w:trPr>
        <w:tc>
          <w:tcPr>
            <w:tcW w:w="5000" w:type="pct"/>
            <w:gridSpan w:val="8"/>
          </w:tcPr>
          <w:p w14:paraId="56A67CB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4C0A6B3E" w14:textId="41AE0972" w:rsidR="00F64240" w:rsidRPr="003A6407" w:rsidRDefault="00F64240" w:rsidP="0005785F">
            <w:pPr>
              <w:spacing w:before="60" w:after="60" w:line="240" w:lineRule="auto"/>
              <w:jc w:val="both"/>
              <w:rPr>
                <w:rFonts w:eastAsia="Times New Roman" w:cs="Calibri"/>
                <w:bCs/>
                <w:noProof/>
                <w:lang w:eastAsia="pl-PL"/>
              </w:rPr>
            </w:pPr>
            <w:r w:rsidRPr="003A6407">
              <w:rPr>
                <w:rFonts w:eastAsia="Times New Roman" w:cs="Calibri"/>
                <w:lang w:eastAsia="pl-PL"/>
              </w:rPr>
              <w:t>Wskaźnik realizuje kody interwencji: 048 Energia odnawialna: słoneczna w kwocie 22 000 000 EUR, 049 Energia odnawialna: biomasa w kwocie 7 000 0005 EUR oraz 052 Inne rodzaje energii odnawialnej (w tym energia geotermalna) w kwocie 10 841 727 EUR, o łącznej wartości 39 841 727 EUR. Uwzględniając (odejmując) koszty uproszczone na poziomie 7%, wartość alokacji realizującej dany wskaźnik wynosi 37 052 806,10 EUR</w:t>
            </w:r>
            <w:r w:rsidRPr="003A6407">
              <w:rPr>
                <w:rFonts w:eastAsia="Times New Roman" w:cs="Calibri"/>
                <w:bCs/>
                <w:noProof/>
                <w:lang w:eastAsia="pl-PL"/>
              </w:rPr>
              <w:t>.</w:t>
            </w:r>
          </w:p>
          <w:p w14:paraId="46C0F44D" w14:textId="77777777" w:rsidR="00F64240" w:rsidRPr="003A6407" w:rsidRDefault="00F64240" w:rsidP="0005785F">
            <w:pPr>
              <w:spacing w:before="60" w:after="60" w:line="240" w:lineRule="auto"/>
              <w:jc w:val="both"/>
              <w:rPr>
                <w:rFonts w:eastAsia="Times New Roman" w:cs="Calibri"/>
                <w:lang w:eastAsia="pl-PL"/>
              </w:rPr>
            </w:pPr>
          </w:p>
          <w:p w14:paraId="73691273" w14:textId="298FAC3F"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 xml:space="preserve">Historyczny kwalifikowalny koszt jednostkowy na bazie doświadczeń z perspektywy 2014-2020 wynosi 2 213 221,83 PLN. </w:t>
            </w:r>
            <w:r w:rsidRPr="003A6407">
              <w:t>Koszt jednostkowy został skorygowany w oparciu o wartość inflacji na poziomie 15% i wynosi 2 545 205,10 PLN</w:t>
            </w:r>
            <w:r w:rsidRPr="003A6407">
              <w:rPr>
                <w:rFonts w:eastAsia="Times New Roman" w:cs="Calibri"/>
                <w:lang w:eastAsia="pl-PL"/>
              </w:rPr>
              <w:t xml:space="preserve"> Dane bazują na wyliczeniach metodologicznych dla analogicznego wskaźnika RCO022 w ramach CP 2 pn. „Dodatkowa zdolność wytwarzania energii odnawialnej (w tym: energii elektrycznej, energii cieplnej)” i uwzględniając dofinansowanie na poziomie 70% wynosi 1 781 643,57 PLN; biorąc pod uwagę kurs EUR na poziomie 4,45 koszt jednostkowy wynosi 400 369,34 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w:t>
            </w:r>
          </w:p>
          <w:p w14:paraId="20F5B5DF"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 xml:space="preserve"> </w:t>
            </w:r>
          </w:p>
          <w:p w14:paraId="0D4EFBAA"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R: [(6*25)+(3*68)]/9 = 39,3%</w:t>
            </w:r>
          </w:p>
          <w:p w14:paraId="2A195F75" w14:textId="77777777" w:rsidR="00F64240" w:rsidRPr="003A6407" w:rsidRDefault="00F64240" w:rsidP="0005785F">
            <w:pPr>
              <w:spacing w:before="60" w:after="60" w:line="240" w:lineRule="auto"/>
              <w:jc w:val="both"/>
              <w:rPr>
                <w:rFonts w:eastAsia="Times New Roman" w:cs="Calibri"/>
                <w:lang w:eastAsia="pl-PL"/>
              </w:rPr>
            </w:pPr>
          </w:p>
          <w:p w14:paraId="2A6FD5E9"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1F6E0D49" w14:textId="2B1FC08D"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37 052 806,10 / 400 369,34 * (1-0,393) = 56 MW</w:t>
            </w:r>
          </w:p>
          <w:p w14:paraId="5C00617D" w14:textId="77777777" w:rsidR="00F64240" w:rsidRPr="003A6407" w:rsidRDefault="00F64240" w:rsidP="0005785F">
            <w:pPr>
              <w:spacing w:before="60" w:after="60" w:line="240" w:lineRule="auto"/>
              <w:jc w:val="both"/>
              <w:rPr>
                <w:rFonts w:eastAsia="Times New Roman" w:cs="Calibri"/>
                <w:lang w:eastAsia="pl-PL"/>
              </w:rPr>
            </w:pPr>
          </w:p>
          <w:p w14:paraId="15A8EC8D"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0C87A588"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lastRenderedPageBreak/>
              <w:t>•</w:t>
            </w:r>
            <w:r w:rsidRPr="003A6407">
              <w:rPr>
                <w:rFonts w:eastAsia="Times New Roman" w:cs="Calibri"/>
                <w:b/>
                <w:lang w:eastAsia="pl-PL"/>
              </w:rPr>
              <w:t xml:space="preserve">ryzyko wzrostu cen </w:t>
            </w:r>
            <w:r w:rsidRPr="003A6407">
              <w:rPr>
                <w:rFonts w:eastAsia="Times New Roman" w:cs="Calibri"/>
                <w:lang w:eastAsia="pl-PL"/>
              </w:rPr>
              <w:t>- ryzyko związane ze wzrostem cen materiałów, surowców, sprzętu i usług; ryzyko związane z poziomem inflacji również obciążenia fiskalne; (istotność: poważna)</w:t>
            </w:r>
          </w:p>
          <w:p w14:paraId="4AE610BF"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771D4E05"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3A46FF77"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czynniki które mogą wpłynąć na harmonogram realizacji planów działania dot. spełnienia warunków podstawowych,</w:t>
            </w:r>
            <w:r w:rsidRPr="003A6407">
              <w:rPr>
                <w:rFonts w:eastAsia="Times New Roman" w:cs="Calibri"/>
                <w:lang w:eastAsia="pl-PL"/>
              </w:rPr>
              <w:t xml:space="preserve"> a które są poza kompetencjami IZ oraz instytucji odpowiedzialnych za spełnienie tych warunków; (istotność: umiarkowana)</w:t>
            </w:r>
          </w:p>
          <w:p w14:paraId="50C3569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ostateczne ustalenia dot. występowania i poziomu pomocy publicznej</w:t>
            </w:r>
            <w:r w:rsidRPr="003A6407">
              <w:rPr>
                <w:rFonts w:eastAsia="Times New Roman" w:cs="Calibri"/>
                <w:lang w:eastAsia="pl-PL"/>
              </w:rPr>
              <w:t>; (istotność: umiarkowana)</w:t>
            </w:r>
          </w:p>
          <w:p w14:paraId="70DCC673"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umiarkowana)</w:t>
            </w:r>
          </w:p>
          <w:p w14:paraId="60B61872"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uzyskiwaniem pozwoleń i decyzji środowiskowych, procedurami wynikającymi z zamówień publicznych; (istotność: poważna)</w:t>
            </w:r>
          </w:p>
          <w:p w14:paraId="44D4B231" w14:textId="77777777" w:rsidR="00F64240" w:rsidRPr="003A6407" w:rsidRDefault="00F64240" w:rsidP="0005785F">
            <w:pPr>
              <w:spacing w:before="60" w:after="60" w:line="240" w:lineRule="auto"/>
              <w:jc w:val="both"/>
              <w:rPr>
                <w:rFonts w:eastAsia="Times New Roman" w:cs="Calibri"/>
                <w:bCs/>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poważna)</w:t>
            </w:r>
          </w:p>
          <w:p w14:paraId="0D20E58C" w14:textId="77777777" w:rsidR="00F64240" w:rsidRPr="003A6407" w:rsidRDefault="00F64240" w:rsidP="0005785F">
            <w:pPr>
              <w:spacing w:before="60" w:after="60" w:line="240" w:lineRule="auto"/>
              <w:jc w:val="both"/>
              <w:rPr>
                <w:rFonts w:eastAsia="Times New Roman" w:cs="Calibri"/>
                <w:bCs/>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możliwość terminowego pozyskiwania zgód i pozwoleń administracyjnych;</w:t>
            </w:r>
            <w:r w:rsidRPr="003A6407" w:rsidDel="00711950">
              <w:rPr>
                <w:rFonts w:eastAsia="Times New Roman" w:cs="Calibri"/>
                <w:bCs/>
                <w:lang w:eastAsia="pl-PL"/>
              </w:rPr>
              <w:t xml:space="preserve"> </w:t>
            </w:r>
            <w:r w:rsidRPr="003A6407">
              <w:rPr>
                <w:rFonts w:eastAsia="Times New Roman" w:cs="Calibri"/>
                <w:bCs/>
                <w:lang w:eastAsia="pl-PL"/>
              </w:rPr>
              <w:t>(istotność: umiarkowana)</w:t>
            </w:r>
          </w:p>
          <w:p w14:paraId="6B1CC03F" w14:textId="77777777" w:rsidR="008526A2" w:rsidRPr="003A6407" w:rsidRDefault="008526A2" w:rsidP="0005785F">
            <w:pPr>
              <w:spacing w:before="60" w:after="60" w:line="240" w:lineRule="auto"/>
              <w:jc w:val="both"/>
              <w:rPr>
                <w:rFonts w:eastAsia="Times New Roman" w:cs="Calibri"/>
                <w:b/>
                <w:bCs/>
                <w:lang w:eastAsia="pl-PL"/>
              </w:rPr>
            </w:pPr>
          </w:p>
          <w:p w14:paraId="71D898F6" w14:textId="77777777" w:rsidR="008526A2" w:rsidRPr="003A6407" w:rsidRDefault="008526A2" w:rsidP="0005785F">
            <w:pPr>
              <w:spacing w:before="60" w:after="60" w:line="240" w:lineRule="auto"/>
              <w:jc w:val="both"/>
              <w:rPr>
                <w:rFonts w:eastAsia="Times New Roman" w:cs="Calibri"/>
                <w:b/>
                <w:bCs/>
                <w:lang w:eastAsia="pl-PL"/>
              </w:rPr>
            </w:pPr>
            <w:r w:rsidRPr="003A6407">
              <w:rPr>
                <w:rFonts w:eastAsia="Times New Roman" w:cs="Calibri"/>
                <w:b/>
                <w:bCs/>
                <w:lang w:eastAsia="pl-PL"/>
              </w:rPr>
              <w:t>Uzasadnienie dla celu pośredniego:</w:t>
            </w:r>
          </w:p>
          <w:p w14:paraId="352CDE12" w14:textId="77777777"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4a Produkcja i dystrybucja energii ze źródeł odnawialnych), na podstawie Sprawozdania rocznego z 2021 r. - wskaźnik pn. Energia odnawialna: Dodatkowa zdolność wytwarzania energii odnawialnej (CI 30) dopiero w 2017 r. osiągnął wartość 0,14, co wobec wartości z wykonania na 2021 r. (6,81) stanowi zaledwie 2%.</w:t>
            </w:r>
          </w:p>
          <w:p w14:paraId="412ADF17" w14:textId="77777777"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Wskaźnik: Liczba jednostek wytwarzania energii elektrycznej z OZE dopiero w 2017 r. osiągnął wartość 1, co wobec wartości z wykonania na 2021 r. (1437) stanowi zaledwie 0,07%.</w:t>
            </w:r>
          </w:p>
          <w:p w14:paraId="2EC4E768" w14:textId="1CE780B8"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Mając na uwadze, że 2017 r. był już czwartym rokiem wdrażania programu RPO WD 2014-2020, a rok 2024 będzie de facto dopiero drugim rokiem wdrażania FEDS, wartość pośrednią dla tego wskaźnika ustalono jako 0.</w:t>
            </w:r>
          </w:p>
        </w:tc>
      </w:tr>
    </w:tbl>
    <w:p w14:paraId="51441BEF" w14:textId="79938ADD" w:rsidR="0014693F" w:rsidRDefault="0014693F" w:rsidP="0005785F">
      <w:pPr>
        <w:spacing w:after="160" w:line="256" w:lineRule="auto"/>
        <w:rPr>
          <w:rFonts w:eastAsia="Times New Roman" w:cs="Calibri"/>
          <w:lang w:eastAsia="pl-PL"/>
        </w:rPr>
      </w:pPr>
    </w:p>
    <w:p w14:paraId="2C434463" w14:textId="77777777" w:rsidR="0014693F" w:rsidRPr="003A6407" w:rsidRDefault="0014693F" w:rsidP="0005785F">
      <w:pPr>
        <w:spacing w:after="160" w:line="256" w:lineRule="auto"/>
        <w:rPr>
          <w:rFonts w:eastAsia="Times New Roman" w:cs="Calibri"/>
          <w:lang w:eastAsia="pl-PL"/>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5DBA8C6D" w14:textId="77777777" w:rsidTr="001D52F2">
        <w:trPr>
          <w:cantSplit/>
          <w:trHeight w:val="1647"/>
        </w:trPr>
        <w:tc>
          <w:tcPr>
            <w:tcW w:w="451" w:type="pct"/>
            <w:vAlign w:val="center"/>
          </w:tcPr>
          <w:p w14:paraId="4996D5A3"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3A8EB085"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szczegółowy</w:t>
            </w:r>
          </w:p>
        </w:tc>
        <w:tc>
          <w:tcPr>
            <w:tcW w:w="494" w:type="pct"/>
            <w:vAlign w:val="center"/>
          </w:tcPr>
          <w:p w14:paraId="0F16C426"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558" w:type="pct"/>
            <w:vAlign w:val="center"/>
          </w:tcPr>
          <w:p w14:paraId="776F938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0" w:type="pct"/>
            <w:textDirection w:val="btLr"/>
            <w:vAlign w:val="center"/>
          </w:tcPr>
          <w:p w14:paraId="0E7ADACA"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1411" w:type="pct"/>
            <w:shd w:val="clear" w:color="auto" w:fill="auto"/>
            <w:vAlign w:val="center"/>
          </w:tcPr>
          <w:p w14:paraId="1A2834E7" w14:textId="0CE19AF4"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549" w:type="pct"/>
            <w:vAlign w:val="center"/>
          </w:tcPr>
          <w:p w14:paraId="13823A4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Jednostka miary</w:t>
            </w:r>
          </w:p>
        </w:tc>
        <w:tc>
          <w:tcPr>
            <w:tcW w:w="627" w:type="pct"/>
            <w:shd w:val="clear" w:color="auto" w:fill="auto"/>
            <w:vAlign w:val="center"/>
          </w:tcPr>
          <w:p w14:paraId="06020CF6"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pośredni (2024)</w:t>
            </w:r>
          </w:p>
          <w:p w14:paraId="17B7ED12" w14:textId="77777777" w:rsidR="00F64240" w:rsidRPr="003A6407" w:rsidRDefault="00F64240" w:rsidP="001D52F2">
            <w:pPr>
              <w:spacing w:before="120" w:after="120" w:line="240" w:lineRule="auto"/>
              <w:jc w:val="center"/>
              <w:rPr>
                <w:rFonts w:eastAsia="Calibri" w:cs="Calibri"/>
                <w:b/>
                <w:noProof/>
                <w:sz w:val="16"/>
                <w:szCs w:val="16"/>
              </w:rPr>
            </w:pPr>
          </w:p>
        </w:tc>
        <w:tc>
          <w:tcPr>
            <w:tcW w:w="550" w:type="pct"/>
            <w:shd w:val="clear" w:color="auto" w:fill="auto"/>
            <w:vAlign w:val="center"/>
          </w:tcPr>
          <w:p w14:paraId="060E8BC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77143823" w14:textId="77777777" w:rsidR="00F64240" w:rsidRPr="003A6407" w:rsidRDefault="00F64240" w:rsidP="001D52F2">
            <w:pPr>
              <w:spacing w:before="120" w:after="120" w:line="240" w:lineRule="auto"/>
              <w:jc w:val="center"/>
              <w:rPr>
                <w:rFonts w:eastAsia="Calibri" w:cs="Calibri"/>
                <w:b/>
                <w:noProof/>
                <w:sz w:val="16"/>
                <w:szCs w:val="16"/>
              </w:rPr>
            </w:pPr>
          </w:p>
        </w:tc>
      </w:tr>
      <w:tr w:rsidR="00191FE2" w:rsidRPr="003A6407" w14:paraId="3AA3F0DE" w14:textId="77777777" w:rsidTr="001D52F2">
        <w:trPr>
          <w:trHeight w:val="340"/>
        </w:trPr>
        <w:tc>
          <w:tcPr>
            <w:tcW w:w="451" w:type="pct"/>
            <w:vAlign w:val="center"/>
          </w:tcPr>
          <w:p w14:paraId="785A830A"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58AA1939" w14:textId="118E52FD"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494" w:type="pct"/>
            <w:vAlign w:val="center"/>
          </w:tcPr>
          <w:p w14:paraId="10968191"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558" w:type="pct"/>
            <w:vAlign w:val="center"/>
          </w:tcPr>
          <w:p w14:paraId="78F553B1"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0" w:type="pct"/>
            <w:vAlign w:val="center"/>
          </w:tcPr>
          <w:p w14:paraId="76989A18"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RCO 18</w:t>
            </w:r>
          </w:p>
        </w:tc>
        <w:tc>
          <w:tcPr>
            <w:tcW w:w="1411" w:type="pct"/>
            <w:shd w:val="clear" w:color="auto" w:fill="auto"/>
            <w:vAlign w:val="center"/>
          </w:tcPr>
          <w:p w14:paraId="575C8108" w14:textId="77777777" w:rsidR="00F64240" w:rsidRPr="003A6407" w:rsidRDefault="00F64240" w:rsidP="001D52F2">
            <w:pPr>
              <w:keepNext/>
              <w:keepLines/>
              <w:spacing w:before="200" w:after="0"/>
              <w:jc w:val="center"/>
              <w:outlineLvl w:val="2"/>
              <w:rPr>
                <w:rFonts w:eastAsia="Times New Roman" w:cs="Calibri"/>
                <w:b/>
                <w:bCs/>
                <w:sz w:val="16"/>
                <w:szCs w:val="16"/>
              </w:rPr>
            </w:pPr>
            <w:bookmarkStart w:id="446" w:name="_Toc98189044"/>
            <w:bookmarkStart w:id="447" w:name="_Toc120464542"/>
            <w:r w:rsidRPr="003A6407">
              <w:rPr>
                <w:rFonts w:asciiTheme="minorHAnsi" w:eastAsia="Times New Roman" w:hAnsiTheme="minorHAnsi" w:cstheme="minorHAnsi"/>
                <w:bCs/>
                <w:noProof/>
                <w:sz w:val="16"/>
                <w:szCs w:val="16"/>
              </w:rPr>
              <w:t>Lokale mieszkalne o lepszej charakterystyce energetycznej</w:t>
            </w:r>
            <w:bookmarkEnd w:id="446"/>
            <w:bookmarkEnd w:id="447"/>
          </w:p>
        </w:tc>
        <w:tc>
          <w:tcPr>
            <w:tcW w:w="549" w:type="pct"/>
            <w:vAlign w:val="center"/>
          </w:tcPr>
          <w:p w14:paraId="12CEE28E" w14:textId="396AA448" w:rsidR="00F64240" w:rsidRPr="003A6407" w:rsidRDefault="00C37117" w:rsidP="001D52F2">
            <w:pPr>
              <w:spacing w:before="120" w:after="120" w:line="240" w:lineRule="auto"/>
              <w:jc w:val="center"/>
              <w:rPr>
                <w:rFonts w:eastAsia="Calibri" w:cs="Calibri"/>
                <w:noProof/>
                <w:sz w:val="16"/>
                <w:szCs w:val="16"/>
              </w:rPr>
            </w:pPr>
            <w:r>
              <w:rPr>
                <w:rFonts w:eastAsia="Calibri" w:cs="Calibri"/>
                <w:noProof/>
                <w:sz w:val="16"/>
                <w:szCs w:val="16"/>
              </w:rPr>
              <w:t>lokale mieszkalne</w:t>
            </w:r>
          </w:p>
        </w:tc>
        <w:tc>
          <w:tcPr>
            <w:tcW w:w="627" w:type="pct"/>
            <w:shd w:val="clear" w:color="auto" w:fill="auto"/>
            <w:vAlign w:val="center"/>
          </w:tcPr>
          <w:p w14:paraId="25D6227A" w14:textId="5469818F" w:rsidR="00F64240" w:rsidRPr="003A6407" w:rsidRDefault="00B26FAC" w:rsidP="001D52F2">
            <w:pPr>
              <w:spacing w:before="120" w:after="120" w:line="240" w:lineRule="auto"/>
              <w:jc w:val="center"/>
              <w:rPr>
                <w:rFonts w:eastAsia="Calibri" w:cs="Calibri"/>
                <w:noProof/>
                <w:sz w:val="16"/>
                <w:szCs w:val="16"/>
              </w:rPr>
            </w:pPr>
            <w:r>
              <w:rPr>
                <w:rFonts w:eastAsia="Calibri" w:cs="Calibri"/>
                <w:noProof/>
                <w:sz w:val="16"/>
                <w:szCs w:val="16"/>
              </w:rPr>
              <w:t>0</w:t>
            </w:r>
            <w:r w:rsidR="009E03DD" w:rsidRPr="003A6407">
              <w:rPr>
                <w:rFonts w:eastAsia="Calibri" w:cs="Calibri"/>
                <w:noProof/>
                <w:sz w:val="16"/>
                <w:szCs w:val="16"/>
              </w:rPr>
              <w:t>,00</w:t>
            </w:r>
          </w:p>
        </w:tc>
        <w:tc>
          <w:tcPr>
            <w:tcW w:w="550" w:type="pct"/>
            <w:shd w:val="clear" w:color="auto" w:fill="auto"/>
            <w:vAlign w:val="center"/>
          </w:tcPr>
          <w:p w14:paraId="22F56156" w14:textId="5CBBE9EF" w:rsidR="00F64240" w:rsidRPr="003A6407" w:rsidRDefault="0008230C" w:rsidP="001D52F2">
            <w:pPr>
              <w:spacing w:before="120" w:after="120" w:line="240" w:lineRule="auto"/>
              <w:jc w:val="center"/>
              <w:rPr>
                <w:rFonts w:eastAsia="Calibri" w:cs="Calibri"/>
                <w:noProof/>
                <w:sz w:val="16"/>
                <w:szCs w:val="16"/>
              </w:rPr>
            </w:pPr>
            <w:r>
              <w:rPr>
                <w:rFonts w:eastAsia="Times New Roman" w:cs="Calibri"/>
                <w:lang w:eastAsia="pl-PL"/>
              </w:rPr>
              <w:t>17 111</w:t>
            </w:r>
          </w:p>
        </w:tc>
      </w:tr>
      <w:tr w:rsidR="00F64240" w:rsidRPr="003A6407" w14:paraId="481D8480" w14:textId="77777777" w:rsidTr="002B58A1">
        <w:trPr>
          <w:trHeight w:val="340"/>
        </w:trPr>
        <w:tc>
          <w:tcPr>
            <w:tcW w:w="5000" w:type="pct"/>
            <w:gridSpan w:val="8"/>
          </w:tcPr>
          <w:p w14:paraId="3E5C3935" w14:textId="77777777" w:rsidR="00F64240" w:rsidRPr="003A6407" w:rsidRDefault="00F64240" w:rsidP="0005785F">
            <w:pPr>
              <w:spacing w:before="60" w:after="60" w:line="240" w:lineRule="auto"/>
              <w:jc w:val="both"/>
              <w:rPr>
                <w:rFonts w:eastAsia="Times New Roman" w:cs="Calibri"/>
                <w:lang w:eastAsia="pl-PL"/>
              </w:rPr>
            </w:pPr>
          </w:p>
          <w:p w14:paraId="730B87CF"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1C65FD13" w14:textId="1B08AB9B"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 xml:space="preserve">Wskaźnik realizuje kod interwencji </w:t>
            </w:r>
            <w:r w:rsidRPr="003A6407">
              <w:rPr>
                <w:rFonts w:eastAsia="Times New Roman" w:cs="Calibri"/>
                <w:bCs/>
                <w:noProof/>
                <w:lang w:eastAsia="pl-PL"/>
              </w:rPr>
              <w:t xml:space="preserve">042 Renowacja istniejących budynków mieszkalnych pod kątem efektywności energetycznej, projekty demonstracyjne i działania wspierające zgodne z kryteriami efektywności energetycznej w kwocie </w:t>
            </w:r>
            <w:r w:rsidR="0008230C">
              <w:rPr>
                <w:rFonts w:eastAsia="Times New Roman" w:cs="Calibri"/>
                <w:bCs/>
                <w:noProof/>
                <w:lang w:eastAsia="pl-PL"/>
              </w:rPr>
              <w:t>100 000 000</w:t>
            </w:r>
            <w:r w:rsidR="00604744">
              <w:rPr>
                <w:rFonts w:eastAsia="Times New Roman" w:cs="Calibri"/>
                <w:bCs/>
                <w:noProof/>
                <w:lang w:eastAsia="pl-PL"/>
              </w:rPr>
              <w:t xml:space="preserve"> </w:t>
            </w:r>
            <w:r w:rsidRPr="003A6407">
              <w:rPr>
                <w:rFonts w:eastAsia="Times New Roman" w:cs="Calibri"/>
                <w:bCs/>
                <w:noProof/>
                <w:lang w:eastAsia="pl-PL"/>
              </w:rPr>
              <w:t>EUR</w:t>
            </w:r>
            <w:r w:rsidRPr="003A6407">
              <w:rPr>
                <w:rFonts w:eastAsia="Times New Roman" w:cs="Calibri"/>
                <w:lang w:eastAsia="pl-PL"/>
              </w:rPr>
              <w:t xml:space="preserve">. Uwzględniając (odejmując) koszty uproszczone na poziomie 7%, wartość alokacji realizującej dany wskaźnik wynosi </w:t>
            </w:r>
            <w:r w:rsidR="0008230C">
              <w:rPr>
                <w:rFonts w:eastAsia="Times New Roman" w:cs="Calibri"/>
                <w:lang w:eastAsia="pl-PL"/>
              </w:rPr>
              <w:t>93 000 000</w:t>
            </w:r>
            <w:r w:rsidR="008B6FE9">
              <w:rPr>
                <w:rFonts w:eastAsia="Times New Roman" w:cs="Calibri"/>
                <w:lang w:eastAsia="pl-PL"/>
              </w:rPr>
              <w:t xml:space="preserve"> </w:t>
            </w:r>
            <w:r w:rsidRPr="003A6407">
              <w:rPr>
                <w:rFonts w:eastAsia="Times New Roman" w:cs="Calibri"/>
                <w:lang w:eastAsia="pl-PL"/>
              </w:rPr>
              <w:t>EUR.</w:t>
            </w:r>
          </w:p>
          <w:p w14:paraId="0FAA7289" w14:textId="28295263"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lastRenderedPageBreak/>
              <w:t>Historyczny koszt jednostkowy na bazie doświadczeń z perspektywy 2014-2020 wynosi 16 795,44 PLN</w:t>
            </w:r>
            <w:r w:rsidRPr="003A6407">
              <w:rPr>
                <w:rStyle w:val="Odwoanieprzypisudolnego"/>
                <w:rFonts w:eastAsia="Times New Roman" w:cs="Calibri"/>
                <w:lang w:eastAsia="pl-PL"/>
              </w:rPr>
              <w:footnoteReference w:id="4"/>
            </w:r>
            <w:r w:rsidRPr="003A6407">
              <w:rPr>
                <w:rFonts w:eastAsia="Times New Roman" w:cs="Calibri"/>
                <w:lang w:eastAsia="pl-PL"/>
              </w:rPr>
              <w:t xml:space="preserve">. </w:t>
            </w:r>
            <w:r w:rsidRPr="003A6407">
              <w:t xml:space="preserve">Koszt jednostkowy został skorygowany w oparciu o wartość inflacji na poziomie 15% i wynosi 19 314,76 PLN. </w:t>
            </w:r>
            <w:r w:rsidRPr="003A6407">
              <w:rPr>
                <w:rFonts w:eastAsia="Times New Roman" w:cs="Calibri"/>
                <w:lang w:eastAsia="pl-PL"/>
              </w:rPr>
              <w:t xml:space="preserve">Wartość dofinansowania na poziomie 70% wynosi 13 520,33 PLN; biorąc pod uwagę kurs EUR na poziomie 4,45 koszt jednostkowy wynosi 3 038,28 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w:t>
            </w:r>
          </w:p>
          <w:p w14:paraId="18F8A0D4"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R: [(5*25)+(4*68)]/9 = 44,1%</w:t>
            </w:r>
          </w:p>
          <w:p w14:paraId="153E9B31" w14:textId="77777777" w:rsidR="00F64240" w:rsidRPr="003A6407" w:rsidRDefault="00F64240" w:rsidP="0005785F">
            <w:pPr>
              <w:spacing w:before="60" w:after="60" w:line="240" w:lineRule="auto"/>
              <w:jc w:val="both"/>
              <w:rPr>
                <w:rFonts w:eastAsia="Times New Roman" w:cs="Calibri"/>
                <w:lang w:eastAsia="pl-PL"/>
              </w:rPr>
            </w:pPr>
          </w:p>
          <w:p w14:paraId="1DD466CB"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787831DD" w14:textId="05E2B99D" w:rsidR="00F64240" w:rsidRPr="003A6407" w:rsidRDefault="0008230C" w:rsidP="0005785F">
            <w:pPr>
              <w:spacing w:before="60" w:after="60" w:line="240" w:lineRule="auto"/>
              <w:jc w:val="both"/>
              <w:rPr>
                <w:rFonts w:eastAsia="Times New Roman" w:cs="Calibri"/>
                <w:lang w:eastAsia="pl-PL"/>
              </w:rPr>
            </w:pPr>
            <w:r>
              <w:rPr>
                <w:rFonts w:eastAsia="Times New Roman" w:cs="Calibri"/>
                <w:lang w:eastAsia="pl-PL"/>
              </w:rPr>
              <w:t>93 000 000</w:t>
            </w:r>
            <w:r w:rsidR="00F64240" w:rsidRPr="003A6407">
              <w:rPr>
                <w:rFonts w:eastAsia="Times New Roman" w:cs="Calibri"/>
                <w:lang w:eastAsia="pl-PL"/>
              </w:rPr>
              <w:t xml:space="preserve"> / 3 038,28 * (1-0,441) = </w:t>
            </w:r>
            <w:r>
              <w:rPr>
                <w:rFonts w:eastAsia="Times New Roman" w:cs="Calibri"/>
                <w:lang w:eastAsia="pl-PL"/>
              </w:rPr>
              <w:t>17 111</w:t>
            </w:r>
            <w:r w:rsidR="008B6FE9">
              <w:rPr>
                <w:rFonts w:eastAsia="Times New Roman" w:cs="Calibri"/>
                <w:lang w:eastAsia="pl-PL"/>
              </w:rPr>
              <w:t xml:space="preserve"> </w:t>
            </w:r>
            <w:r w:rsidR="00F64240" w:rsidRPr="003A6407">
              <w:rPr>
                <w:rFonts w:eastAsia="Times New Roman" w:cs="Calibri"/>
                <w:lang w:eastAsia="pl-PL"/>
              </w:rPr>
              <w:t>szt.</w:t>
            </w:r>
          </w:p>
          <w:p w14:paraId="361DED5D" w14:textId="77777777" w:rsidR="00F64240" w:rsidRPr="003A6407" w:rsidRDefault="00F64240" w:rsidP="0005785F">
            <w:pPr>
              <w:spacing w:before="60" w:after="60" w:line="240" w:lineRule="auto"/>
              <w:jc w:val="both"/>
              <w:rPr>
                <w:rFonts w:eastAsia="Times New Roman" w:cs="Calibri"/>
                <w:lang w:eastAsia="pl-PL"/>
              </w:rPr>
            </w:pPr>
          </w:p>
          <w:p w14:paraId="3527C8DA"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52511249"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wzrostu cen</w:t>
            </w:r>
            <w:r w:rsidRPr="003A6407">
              <w:rPr>
                <w:rFonts w:eastAsia="Times New Roman" w:cs="Calibri"/>
                <w:lang w:eastAsia="pl-PL"/>
              </w:rPr>
              <w:t xml:space="preserve"> - ryzyko związane ze wzrostem cen gazu, energii, materiałów, sprzętu i usług; ryzyko związane z poziomem inflacji; (istotność: poważna)</w:t>
            </w:r>
          </w:p>
          <w:p w14:paraId="0B37521D"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6455E2F9"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4DF14C63"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czynniki które mogą wpłynąć na harmonogram realizacji planów działania dot. spełnienia warunków podstawowych,</w:t>
            </w:r>
            <w:r w:rsidRPr="003A6407">
              <w:rPr>
                <w:rFonts w:eastAsia="Times New Roman" w:cs="Calibri"/>
                <w:lang w:eastAsia="pl-PL"/>
              </w:rPr>
              <w:t xml:space="preserve"> a które są poza kompetencjami IZ oraz instytucji odpowiedzialnych za spełnienie tych warunków; (istotność: poważna)</w:t>
            </w:r>
          </w:p>
          <w:p w14:paraId="3D0C5B5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poważna)</w:t>
            </w:r>
          </w:p>
          <w:p w14:paraId="1E17F4BD"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brakiem wykonawców, sezonowością prac itp.; (istotność: poważna)</w:t>
            </w:r>
          </w:p>
          <w:p w14:paraId="1814C6FC"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umiarkowana)</w:t>
            </w:r>
          </w:p>
          <w:p w14:paraId="70228098" w14:textId="77777777" w:rsidR="00F64240" w:rsidRPr="003A6407" w:rsidRDefault="00F64240" w:rsidP="0005785F">
            <w:pPr>
              <w:spacing w:before="60" w:after="60" w:line="240" w:lineRule="auto"/>
              <w:jc w:val="both"/>
              <w:rPr>
                <w:rFonts w:eastAsia="Times New Roman" w:cs="Calibri"/>
                <w:bCs/>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możliwość terminowego pozyskiwania zgód i pozwoleń administracyjnych (istotność: umiarkowana)</w:t>
            </w:r>
          </w:p>
          <w:p w14:paraId="09F8527F"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b/>
                <w:lang w:eastAsia="pl-PL"/>
              </w:rPr>
              <w:t>•</w:t>
            </w:r>
            <w:r w:rsidRPr="003A6407">
              <w:rPr>
                <w:rFonts w:eastAsia="Times New Roman" w:cs="Calibri"/>
                <w:b/>
                <w:bCs/>
                <w:lang w:eastAsia="pl-PL"/>
              </w:rPr>
              <w:t xml:space="preserve">nakładanie się wsparcia z innych instrumentów </w:t>
            </w:r>
            <w:r w:rsidRPr="003A6407">
              <w:rPr>
                <w:rFonts w:eastAsia="Times New Roman" w:cs="Calibri"/>
                <w:lang w:eastAsia="pl-PL"/>
              </w:rPr>
              <w:t>np. programów krajowych lub finansowanych ze środków krajowych (istotność: umiarkowana)</w:t>
            </w:r>
          </w:p>
          <w:p w14:paraId="04A18AAC" w14:textId="77777777" w:rsidR="008526A2" w:rsidRPr="003A6407" w:rsidRDefault="008526A2" w:rsidP="0005785F">
            <w:pPr>
              <w:spacing w:before="60" w:after="60" w:line="240" w:lineRule="auto"/>
              <w:jc w:val="both"/>
              <w:rPr>
                <w:rFonts w:eastAsia="Times New Roman" w:cs="Calibri"/>
                <w:b/>
                <w:lang w:eastAsia="pl-PL"/>
              </w:rPr>
            </w:pPr>
          </w:p>
          <w:p w14:paraId="7FEC5B15" w14:textId="77777777" w:rsidR="008526A2" w:rsidRPr="003A6407" w:rsidRDefault="008526A2" w:rsidP="0005785F">
            <w:pPr>
              <w:spacing w:before="60" w:after="60" w:line="240" w:lineRule="auto"/>
              <w:jc w:val="both"/>
              <w:rPr>
                <w:rFonts w:eastAsia="Times New Roman" w:cs="Calibri"/>
                <w:b/>
                <w:lang w:eastAsia="pl-PL"/>
              </w:rPr>
            </w:pPr>
            <w:r w:rsidRPr="003A6407">
              <w:rPr>
                <w:rFonts w:eastAsia="Times New Roman" w:cs="Calibri"/>
                <w:b/>
                <w:lang w:eastAsia="pl-PL"/>
              </w:rPr>
              <w:t>Uzasadnienie dla celu pośredniego:</w:t>
            </w:r>
          </w:p>
          <w:p w14:paraId="168902B1" w14:textId="6B43CFEE" w:rsidR="008526A2" w:rsidRPr="003A6407" w:rsidRDefault="008526A2" w:rsidP="00165530">
            <w:pPr>
              <w:spacing w:before="60" w:after="60" w:line="240" w:lineRule="auto"/>
              <w:jc w:val="both"/>
              <w:rPr>
                <w:rFonts w:eastAsia="Times New Roman" w:cs="Calibri"/>
                <w:b/>
                <w:lang w:eastAsia="pl-PL"/>
              </w:rPr>
            </w:pPr>
            <w:r w:rsidRPr="003A6407">
              <w:rPr>
                <w:rFonts w:eastAsia="Times New Roman" w:cs="Calibri"/>
                <w:b/>
                <w:lang w:eastAsia="pl-PL"/>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4c Efektywność energetyczna w budynkach użyteczności publicznej i sektorze mieszkaniowym), na podstawie Sprawozdania rocznego z 2021 r. - wskaźnik pn. Liczba gospodarstw domowych z lepszą klasą zużycia energii (CI 31) dopiero w 2017 r. osiągnął wartość 31, co wobec wartości z wykonania na 2021 r. (11 724) stanowi zaledwie 0,3%.</w:t>
            </w:r>
          </w:p>
          <w:p w14:paraId="76AC3942" w14:textId="78449F27"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Mając na uwadze, że 2017 r. był już czwartym rokiem wdrażania programu RPO WD 2014-2020, a rok 2024 będzie de facto dopiero drugim rokiem wdrażania FEDS, wartość pośrednią dla tego wskaźnika ustalono jako 0.</w:t>
            </w:r>
          </w:p>
        </w:tc>
      </w:tr>
    </w:tbl>
    <w:p w14:paraId="2F70EF27" w14:textId="77777777" w:rsidR="00F64240" w:rsidRPr="003A6407" w:rsidRDefault="00F64240" w:rsidP="0005785F">
      <w:pPr>
        <w:spacing w:after="160" w:line="256" w:lineRule="auto"/>
        <w:rPr>
          <w:rFonts w:eastAsia="Times New Roman" w:cs="Calibri"/>
          <w:lang w:eastAsia="pl-PL"/>
        </w:rPr>
      </w:pPr>
    </w:p>
    <w:p w14:paraId="1A937E0B" w14:textId="77777777" w:rsidR="00F64240" w:rsidRPr="003A6407" w:rsidRDefault="00F64240" w:rsidP="0005785F">
      <w:pPr>
        <w:spacing w:after="160" w:line="256" w:lineRule="auto"/>
        <w:rPr>
          <w:rFonts w:eastAsia="Times New Roman" w:cs="Calibri"/>
          <w:lang w:eastAsia="pl-PL"/>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35D623C8" w14:textId="77777777" w:rsidTr="001D52F2">
        <w:trPr>
          <w:cantSplit/>
          <w:trHeight w:val="1647"/>
        </w:trPr>
        <w:tc>
          <w:tcPr>
            <w:tcW w:w="451" w:type="pct"/>
            <w:vAlign w:val="center"/>
          </w:tcPr>
          <w:p w14:paraId="27571B6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lastRenderedPageBreak/>
              <w:t>CP 6</w:t>
            </w:r>
          </w:p>
          <w:p w14:paraId="53C3FD9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szczegółowy</w:t>
            </w:r>
          </w:p>
        </w:tc>
        <w:tc>
          <w:tcPr>
            <w:tcW w:w="494" w:type="pct"/>
            <w:vAlign w:val="center"/>
          </w:tcPr>
          <w:p w14:paraId="20E541C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558" w:type="pct"/>
            <w:vAlign w:val="center"/>
          </w:tcPr>
          <w:p w14:paraId="1619760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0" w:type="pct"/>
            <w:textDirection w:val="btLr"/>
            <w:vAlign w:val="center"/>
          </w:tcPr>
          <w:p w14:paraId="69D1418E"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1411" w:type="pct"/>
            <w:shd w:val="clear" w:color="auto" w:fill="auto"/>
            <w:vAlign w:val="center"/>
          </w:tcPr>
          <w:p w14:paraId="1BCCD714" w14:textId="307475DD"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549" w:type="pct"/>
            <w:vAlign w:val="center"/>
          </w:tcPr>
          <w:p w14:paraId="1C63E2B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Jednostka miary</w:t>
            </w:r>
          </w:p>
        </w:tc>
        <w:tc>
          <w:tcPr>
            <w:tcW w:w="627" w:type="pct"/>
            <w:shd w:val="clear" w:color="auto" w:fill="auto"/>
            <w:vAlign w:val="center"/>
          </w:tcPr>
          <w:p w14:paraId="3EFD9F7C"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pośredni (2024)</w:t>
            </w:r>
          </w:p>
          <w:p w14:paraId="22DC2E71" w14:textId="77777777" w:rsidR="00F64240" w:rsidRPr="003A6407" w:rsidRDefault="00F64240" w:rsidP="001D52F2">
            <w:pPr>
              <w:spacing w:before="120" w:after="120" w:line="240" w:lineRule="auto"/>
              <w:jc w:val="center"/>
              <w:rPr>
                <w:rFonts w:eastAsia="Calibri" w:cs="Calibri"/>
                <w:b/>
                <w:noProof/>
                <w:sz w:val="16"/>
                <w:szCs w:val="16"/>
              </w:rPr>
            </w:pPr>
          </w:p>
        </w:tc>
        <w:tc>
          <w:tcPr>
            <w:tcW w:w="550" w:type="pct"/>
            <w:shd w:val="clear" w:color="auto" w:fill="auto"/>
            <w:vAlign w:val="center"/>
          </w:tcPr>
          <w:p w14:paraId="73EE6915"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1C424823" w14:textId="77777777" w:rsidR="00F64240" w:rsidRPr="003A6407" w:rsidRDefault="00F64240" w:rsidP="001D52F2">
            <w:pPr>
              <w:spacing w:before="120" w:after="120" w:line="240" w:lineRule="auto"/>
              <w:jc w:val="center"/>
              <w:rPr>
                <w:rFonts w:eastAsia="Calibri" w:cs="Calibri"/>
                <w:b/>
                <w:noProof/>
                <w:sz w:val="16"/>
                <w:szCs w:val="16"/>
              </w:rPr>
            </w:pPr>
          </w:p>
        </w:tc>
      </w:tr>
      <w:tr w:rsidR="00191FE2" w:rsidRPr="003A6407" w14:paraId="315883D0" w14:textId="77777777" w:rsidTr="001D52F2">
        <w:trPr>
          <w:trHeight w:val="340"/>
        </w:trPr>
        <w:tc>
          <w:tcPr>
            <w:tcW w:w="451" w:type="pct"/>
            <w:vAlign w:val="center"/>
          </w:tcPr>
          <w:p w14:paraId="438AC4BF"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73278AEB" w14:textId="1ABFDF45"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494" w:type="pct"/>
            <w:vAlign w:val="center"/>
          </w:tcPr>
          <w:p w14:paraId="4F093C5A"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558" w:type="pct"/>
            <w:vAlign w:val="center"/>
          </w:tcPr>
          <w:p w14:paraId="305D2096"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0" w:type="pct"/>
            <w:vAlign w:val="center"/>
          </w:tcPr>
          <w:p w14:paraId="7FB7F6CD"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RCO 19</w:t>
            </w:r>
          </w:p>
        </w:tc>
        <w:tc>
          <w:tcPr>
            <w:tcW w:w="1411" w:type="pct"/>
            <w:shd w:val="clear" w:color="auto" w:fill="auto"/>
            <w:vAlign w:val="center"/>
          </w:tcPr>
          <w:p w14:paraId="4F840E48" w14:textId="77777777" w:rsidR="00F64240" w:rsidRPr="003A6407" w:rsidRDefault="00F64240" w:rsidP="001D52F2">
            <w:pPr>
              <w:keepNext/>
              <w:keepLines/>
              <w:spacing w:before="200" w:after="0"/>
              <w:jc w:val="center"/>
              <w:outlineLvl w:val="2"/>
              <w:rPr>
                <w:rFonts w:asciiTheme="minorHAnsi" w:eastAsia="Times New Roman" w:hAnsiTheme="minorHAnsi" w:cstheme="minorHAnsi"/>
                <w:bCs/>
                <w:noProof/>
                <w:sz w:val="16"/>
                <w:szCs w:val="16"/>
              </w:rPr>
            </w:pPr>
            <w:bookmarkStart w:id="449" w:name="_Toc98189045"/>
            <w:bookmarkStart w:id="450" w:name="_Toc120464543"/>
            <w:r w:rsidRPr="003A6407">
              <w:rPr>
                <w:rFonts w:asciiTheme="minorHAnsi" w:eastAsia="Times New Roman" w:hAnsiTheme="minorHAnsi" w:cstheme="minorHAnsi"/>
                <w:bCs/>
                <w:noProof/>
                <w:sz w:val="16"/>
                <w:szCs w:val="16"/>
              </w:rPr>
              <w:t>Budynki publiczne o lepszej charakterystyce energetycznej</w:t>
            </w:r>
            <w:bookmarkEnd w:id="449"/>
            <w:bookmarkEnd w:id="450"/>
          </w:p>
        </w:tc>
        <w:tc>
          <w:tcPr>
            <w:tcW w:w="549" w:type="pct"/>
            <w:vAlign w:val="center"/>
          </w:tcPr>
          <w:p w14:paraId="1824CB15"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m2</w:t>
            </w:r>
          </w:p>
        </w:tc>
        <w:tc>
          <w:tcPr>
            <w:tcW w:w="627" w:type="pct"/>
            <w:shd w:val="clear" w:color="auto" w:fill="auto"/>
            <w:vAlign w:val="center"/>
          </w:tcPr>
          <w:p w14:paraId="568F9FD2" w14:textId="29271FF7" w:rsidR="00F64240" w:rsidRPr="003A6407" w:rsidRDefault="00B26FAC" w:rsidP="001D52F2">
            <w:pPr>
              <w:spacing w:before="120" w:after="120" w:line="240" w:lineRule="auto"/>
              <w:jc w:val="center"/>
              <w:rPr>
                <w:rFonts w:eastAsia="Calibri" w:cs="Calibri"/>
                <w:noProof/>
                <w:sz w:val="16"/>
                <w:szCs w:val="16"/>
              </w:rPr>
            </w:pPr>
            <w:r>
              <w:rPr>
                <w:rFonts w:eastAsia="Calibri" w:cs="Calibri"/>
                <w:noProof/>
                <w:sz w:val="16"/>
                <w:szCs w:val="16"/>
              </w:rPr>
              <w:t>0</w:t>
            </w:r>
            <w:r w:rsidR="009E03DD" w:rsidRPr="003A6407">
              <w:rPr>
                <w:rFonts w:eastAsia="Calibri" w:cs="Calibri"/>
                <w:noProof/>
                <w:sz w:val="16"/>
                <w:szCs w:val="16"/>
              </w:rPr>
              <w:t>,00</w:t>
            </w:r>
          </w:p>
        </w:tc>
        <w:tc>
          <w:tcPr>
            <w:tcW w:w="550" w:type="pct"/>
            <w:shd w:val="clear" w:color="auto" w:fill="auto"/>
            <w:vAlign w:val="center"/>
          </w:tcPr>
          <w:p w14:paraId="5C87300F" w14:textId="0EEFB5E9" w:rsidR="00F64240" w:rsidRDefault="00F64240" w:rsidP="001D52F2">
            <w:pPr>
              <w:spacing w:before="120" w:after="120" w:line="240" w:lineRule="auto"/>
              <w:jc w:val="center"/>
              <w:rPr>
                <w:rFonts w:eastAsia="Calibri" w:cs="Calibri"/>
                <w:noProof/>
                <w:sz w:val="16"/>
                <w:szCs w:val="16"/>
              </w:rPr>
            </w:pPr>
          </w:p>
          <w:p w14:paraId="5EF32829" w14:textId="65F75E80" w:rsidR="00006B6F" w:rsidRPr="003A6407" w:rsidRDefault="0008230C" w:rsidP="001D52F2">
            <w:pPr>
              <w:spacing w:before="120" w:after="120" w:line="240" w:lineRule="auto"/>
              <w:jc w:val="center"/>
              <w:rPr>
                <w:rFonts w:eastAsia="Calibri" w:cs="Calibri"/>
                <w:noProof/>
                <w:sz w:val="16"/>
                <w:szCs w:val="16"/>
              </w:rPr>
            </w:pPr>
            <w:r>
              <w:rPr>
                <w:rFonts w:eastAsia="Calibri" w:cs="Calibri"/>
                <w:noProof/>
                <w:sz w:val="16"/>
                <w:szCs w:val="16"/>
              </w:rPr>
              <w:t>473 719</w:t>
            </w:r>
          </w:p>
        </w:tc>
      </w:tr>
      <w:tr w:rsidR="00F64240" w:rsidRPr="003A6407" w14:paraId="64681F4F" w14:textId="77777777" w:rsidTr="002B58A1">
        <w:trPr>
          <w:trHeight w:val="340"/>
        </w:trPr>
        <w:tc>
          <w:tcPr>
            <w:tcW w:w="5000" w:type="pct"/>
            <w:gridSpan w:val="8"/>
          </w:tcPr>
          <w:p w14:paraId="2BC59104"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555900BF" w14:textId="436EA322"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Wskaźnik realizuje kody interwencji:</w:t>
            </w:r>
            <w:r w:rsidRPr="003A6407">
              <w:rPr>
                <w:rFonts w:eastAsia="Times New Roman" w:cs="Calibri"/>
                <w:bCs/>
                <w:noProof/>
                <w:lang w:eastAsia="pl-PL"/>
              </w:rPr>
              <w:t xml:space="preserve"> 044 Renowacja zwiększająca efektywność energetyczną lub działania w zakresie efektywności energetycznej w odniesieniu do infrastruktury publicznej, projekty demonstracyjne i działania wspierające w kwocie </w:t>
            </w:r>
            <w:r w:rsidR="00396D17">
              <w:rPr>
                <w:rFonts w:eastAsia="Times New Roman" w:cs="Calibri"/>
                <w:bCs/>
                <w:noProof/>
                <w:lang w:eastAsia="pl-PL"/>
              </w:rPr>
              <w:t>5</w:t>
            </w:r>
            <w:r w:rsidR="0008230C">
              <w:rPr>
                <w:rFonts w:eastAsia="Times New Roman" w:cs="Calibri"/>
                <w:bCs/>
                <w:noProof/>
                <w:lang w:eastAsia="pl-PL"/>
              </w:rPr>
              <w:t>0</w:t>
            </w:r>
            <w:r w:rsidR="00396D17">
              <w:rPr>
                <w:rFonts w:eastAsia="Times New Roman" w:cs="Calibri"/>
                <w:bCs/>
                <w:noProof/>
                <w:lang w:eastAsia="pl-PL"/>
              </w:rPr>
              <w:t> 000 000</w:t>
            </w:r>
            <w:r w:rsidRPr="003A6407">
              <w:rPr>
                <w:rFonts w:eastAsia="Times New Roman" w:cs="Calibri"/>
                <w:bCs/>
                <w:noProof/>
                <w:lang w:eastAsia="pl-PL"/>
              </w:rPr>
              <w:t xml:space="preserve">EUR oraz 045 Renowacja zwiększająca efektywność energetyczną lub działania w zakresie efektywności energetycznej w odniesieniu do infrastruktury publicznej, projekty demonstracyjne i działania wspierające zgodne z kryteriami efektywności energetycznej w kwocie </w:t>
            </w:r>
            <w:r w:rsidR="00396D17">
              <w:rPr>
                <w:rFonts w:eastAsia="Times New Roman" w:cs="Calibri"/>
                <w:bCs/>
                <w:noProof/>
                <w:lang w:eastAsia="pl-PL"/>
              </w:rPr>
              <w:t>56 196 682</w:t>
            </w:r>
            <w:r w:rsidRPr="003A6407">
              <w:rPr>
                <w:rFonts w:eastAsia="Times New Roman" w:cs="Calibri"/>
                <w:bCs/>
                <w:noProof/>
                <w:lang w:eastAsia="pl-PL"/>
              </w:rPr>
              <w:t xml:space="preserve">EUR, </w:t>
            </w:r>
            <w:r w:rsidRPr="003A6407">
              <w:rPr>
                <w:rFonts w:eastAsia="Times New Roman" w:cs="Calibri"/>
                <w:lang w:eastAsia="pl-PL"/>
              </w:rPr>
              <w:t xml:space="preserve">o łącznej wartości </w:t>
            </w:r>
            <w:r w:rsidR="0008230C">
              <w:rPr>
                <w:rFonts w:eastAsia="Times New Roman" w:cs="Calibri"/>
                <w:lang w:eastAsia="pl-PL"/>
              </w:rPr>
              <w:t>106 196 682</w:t>
            </w:r>
            <w:r w:rsidR="00396D17">
              <w:rPr>
                <w:rFonts w:eastAsia="Times New Roman" w:cs="Calibri"/>
                <w:lang w:eastAsia="pl-PL"/>
              </w:rPr>
              <w:t xml:space="preserve"> </w:t>
            </w:r>
            <w:r w:rsidRPr="003A6407">
              <w:rPr>
                <w:rFonts w:eastAsia="Times New Roman" w:cs="Calibri"/>
                <w:lang w:eastAsia="pl-PL"/>
              </w:rPr>
              <w:t xml:space="preserve">EUR. Uwzględniając (odejmując) koszty uproszczone na poziomie 7%, wartość alokacji realizującej dany wskaźnik wynosi </w:t>
            </w:r>
            <w:r w:rsidR="0008230C">
              <w:rPr>
                <w:rFonts w:eastAsia="Times New Roman" w:cs="Calibri"/>
                <w:lang w:eastAsia="pl-PL"/>
              </w:rPr>
              <w:t>98 762 914</w:t>
            </w:r>
            <w:r w:rsidR="00396D17">
              <w:rPr>
                <w:rFonts w:eastAsia="Times New Roman" w:cs="Calibri"/>
                <w:lang w:eastAsia="pl-PL"/>
              </w:rPr>
              <w:t xml:space="preserve"> </w:t>
            </w:r>
            <w:r w:rsidRPr="003A6407">
              <w:rPr>
                <w:rFonts w:eastAsia="Times New Roman" w:cs="Calibri"/>
                <w:lang w:eastAsia="pl-PL"/>
              </w:rPr>
              <w:t>EUR.</w:t>
            </w:r>
          </w:p>
          <w:p w14:paraId="527E855D" w14:textId="10AEFFA9"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Historyczny koszt jednostkowy na bazie doświadczeń z perspektywy 2014-2020 wynosi 699,55 PLN</w:t>
            </w:r>
            <w:r w:rsidRPr="003A6407">
              <w:rPr>
                <w:rStyle w:val="Odwoanieprzypisudolnego"/>
                <w:rFonts w:eastAsia="Times New Roman" w:cs="Calibri"/>
                <w:lang w:eastAsia="pl-PL"/>
              </w:rPr>
              <w:footnoteReference w:id="5"/>
            </w:r>
            <w:r w:rsidRPr="003A6407">
              <w:rPr>
                <w:rFonts w:eastAsia="Times New Roman" w:cs="Calibri"/>
                <w:lang w:eastAsia="pl-PL"/>
              </w:rPr>
              <w:t xml:space="preserve">. </w:t>
            </w:r>
            <w:r w:rsidRPr="003A6407">
              <w:t xml:space="preserve">Koszt jednostkowy został skorygowany w oparciu o wartość inflacji na poziomie 15% i wynosi 804,48 PLN. </w:t>
            </w:r>
            <w:r w:rsidRPr="003A6407">
              <w:rPr>
                <w:rFonts w:eastAsia="Times New Roman" w:cs="Calibri"/>
                <w:lang w:eastAsia="pl-PL"/>
              </w:rPr>
              <w:t xml:space="preserve"> Wartość dofinansowania na poziomie 70% wynosi 563,14 PLN; biorąc pod uwagę kurs EUR na poziomie 4,45 koszt jednostkowy wynosi 126,55 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 </w:t>
            </w:r>
          </w:p>
          <w:p w14:paraId="5ACF22CA"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R: [(6*25)+(3*68)]/9 = 39,3%</w:t>
            </w:r>
          </w:p>
          <w:p w14:paraId="57768FB3" w14:textId="77777777" w:rsidR="00F64240" w:rsidRPr="003A6407" w:rsidRDefault="00F64240" w:rsidP="0005785F">
            <w:pPr>
              <w:spacing w:before="60" w:after="60" w:line="240" w:lineRule="auto"/>
              <w:jc w:val="both"/>
              <w:rPr>
                <w:rFonts w:eastAsia="Times New Roman" w:cs="Calibri"/>
                <w:lang w:eastAsia="pl-PL"/>
              </w:rPr>
            </w:pPr>
          </w:p>
          <w:p w14:paraId="7A73AA94"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4263E6D4" w14:textId="5B3FF8FA" w:rsidR="00F64240" w:rsidRPr="003A6407" w:rsidRDefault="00396D17" w:rsidP="0005785F">
            <w:pPr>
              <w:spacing w:before="60" w:after="60" w:line="240" w:lineRule="auto"/>
              <w:jc w:val="both"/>
              <w:rPr>
                <w:rFonts w:eastAsia="Times New Roman" w:cs="Calibri"/>
                <w:lang w:eastAsia="pl-PL"/>
              </w:rPr>
            </w:pPr>
            <w:r>
              <w:rPr>
                <w:rFonts w:eastAsia="Times New Roman" w:cs="Calibri"/>
                <w:lang w:eastAsia="pl-PL"/>
              </w:rPr>
              <w:t xml:space="preserve"> </w:t>
            </w:r>
            <w:r w:rsidR="0008230C" w:rsidRPr="0008230C">
              <w:rPr>
                <w:rFonts w:eastAsia="Times New Roman" w:cs="Calibri"/>
                <w:lang w:eastAsia="pl-PL"/>
              </w:rPr>
              <w:t xml:space="preserve">98 762 914 </w:t>
            </w:r>
            <w:r w:rsidR="00F64240" w:rsidRPr="003A6407">
              <w:rPr>
                <w:rFonts w:eastAsia="Times New Roman" w:cs="Calibri"/>
                <w:lang w:eastAsia="pl-PL"/>
              </w:rPr>
              <w:t xml:space="preserve">/ 126,55 * (1-0,393) = </w:t>
            </w:r>
            <w:r w:rsidR="0008230C">
              <w:rPr>
                <w:rFonts w:eastAsia="Times New Roman" w:cs="Calibri"/>
                <w:lang w:eastAsia="pl-PL"/>
              </w:rPr>
              <w:t>473 719</w:t>
            </w:r>
            <w:r>
              <w:rPr>
                <w:rFonts w:eastAsia="Times New Roman" w:cs="Calibri"/>
                <w:lang w:eastAsia="pl-PL"/>
              </w:rPr>
              <w:t xml:space="preserve"> </w:t>
            </w:r>
            <w:r w:rsidR="00F64240" w:rsidRPr="003A6407">
              <w:rPr>
                <w:rFonts w:eastAsia="Times New Roman" w:cs="Calibri"/>
                <w:lang w:eastAsia="pl-PL"/>
              </w:rPr>
              <w:t>m2</w:t>
            </w:r>
          </w:p>
          <w:p w14:paraId="0D9B1E9F" w14:textId="77777777" w:rsidR="00F64240" w:rsidRPr="003A6407" w:rsidRDefault="00F64240" w:rsidP="0005785F">
            <w:pPr>
              <w:spacing w:before="60" w:after="60" w:line="240" w:lineRule="auto"/>
              <w:jc w:val="both"/>
              <w:rPr>
                <w:rFonts w:eastAsia="Times New Roman" w:cs="Calibri"/>
                <w:lang w:eastAsia="pl-PL"/>
              </w:rPr>
            </w:pPr>
          </w:p>
          <w:p w14:paraId="12F277CE"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7AEADC98"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 xml:space="preserve">ryzyko wzrostu cen </w:t>
            </w:r>
            <w:r w:rsidRPr="003A6407">
              <w:rPr>
                <w:rFonts w:eastAsia="Times New Roman" w:cs="Calibri"/>
                <w:lang w:eastAsia="pl-PL"/>
              </w:rPr>
              <w:t>- ryzyko związane ze wzrostem cen materiałów, sprzętu i usług; ryzyko związane z poziomem inflacji; (istotność: poważna)</w:t>
            </w:r>
          </w:p>
          <w:p w14:paraId="1F1DAD5B"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umiarkowane)</w:t>
            </w:r>
          </w:p>
          <w:p w14:paraId="50903288"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46EF6745"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czynniki które mogą wpłynąć na harmonogram realizacji planów działania dot. spełnienia warunków podstawowych</w:t>
            </w:r>
            <w:r w:rsidRPr="003A6407">
              <w:rPr>
                <w:rFonts w:eastAsia="Times New Roman" w:cs="Calibri"/>
                <w:lang w:eastAsia="pl-PL"/>
              </w:rPr>
              <w:t xml:space="preserve"> a które są poza kompetencjami IZ oraz instytucji odpowiedzialnych za spełnienie tych warunków; (istotność: poważna)</w:t>
            </w:r>
          </w:p>
          <w:p w14:paraId="6959901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umiarkowana)</w:t>
            </w:r>
          </w:p>
          <w:p w14:paraId="2BF8B963"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procedurami wynikającymi z zamówień publicznych, braku wykonawców, sezonowością prac itp.; (istotność: poważna)</w:t>
            </w:r>
          </w:p>
          <w:p w14:paraId="7FECE34D"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umiarkowana)</w:t>
            </w:r>
          </w:p>
          <w:p w14:paraId="3DD90718" w14:textId="77777777" w:rsidR="00F64240" w:rsidRPr="003A6407" w:rsidRDefault="00F64240" w:rsidP="0005785F">
            <w:pPr>
              <w:spacing w:before="60" w:after="60" w:line="240" w:lineRule="auto"/>
              <w:rPr>
                <w:rFonts w:eastAsia="Times New Roman" w:cs="Calibri"/>
                <w:bCs/>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możliwość terminowego pozyskiwania zgód i pozwoleń administracyjnych</w:t>
            </w:r>
            <w:r w:rsidRPr="003A6407" w:rsidDel="002E4947">
              <w:rPr>
                <w:rFonts w:eastAsia="Times New Roman" w:cs="Calibri"/>
                <w:bCs/>
                <w:lang w:eastAsia="pl-PL"/>
              </w:rPr>
              <w:t xml:space="preserve"> </w:t>
            </w:r>
            <w:r w:rsidRPr="003A6407">
              <w:rPr>
                <w:rFonts w:eastAsia="Times New Roman" w:cs="Calibri"/>
                <w:bCs/>
                <w:lang w:eastAsia="pl-PL"/>
              </w:rPr>
              <w:t xml:space="preserve">(istotność: umiarkowana </w:t>
            </w:r>
          </w:p>
          <w:p w14:paraId="7ECDF1B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b/>
                <w:lang w:eastAsia="pl-PL"/>
              </w:rPr>
              <w:lastRenderedPageBreak/>
              <w:t>•</w:t>
            </w:r>
            <w:r w:rsidRPr="003A6407">
              <w:rPr>
                <w:rFonts w:eastAsia="Times New Roman" w:cs="Calibri"/>
                <w:b/>
                <w:bCs/>
                <w:lang w:eastAsia="pl-PL"/>
              </w:rPr>
              <w:t xml:space="preserve">nakładanie się wsparcia z innych instrumentów </w:t>
            </w:r>
            <w:r w:rsidRPr="003A6407">
              <w:rPr>
                <w:rFonts w:eastAsia="Times New Roman" w:cs="Calibri"/>
                <w:lang w:eastAsia="pl-PL"/>
              </w:rPr>
              <w:t>np. programów krajowych lub finansowanych ze środków krajowych (istotność: umiarkowana)</w:t>
            </w:r>
          </w:p>
          <w:p w14:paraId="3F0218FE" w14:textId="77777777" w:rsidR="008526A2" w:rsidRPr="003A6407" w:rsidRDefault="008526A2" w:rsidP="0005785F">
            <w:pPr>
              <w:spacing w:before="60" w:after="60" w:line="240" w:lineRule="auto"/>
              <w:jc w:val="both"/>
              <w:rPr>
                <w:rFonts w:eastAsia="Times New Roman" w:cs="Calibri"/>
                <w:b/>
                <w:lang w:eastAsia="pl-PL"/>
              </w:rPr>
            </w:pPr>
          </w:p>
          <w:p w14:paraId="0FDA2B46" w14:textId="77777777" w:rsidR="008526A2" w:rsidRPr="003A6407" w:rsidRDefault="008526A2" w:rsidP="0005785F">
            <w:pPr>
              <w:spacing w:before="60" w:after="60" w:line="240" w:lineRule="auto"/>
              <w:jc w:val="both"/>
              <w:rPr>
                <w:rFonts w:eastAsia="Times New Roman" w:cs="Calibri"/>
                <w:b/>
                <w:lang w:eastAsia="pl-PL"/>
              </w:rPr>
            </w:pPr>
            <w:r w:rsidRPr="003A6407">
              <w:rPr>
                <w:rFonts w:eastAsia="Times New Roman" w:cs="Calibri"/>
                <w:b/>
                <w:lang w:eastAsia="pl-PL"/>
              </w:rPr>
              <w:t>Uzasadnienie dla celu pośredniego:</w:t>
            </w:r>
          </w:p>
          <w:p w14:paraId="49F202F4" w14:textId="37F06BA9"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4c Efektywność energetyczna w budynkach użyteczności publicznej i sektorze mieszkaniowym), na podstawie Sprawozdania rocznego z 2021 r. - wskaźnik pn.</w:t>
            </w:r>
            <w:r w:rsidR="00165530">
              <w:t xml:space="preserve"> </w:t>
            </w:r>
            <w:r w:rsidR="00165530" w:rsidRPr="00165530">
              <w:rPr>
                <w:rFonts w:eastAsia="Times New Roman" w:cs="Calibri"/>
                <w:b/>
                <w:lang w:eastAsia="pl-PL"/>
              </w:rPr>
              <w:t>Powierzchnia użytkowa budynków poddanych termomodernizacji w 2017 r. osiągnął wartość 14 157 m2, co wobec wartości z wykonania na 2021 r. (1 125 737 m2) stanowi zaledwie 1,26%.</w:t>
            </w:r>
            <w:r w:rsidRPr="003A6407">
              <w:rPr>
                <w:rFonts w:eastAsia="Times New Roman" w:cs="Calibri"/>
                <w:b/>
                <w:lang w:eastAsia="pl-PL"/>
              </w:rPr>
              <w:t xml:space="preserve"> Mając na uwadze, że 2017 r. był już czwartym rokiem wdrażania programu RPO WD 2014-2020, a rok 2024 będzie de facto dopiero drugim rokiem wdrażania FEDS, wartość pośrednią dla tego wskaźnika ustalono jako 0.</w:t>
            </w:r>
          </w:p>
        </w:tc>
      </w:tr>
    </w:tbl>
    <w:p w14:paraId="0985FD48" w14:textId="77777777" w:rsidR="00F64240" w:rsidRPr="003A6407" w:rsidRDefault="00F64240" w:rsidP="0005785F">
      <w:pPr>
        <w:spacing w:after="160" w:line="256" w:lineRule="auto"/>
        <w:rPr>
          <w:rFonts w:eastAsia="Times New Roman" w:cs="Calibri"/>
          <w:lang w:eastAsia="pl-PL"/>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28B84ABF" w14:textId="77777777" w:rsidTr="001D52F2">
        <w:trPr>
          <w:cantSplit/>
          <w:trHeight w:val="1647"/>
        </w:trPr>
        <w:tc>
          <w:tcPr>
            <w:tcW w:w="451" w:type="pct"/>
            <w:vAlign w:val="center"/>
          </w:tcPr>
          <w:p w14:paraId="745275F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1A856C0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szczegółowy</w:t>
            </w:r>
          </w:p>
        </w:tc>
        <w:tc>
          <w:tcPr>
            <w:tcW w:w="494" w:type="pct"/>
            <w:vAlign w:val="center"/>
          </w:tcPr>
          <w:p w14:paraId="0B8D87BC"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558" w:type="pct"/>
            <w:vAlign w:val="center"/>
          </w:tcPr>
          <w:p w14:paraId="4F9CE63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0" w:type="pct"/>
            <w:textDirection w:val="btLr"/>
            <w:vAlign w:val="center"/>
          </w:tcPr>
          <w:p w14:paraId="5138277D"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1411" w:type="pct"/>
            <w:shd w:val="clear" w:color="auto" w:fill="auto"/>
            <w:vAlign w:val="center"/>
          </w:tcPr>
          <w:p w14:paraId="724FD500" w14:textId="57DB3FD5"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549" w:type="pct"/>
            <w:vAlign w:val="center"/>
          </w:tcPr>
          <w:p w14:paraId="7BAB6518"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Jednostka miary</w:t>
            </w:r>
          </w:p>
        </w:tc>
        <w:tc>
          <w:tcPr>
            <w:tcW w:w="627" w:type="pct"/>
            <w:shd w:val="clear" w:color="auto" w:fill="auto"/>
            <w:vAlign w:val="center"/>
          </w:tcPr>
          <w:p w14:paraId="795252E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pośredni (2024)</w:t>
            </w:r>
          </w:p>
          <w:p w14:paraId="6643A4F6" w14:textId="77777777" w:rsidR="00F64240" w:rsidRPr="003A6407" w:rsidRDefault="00F64240" w:rsidP="001D52F2">
            <w:pPr>
              <w:spacing w:before="120" w:after="120" w:line="240" w:lineRule="auto"/>
              <w:jc w:val="center"/>
              <w:rPr>
                <w:rFonts w:eastAsia="Calibri" w:cs="Calibri"/>
                <w:b/>
                <w:noProof/>
                <w:sz w:val="16"/>
                <w:szCs w:val="16"/>
              </w:rPr>
            </w:pPr>
          </w:p>
        </w:tc>
        <w:tc>
          <w:tcPr>
            <w:tcW w:w="550" w:type="pct"/>
            <w:shd w:val="clear" w:color="auto" w:fill="auto"/>
            <w:vAlign w:val="center"/>
          </w:tcPr>
          <w:p w14:paraId="4C1C55FF"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761BEF4D" w14:textId="77777777" w:rsidR="00F64240" w:rsidRPr="003A6407" w:rsidRDefault="00F64240" w:rsidP="001D52F2">
            <w:pPr>
              <w:spacing w:before="120" w:after="120" w:line="240" w:lineRule="auto"/>
              <w:jc w:val="center"/>
              <w:rPr>
                <w:rFonts w:eastAsia="Calibri" w:cs="Calibri"/>
                <w:b/>
                <w:noProof/>
                <w:sz w:val="16"/>
                <w:szCs w:val="16"/>
              </w:rPr>
            </w:pPr>
          </w:p>
        </w:tc>
      </w:tr>
      <w:tr w:rsidR="00191FE2" w:rsidRPr="003A6407" w14:paraId="124BF480" w14:textId="77777777" w:rsidTr="001D52F2">
        <w:trPr>
          <w:trHeight w:val="340"/>
        </w:trPr>
        <w:tc>
          <w:tcPr>
            <w:tcW w:w="451" w:type="pct"/>
            <w:vAlign w:val="center"/>
          </w:tcPr>
          <w:p w14:paraId="07CC0150"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411838E9" w14:textId="606CCD40"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494" w:type="pct"/>
            <w:vAlign w:val="center"/>
          </w:tcPr>
          <w:p w14:paraId="594C0CF9"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EFRR</w:t>
            </w:r>
          </w:p>
        </w:tc>
        <w:tc>
          <w:tcPr>
            <w:tcW w:w="558" w:type="pct"/>
            <w:vAlign w:val="center"/>
          </w:tcPr>
          <w:p w14:paraId="559A8D7D"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0" w:type="pct"/>
            <w:vAlign w:val="center"/>
          </w:tcPr>
          <w:p w14:paraId="2532D6DE"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RCO 57</w:t>
            </w:r>
          </w:p>
        </w:tc>
        <w:tc>
          <w:tcPr>
            <w:tcW w:w="1411" w:type="pct"/>
            <w:shd w:val="clear" w:color="auto" w:fill="auto"/>
            <w:vAlign w:val="center"/>
          </w:tcPr>
          <w:p w14:paraId="2A69D00D" w14:textId="77777777" w:rsidR="00F64240" w:rsidRPr="003A6407" w:rsidRDefault="00F64240" w:rsidP="001D52F2">
            <w:pPr>
              <w:keepNext/>
              <w:keepLines/>
              <w:spacing w:before="200" w:after="0"/>
              <w:jc w:val="center"/>
              <w:outlineLvl w:val="2"/>
              <w:rPr>
                <w:rFonts w:eastAsia="Times New Roman" w:cs="Times New Roman"/>
                <w:b/>
                <w:bCs/>
                <w:noProof/>
                <w:sz w:val="16"/>
                <w:szCs w:val="16"/>
              </w:rPr>
            </w:pPr>
            <w:bookmarkStart w:id="451" w:name="_Toc98189046"/>
            <w:bookmarkStart w:id="452" w:name="_Toc120464544"/>
            <w:r w:rsidRPr="003A6407">
              <w:rPr>
                <w:rFonts w:asciiTheme="minorHAnsi" w:eastAsia="Times New Roman" w:hAnsiTheme="minorHAnsi" w:cstheme="minorHAnsi"/>
                <w:bCs/>
                <w:noProof/>
                <w:sz w:val="16"/>
                <w:szCs w:val="16"/>
              </w:rPr>
              <w:t>Pojemność ekologicznego taboru do zbiorowego transportu publicznego</w:t>
            </w:r>
            <w:bookmarkEnd w:id="451"/>
            <w:bookmarkEnd w:id="452"/>
          </w:p>
        </w:tc>
        <w:tc>
          <w:tcPr>
            <w:tcW w:w="549" w:type="pct"/>
            <w:vAlign w:val="center"/>
          </w:tcPr>
          <w:p w14:paraId="385F4E8D" w14:textId="1D5F056B" w:rsidR="00F64240" w:rsidRPr="003A6407" w:rsidRDefault="00C37117" w:rsidP="001D52F2">
            <w:pPr>
              <w:spacing w:before="120" w:after="120" w:line="240" w:lineRule="auto"/>
              <w:jc w:val="center"/>
              <w:rPr>
                <w:rFonts w:eastAsia="Calibri" w:cs="Calibri"/>
                <w:noProof/>
                <w:sz w:val="16"/>
                <w:szCs w:val="16"/>
              </w:rPr>
            </w:pPr>
            <w:r>
              <w:rPr>
                <w:rFonts w:eastAsia="Calibri" w:cs="Calibri"/>
                <w:noProof/>
                <w:sz w:val="16"/>
                <w:szCs w:val="16"/>
              </w:rPr>
              <w:t>pasażerowie</w:t>
            </w:r>
          </w:p>
        </w:tc>
        <w:tc>
          <w:tcPr>
            <w:tcW w:w="627" w:type="pct"/>
            <w:shd w:val="clear" w:color="auto" w:fill="auto"/>
            <w:vAlign w:val="center"/>
          </w:tcPr>
          <w:p w14:paraId="3B554A2B" w14:textId="30041101"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0,00</w:t>
            </w:r>
          </w:p>
        </w:tc>
        <w:tc>
          <w:tcPr>
            <w:tcW w:w="550" w:type="pct"/>
            <w:shd w:val="clear" w:color="auto" w:fill="auto"/>
            <w:vAlign w:val="center"/>
          </w:tcPr>
          <w:p w14:paraId="520B3062" w14:textId="0744C360"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2 765</w:t>
            </w:r>
          </w:p>
        </w:tc>
      </w:tr>
      <w:tr w:rsidR="00F64240" w:rsidRPr="003A6407" w14:paraId="191F5920" w14:textId="77777777" w:rsidTr="002B58A1">
        <w:trPr>
          <w:trHeight w:val="340"/>
        </w:trPr>
        <w:tc>
          <w:tcPr>
            <w:tcW w:w="5000" w:type="pct"/>
            <w:gridSpan w:val="8"/>
          </w:tcPr>
          <w:p w14:paraId="06EF7E43"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2CCB86D0"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Wskaźnik realizuje kod interwencji: 082 Tabor czystego transportu miejskiego o wartości 15 000 000 EUR. Uwzględniając (odejmując) koszty uproszczone na poziomie 7%, wartość alokacji realizującej dany wskaźnik wynosi 13 950 000 EUR.</w:t>
            </w:r>
          </w:p>
          <w:p w14:paraId="16FFB56D" w14:textId="3E13403D"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Historyczny kwalifikowalny koszt jednostkowy na bazie doświadczeń z perspektywy 2014-2020 wynosi 15 784,07</w:t>
            </w:r>
            <w:r w:rsidRPr="003A6407" w:rsidDel="00276341">
              <w:rPr>
                <w:rFonts w:eastAsia="Times New Roman" w:cs="Calibri"/>
                <w:lang w:eastAsia="pl-PL"/>
              </w:rPr>
              <w:t xml:space="preserve"> </w:t>
            </w:r>
            <w:r w:rsidRPr="003A6407">
              <w:rPr>
                <w:rFonts w:eastAsia="Times New Roman" w:cs="Calibri"/>
                <w:lang w:eastAsia="pl-PL"/>
              </w:rPr>
              <w:t>PLN</w:t>
            </w:r>
            <w:r w:rsidRPr="003A6407">
              <w:rPr>
                <w:rStyle w:val="Odwoanieprzypisudolnego"/>
                <w:rFonts w:eastAsia="Times New Roman" w:cs="Calibri"/>
                <w:lang w:eastAsia="pl-PL"/>
              </w:rPr>
              <w:footnoteReference w:id="6"/>
            </w:r>
            <w:r w:rsidRPr="003A6407">
              <w:rPr>
                <w:rFonts w:eastAsia="Times New Roman" w:cs="Calibri"/>
                <w:lang w:eastAsia="pl-PL"/>
              </w:rPr>
              <w:t xml:space="preserve">. </w:t>
            </w:r>
            <w:r w:rsidRPr="003A6407">
              <w:t xml:space="preserve">Koszt jednostkowy został skorygowany w oparciu o wartość inflacji na poziomie 15% i wynosi 18 151,68 PLN, </w:t>
            </w:r>
            <w:r w:rsidRPr="003A6407">
              <w:rPr>
                <w:rFonts w:eastAsia="Times New Roman" w:cs="Calibri"/>
                <w:lang w:eastAsia="pl-PL"/>
              </w:rPr>
              <w:t xml:space="preserve">a uwzględniając dofinansowanie na poziomie 70% wynosi 12 706,18 PLN; biorąc pod uwagę kurs EUR na poziomie 4,45 koszt jednostkowy wynosi 2 855,32EUR;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 </w:t>
            </w:r>
          </w:p>
          <w:p w14:paraId="6ADFE499" w14:textId="77777777" w:rsidR="00F64240" w:rsidRPr="003A6407" w:rsidRDefault="00F64240" w:rsidP="0005785F">
            <w:pPr>
              <w:spacing w:before="60" w:after="60" w:line="240" w:lineRule="auto"/>
              <w:jc w:val="both"/>
              <w:rPr>
                <w:rFonts w:eastAsia="Times New Roman" w:cs="Calibri"/>
                <w:color w:val="FF0000"/>
                <w:lang w:eastAsia="pl-PL"/>
              </w:rPr>
            </w:pPr>
          </w:p>
          <w:p w14:paraId="2A519ECB" w14:textId="77777777" w:rsidR="00F64240" w:rsidRPr="003A6407" w:rsidRDefault="00F64240" w:rsidP="0005785F">
            <w:pPr>
              <w:spacing w:before="60" w:after="60" w:line="240" w:lineRule="auto"/>
              <w:jc w:val="both"/>
              <w:rPr>
                <w:rFonts w:eastAsia="Times New Roman" w:cs="Calibri"/>
                <w:color w:val="FF0000"/>
                <w:lang w:eastAsia="pl-PL"/>
              </w:rPr>
            </w:pPr>
            <w:r w:rsidRPr="003A6407">
              <w:rPr>
                <w:rFonts w:eastAsia="Times New Roman" w:cs="Calibri"/>
                <w:lang w:eastAsia="pl-PL"/>
              </w:rPr>
              <w:t>R: [(4*25)+(3*68)]/7 = 43,4%</w:t>
            </w:r>
          </w:p>
          <w:p w14:paraId="1845AA17" w14:textId="77777777" w:rsidR="00F64240" w:rsidRPr="003A6407" w:rsidRDefault="00F64240" w:rsidP="0005785F">
            <w:pPr>
              <w:spacing w:before="60" w:after="60" w:line="240" w:lineRule="auto"/>
              <w:jc w:val="both"/>
              <w:rPr>
                <w:rFonts w:eastAsia="Times New Roman" w:cs="Calibri"/>
                <w:lang w:eastAsia="pl-PL"/>
              </w:rPr>
            </w:pPr>
          </w:p>
          <w:p w14:paraId="439AEDC0"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299FBDD6" w14:textId="6A7FC7A2"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13 950 000 / 2 855,32 * (1-0,434) = 2 765 osób</w:t>
            </w:r>
          </w:p>
          <w:p w14:paraId="70428179" w14:textId="77777777" w:rsidR="00F64240" w:rsidRPr="003A6407" w:rsidRDefault="00F64240" w:rsidP="0005785F">
            <w:pPr>
              <w:spacing w:before="60" w:after="60" w:line="240" w:lineRule="auto"/>
              <w:jc w:val="both"/>
              <w:rPr>
                <w:rFonts w:eastAsia="Times New Roman" w:cs="Calibri"/>
                <w:lang w:eastAsia="pl-PL"/>
              </w:rPr>
            </w:pPr>
          </w:p>
          <w:p w14:paraId="426DEAC7"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0DD4BCD2"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 xml:space="preserve">ryzyko wzrostu cen </w:t>
            </w:r>
            <w:r w:rsidRPr="003A6407">
              <w:rPr>
                <w:rFonts w:eastAsia="Times New Roman" w:cs="Calibri"/>
                <w:lang w:eastAsia="pl-PL"/>
              </w:rPr>
              <w:t>- ryzyko związane ze wzrostem kosztów produkcji (m.in. cen gazu, energii, materiałów, surowców), sprzętu i usług; ryzyko związane z poziomem inflacji również obciążenia fiskalne; (istotność: poważna)</w:t>
            </w:r>
          </w:p>
          <w:p w14:paraId="355C86AD"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w:t>
            </w:r>
            <w:r w:rsidRPr="003A6407">
              <w:rPr>
                <w:rFonts w:eastAsia="Times New Roman" w:cs="Calibri"/>
                <w:lang w:eastAsia="pl-PL"/>
              </w:rPr>
              <w:lastRenderedPageBreak/>
              <w:t>z globalną sytuacją społeczno-gospodarczą, która ma znaczący wpływ na kursy walut; (istotność: umiarkowana)</w:t>
            </w:r>
          </w:p>
          <w:p w14:paraId="39A77224"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67D29A0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poważna</w:t>
            </w:r>
          </w:p>
          <w:p w14:paraId="156B0AC8"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procedurami wynikającymi z zamówień publicznych; (istotność: poważna)</w:t>
            </w:r>
          </w:p>
          <w:p w14:paraId="46895C25"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umiarkowana)</w:t>
            </w:r>
          </w:p>
          <w:p w14:paraId="75A07B30" w14:textId="77777777" w:rsidR="00F64240" w:rsidRPr="003A6407" w:rsidRDefault="00F64240" w:rsidP="0005785F">
            <w:pPr>
              <w:spacing w:before="60" w:after="60" w:line="240" w:lineRule="auto"/>
              <w:jc w:val="both"/>
              <w:rPr>
                <w:rFonts w:eastAsia="Times New Roman" w:cs="Calibri"/>
                <w:bCs/>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gospodarkę regionalną, potencjalne możliwości realizacji projektów, na zdolności inwestycyjne i nastroje przedsiębiorstw oraz innych beneficjentów do inwestowania, zdolność administracyjną i kadrową; (istotność: umiarkowana)</w:t>
            </w:r>
          </w:p>
          <w:p w14:paraId="08C225A9" w14:textId="77777777" w:rsidR="008526A2" w:rsidRPr="003A6407" w:rsidRDefault="008526A2" w:rsidP="0005785F">
            <w:pPr>
              <w:spacing w:before="60" w:after="60" w:line="240" w:lineRule="auto"/>
              <w:jc w:val="both"/>
              <w:rPr>
                <w:rFonts w:eastAsia="Times New Roman" w:cs="Calibri"/>
                <w:bCs/>
                <w:lang w:eastAsia="pl-PL"/>
              </w:rPr>
            </w:pPr>
          </w:p>
          <w:p w14:paraId="4683E814" w14:textId="77777777" w:rsidR="008526A2" w:rsidRPr="003A6407" w:rsidRDefault="008526A2" w:rsidP="0005785F">
            <w:pPr>
              <w:spacing w:before="60" w:after="60" w:line="240" w:lineRule="auto"/>
              <w:jc w:val="both"/>
              <w:rPr>
                <w:rFonts w:eastAsia="Times New Roman" w:cs="Calibri"/>
                <w:b/>
                <w:lang w:eastAsia="pl-PL"/>
              </w:rPr>
            </w:pPr>
            <w:r w:rsidRPr="003A6407">
              <w:rPr>
                <w:rFonts w:eastAsia="Times New Roman" w:cs="Calibri"/>
                <w:b/>
                <w:lang w:eastAsia="pl-PL"/>
              </w:rPr>
              <w:t>Uzasadnienie dla celu pośredniego:</w:t>
            </w:r>
          </w:p>
          <w:p w14:paraId="758A719D" w14:textId="77777777"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4e ), na podstawie Sprawozdania rocznego z 2021 r. - wskaźnik pn. </w:t>
            </w:r>
          </w:p>
          <w:p w14:paraId="5B358507" w14:textId="77777777"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 xml:space="preserve">Liczba zakupionych lub zmodernizowanych jednostek taboru pasażerskiego w publicznym transporcie zbiorowym komunikacji miejskiej dopiero w 2017 r. osiągnął wartość 4, co wobec wartości z wykonania na 2021 r. (199) stanowi zaledwie 2,01 %. </w:t>
            </w:r>
          </w:p>
          <w:p w14:paraId="1EA0C7D8" w14:textId="09035800"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Mając na uwadze, że 2017 r. był już czwartym rokiem wdrażania programu RPO WD 2014-2020, a rok 2024 będzie de facto dopiero drugim rokiem wdrażania FEDS, wartość pośrednią dla tego wskaźnika ustalono jako 0.</w:t>
            </w:r>
            <w:r w:rsidR="00EC269B">
              <w:rPr>
                <w:rFonts w:eastAsia="Times New Roman" w:cs="Calibri"/>
                <w:b/>
                <w:lang w:eastAsia="pl-PL"/>
              </w:rPr>
              <w:t xml:space="preserve"> Dodatkowo postępowanie takie potwierdza realizacji projektów zgodnie z SUMP lub dokumentem odpowiednim. Ponieważ interwencja dotyczy tylko subregionu wałbrzyskiego, w którym nie ma jeszcze takich dokumentów a ich stworzenie potrwa, założono cel pośredni na poziomie 0.</w:t>
            </w:r>
          </w:p>
        </w:tc>
      </w:tr>
    </w:tbl>
    <w:p w14:paraId="62AAE82E" w14:textId="77777777" w:rsidR="00F64240" w:rsidRPr="003A6407" w:rsidRDefault="00F64240" w:rsidP="0005785F">
      <w:pPr>
        <w:spacing w:after="160" w:line="256" w:lineRule="auto"/>
        <w:rPr>
          <w:rFonts w:eastAsia="Times New Roman" w:cs="Calibri"/>
          <w:lang w:eastAsia="pl-PL"/>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635"/>
        <w:gridCol w:w="2488"/>
        <w:gridCol w:w="968"/>
        <w:gridCol w:w="1106"/>
        <w:gridCol w:w="970"/>
      </w:tblGrid>
      <w:tr w:rsidR="00191FE2" w:rsidRPr="003A6407" w14:paraId="0E74E00F" w14:textId="77777777" w:rsidTr="001D52F2">
        <w:trPr>
          <w:cantSplit/>
          <w:trHeight w:val="1647"/>
        </w:trPr>
        <w:tc>
          <w:tcPr>
            <w:tcW w:w="451" w:type="pct"/>
            <w:vAlign w:val="center"/>
          </w:tcPr>
          <w:p w14:paraId="519A1875"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1FA921F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szczegółowy</w:t>
            </w:r>
          </w:p>
        </w:tc>
        <w:tc>
          <w:tcPr>
            <w:tcW w:w="494" w:type="pct"/>
            <w:vAlign w:val="center"/>
          </w:tcPr>
          <w:p w14:paraId="3689A673"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558" w:type="pct"/>
            <w:vAlign w:val="center"/>
          </w:tcPr>
          <w:p w14:paraId="59C364D0"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0" w:type="pct"/>
            <w:textDirection w:val="btLr"/>
            <w:vAlign w:val="center"/>
          </w:tcPr>
          <w:p w14:paraId="37FF7400"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1411" w:type="pct"/>
            <w:shd w:val="clear" w:color="auto" w:fill="auto"/>
            <w:vAlign w:val="center"/>
          </w:tcPr>
          <w:p w14:paraId="5E12082D" w14:textId="1A2C87A5"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549" w:type="pct"/>
            <w:vAlign w:val="center"/>
          </w:tcPr>
          <w:p w14:paraId="74D0A0E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Jednostka miary</w:t>
            </w:r>
          </w:p>
        </w:tc>
        <w:tc>
          <w:tcPr>
            <w:tcW w:w="627" w:type="pct"/>
            <w:shd w:val="clear" w:color="auto" w:fill="auto"/>
            <w:vAlign w:val="center"/>
          </w:tcPr>
          <w:p w14:paraId="02BAAA9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pośredni (2024)</w:t>
            </w:r>
          </w:p>
          <w:p w14:paraId="4E2F64DB" w14:textId="77777777" w:rsidR="00F64240" w:rsidRPr="003A6407" w:rsidRDefault="00F64240" w:rsidP="001D52F2">
            <w:pPr>
              <w:spacing w:before="120" w:after="120" w:line="240" w:lineRule="auto"/>
              <w:jc w:val="center"/>
              <w:rPr>
                <w:rFonts w:eastAsia="Calibri" w:cs="Calibri"/>
                <w:b/>
                <w:noProof/>
                <w:sz w:val="16"/>
                <w:szCs w:val="16"/>
              </w:rPr>
            </w:pPr>
          </w:p>
        </w:tc>
        <w:tc>
          <w:tcPr>
            <w:tcW w:w="550" w:type="pct"/>
            <w:shd w:val="clear" w:color="auto" w:fill="auto"/>
            <w:vAlign w:val="center"/>
          </w:tcPr>
          <w:p w14:paraId="0B3D0506"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3EF66B08" w14:textId="77777777" w:rsidR="00F64240" w:rsidRPr="003A6407" w:rsidRDefault="00F64240" w:rsidP="001D52F2">
            <w:pPr>
              <w:spacing w:before="120" w:after="120" w:line="240" w:lineRule="auto"/>
              <w:jc w:val="center"/>
              <w:rPr>
                <w:rFonts w:eastAsia="Calibri" w:cs="Calibri"/>
                <w:b/>
                <w:noProof/>
                <w:sz w:val="16"/>
                <w:szCs w:val="16"/>
              </w:rPr>
            </w:pPr>
          </w:p>
        </w:tc>
      </w:tr>
      <w:tr w:rsidR="00191FE2" w:rsidRPr="003A6407" w14:paraId="46B33EC6" w14:textId="77777777" w:rsidTr="001D52F2">
        <w:trPr>
          <w:trHeight w:val="340"/>
        </w:trPr>
        <w:tc>
          <w:tcPr>
            <w:tcW w:w="451" w:type="pct"/>
            <w:vAlign w:val="center"/>
          </w:tcPr>
          <w:p w14:paraId="14FABDE4"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34C4643C" w14:textId="2ED8915A"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494" w:type="pct"/>
            <w:vAlign w:val="center"/>
          </w:tcPr>
          <w:p w14:paraId="6D4621E5"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558" w:type="pct"/>
            <w:vAlign w:val="center"/>
          </w:tcPr>
          <w:p w14:paraId="368F2EB3"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0" w:type="pct"/>
            <w:vAlign w:val="center"/>
          </w:tcPr>
          <w:p w14:paraId="2DFF6112"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RCO58</w:t>
            </w:r>
          </w:p>
        </w:tc>
        <w:tc>
          <w:tcPr>
            <w:tcW w:w="1411" w:type="pct"/>
            <w:shd w:val="clear" w:color="auto" w:fill="auto"/>
            <w:vAlign w:val="center"/>
          </w:tcPr>
          <w:p w14:paraId="393BB36D" w14:textId="77777777" w:rsidR="00F64240" w:rsidRPr="003A6407" w:rsidRDefault="00F64240" w:rsidP="001D52F2">
            <w:pPr>
              <w:keepNext/>
              <w:keepLines/>
              <w:spacing w:before="200" w:after="0"/>
              <w:jc w:val="center"/>
              <w:outlineLvl w:val="2"/>
              <w:rPr>
                <w:rFonts w:eastAsia="Times New Roman" w:cs="Times New Roman"/>
                <w:b/>
                <w:bCs/>
                <w:noProof/>
                <w:sz w:val="16"/>
                <w:szCs w:val="16"/>
              </w:rPr>
            </w:pPr>
            <w:bookmarkStart w:id="453" w:name="_Toc98189047"/>
            <w:bookmarkStart w:id="454" w:name="_Toc120464545"/>
            <w:r w:rsidRPr="003A6407">
              <w:rPr>
                <w:rFonts w:asciiTheme="minorHAnsi" w:eastAsia="Times New Roman" w:hAnsiTheme="minorHAnsi" w:cstheme="minorHAnsi"/>
                <w:bCs/>
                <w:noProof/>
                <w:sz w:val="16"/>
                <w:szCs w:val="16"/>
              </w:rPr>
              <w:t>Wspierana infrastruktura rowerowa</w:t>
            </w:r>
            <w:bookmarkEnd w:id="453"/>
            <w:bookmarkEnd w:id="454"/>
          </w:p>
        </w:tc>
        <w:tc>
          <w:tcPr>
            <w:tcW w:w="549" w:type="pct"/>
            <w:vAlign w:val="center"/>
          </w:tcPr>
          <w:p w14:paraId="425F25CE"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km</w:t>
            </w:r>
          </w:p>
        </w:tc>
        <w:tc>
          <w:tcPr>
            <w:tcW w:w="627" w:type="pct"/>
            <w:shd w:val="clear" w:color="auto" w:fill="auto"/>
            <w:vAlign w:val="center"/>
          </w:tcPr>
          <w:p w14:paraId="573A1512" w14:textId="69F16D18" w:rsidR="00F64240" w:rsidRPr="003A6407" w:rsidRDefault="00B26FAC" w:rsidP="001D52F2">
            <w:pPr>
              <w:spacing w:before="120" w:after="120" w:line="240" w:lineRule="auto"/>
              <w:jc w:val="center"/>
              <w:rPr>
                <w:rFonts w:eastAsia="Calibri" w:cs="Calibri"/>
                <w:noProof/>
                <w:sz w:val="16"/>
                <w:szCs w:val="16"/>
              </w:rPr>
            </w:pPr>
            <w:r>
              <w:rPr>
                <w:rFonts w:eastAsia="Calibri" w:cs="Calibri"/>
                <w:noProof/>
                <w:sz w:val="16"/>
                <w:szCs w:val="16"/>
              </w:rPr>
              <w:t>0</w:t>
            </w:r>
            <w:r w:rsidR="009E03DD" w:rsidRPr="003A6407">
              <w:rPr>
                <w:rFonts w:eastAsia="Calibri" w:cs="Calibri"/>
                <w:noProof/>
                <w:sz w:val="16"/>
                <w:szCs w:val="16"/>
              </w:rPr>
              <w:t>,00</w:t>
            </w:r>
          </w:p>
        </w:tc>
        <w:tc>
          <w:tcPr>
            <w:tcW w:w="550" w:type="pct"/>
            <w:shd w:val="clear" w:color="auto" w:fill="auto"/>
            <w:vAlign w:val="center"/>
          </w:tcPr>
          <w:p w14:paraId="6A472715" w14:textId="1A4AE02C"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35</w:t>
            </w:r>
            <w:r w:rsidR="001D52F2" w:rsidRPr="003A6407">
              <w:rPr>
                <w:rFonts w:eastAsia="Calibri" w:cs="Calibri"/>
                <w:noProof/>
                <w:sz w:val="16"/>
                <w:szCs w:val="16"/>
              </w:rPr>
              <w:t>,00</w:t>
            </w:r>
          </w:p>
        </w:tc>
      </w:tr>
      <w:tr w:rsidR="00F64240" w:rsidRPr="003A6407" w14:paraId="7472AC34" w14:textId="77777777" w:rsidTr="002B58A1">
        <w:trPr>
          <w:trHeight w:val="340"/>
        </w:trPr>
        <w:tc>
          <w:tcPr>
            <w:tcW w:w="5000" w:type="pct"/>
            <w:gridSpan w:val="8"/>
          </w:tcPr>
          <w:p w14:paraId="657C0C37"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62ED9576" w14:textId="27353E75"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Wskaźnik realizuje kody interwencji 083 Infrastruktura rowerowa o wartości 20 000 000 EUR. Uwzględniając (odejmując) koszty uproszczone na poziomie 7%, wartość alokacji realizującej dany wskaźnik wynosi 18 600 000 EUR.</w:t>
            </w:r>
          </w:p>
          <w:p w14:paraId="4F8BB6E5" w14:textId="4BBD0945"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 xml:space="preserve">Historyczny kwalifikowalny koszt jednostkowy został ustalony na podstawie projektu realizowanego w działaniu 3.4 RPO WD 2014-2020 pn. „Rowerem przez Miasto - budowa dróg rowerowych i ciągów pieszo-rowerowych w Świdnicy sposobem na wdrożenie strategii niskoemisyjnej” i wynosi 1 714 071,85 PLN. </w:t>
            </w:r>
            <w:r w:rsidRPr="003A6407">
              <w:t>Koszt jednostkowy został skorygowany w oparciu o wartość inflacji na poziomie 15% i wynosi 1 971 182,63 PLN</w:t>
            </w:r>
            <w:r w:rsidRPr="003A6407">
              <w:rPr>
                <w:rFonts w:eastAsia="Times New Roman" w:cs="Calibri"/>
                <w:lang w:eastAsia="pl-PL"/>
              </w:rPr>
              <w:t xml:space="preserve"> Dane bazują na wyliczeniach metodologicznych dla analogicznego wskaźnika RCO058 w ramach CP 2 pn. „Wspierana infrastruktura rowerowa” i uwzględniając dofinansowanie na poziomie 70% wynosi 1 379 827,84 PLN; biorąc pod uwagę kurs EUR na poziomie 4,45 koszt jednostkowy wynosi 310 073,67 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w:t>
            </w:r>
          </w:p>
          <w:p w14:paraId="3DF43FAA"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 xml:space="preserve"> </w:t>
            </w:r>
          </w:p>
          <w:p w14:paraId="5E3B39BE"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lastRenderedPageBreak/>
              <w:t>R: [(5*25)+(3*68)]/8 = 41,1%</w:t>
            </w:r>
          </w:p>
          <w:p w14:paraId="212317D3" w14:textId="77777777" w:rsidR="00F64240" w:rsidRPr="003A6407" w:rsidRDefault="00F64240" w:rsidP="0005785F">
            <w:pPr>
              <w:spacing w:before="60" w:after="60" w:line="240" w:lineRule="auto"/>
              <w:jc w:val="both"/>
              <w:rPr>
                <w:rFonts w:eastAsia="Times New Roman" w:cs="Calibri"/>
                <w:lang w:eastAsia="pl-PL"/>
              </w:rPr>
            </w:pPr>
          </w:p>
          <w:p w14:paraId="5A55BF69"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269CFD1B" w14:textId="01687D00"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18 600 000 / 310 073,67 * (1-0,411) = 35 km</w:t>
            </w:r>
          </w:p>
          <w:p w14:paraId="6FA6C61A" w14:textId="77777777" w:rsidR="00F64240" w:rsidRPr="003A6407" w:rsidRDefault="00F64240" w:rsidP="0005785F">
            <w:pPr>
              <w:spacing w:before="60" w:after="60" w:line="240" w:lineRule="auto"/>
              <w:jc w:val="both"/>
              <w:rPr>
                <w:rFonts w:eastAsia="Times New Roman" w:cs="Calibri"/>
                <w:lang w:eastAsia="pl-PL"/>
              </w:rPr>
            </w:pPr>
          </w:p>
          <w:p w14:paraId="6C0AD6B8"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76DC33AC"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 xml:space="preserve">ryzyko wzrostu cen </w:t>
            </w:r>
            <w:r w:rsidRPr="003A6407">
              <w:rPr>
                <w:rFonts w:eastAsia="Times New Roman" w:cs="Calibri"/>
                <w:lang w:eastAsia="pl-PL"/>
              </w:rPr>
              <w:t>ryzyko związane ze wzrostem cen materiałów, sprzętu i usług; ryzyko związane z poziomem inflacji; (istotność: poważna)</w:t>
            </w:r>
          </w:p>
          <w:p w14:paraId="78B73DCC"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28CAC61A"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061EAB3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 xml:space="preserve">czynniki które mogą wpłynąć na harmonogram realizacji planów działania dot. spełnienia warunków wstępnych (ex </w:t>
            </w:r>
            <w:proofErr w:type="spellStart"/>
            <w:r w:rsidRPr="003A6407">
              <w:rPr>
                <w:rFonts w:eastAsia="Times New Roman" w:cs="Calibri"/>
                <w:b/>
                <w:bCs/>
                <w:lang w:eastAsia="pl-PL"/>
              </w:rPr>
              <w:t>ante</w:t>
            </w:r>
            <w:proofErr w:type="spellEnd"/>
            <w:r w:rsidRPr="003A6407">
              <w:rPr>
                <w:rFonts w:eastAsia="Times New Roman" w:cs="Calibri"/>
                <w:b/>
                <w:bCs/>
                <w:lang w:eastAsia="pl-PL"/>
              </w:rPr>
              <w:t>),</w:t>
            </w:r>
            <w:r w:rsidRPr="003A6407">
              <w:rPr>
                <w:rFonts w:eastAsia="Times New Roman" w:cs="Calibri"/>
                <w:lang w:eastAsia="pl-PL"/>
              </w:rPr>
              <w:t xml:space="preserve"> a które są poza kompetencjami IZ oraz instytucji odpowiedzialnych za spełnienie tych warunków; (istotność: umiarkowana)</w:t>
            </w:r>
          </w:p>
          <w:p w14:paraId="619A1ED0"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umiarkowana)</w:t>
            </w:r>
          </w:p>
          <w:p w14:paraId="709CEB40"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procedurami wynikającymi z zamówień publicznych; (istotność: poważna)</w:t>
            </w:r>
          </w:p>
          <w:p w14:paraId="4EF9E059"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umiarkowana)</w:t>
            </w:r>
          </w:p>
          <w:p w14:paraId="66CC2FA1" w14:textId="77777777" w:rsidR="00F64240" w:rsidRPr="003A6407" w:rsidRDefault="00F64240" w:rsidP="0005785F">
            <w:pPr>
              <w:spacing w:before="60" w:after="60" w:line="240" w:lineRule="auto"/>
              <w:jc w:val="both"/>
              <w:rPr>
                <w:rFonts w:eastAsia="Times New Roman" w:cs="Calibri"/>
                <w:bCs/>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gospodarkę regionalną, potencjalne możliwości realizacji projektów, na zdolności inwestycyjne i nastroje przedsiębiorstw oraz innych beneficjentów do inwestowania, zdolność administracyjną i kadrową; (istotność: umiarkowana)</w:t>
            </w:r>
          </w:p>
          <w:p w14:paraId="7C31EF77" w14:textId="77777777" w:rsidR="008526A2" w:rsidRPr="003A6407" w:rsidRDefault="008526A2" w:rsidP="0005785F">
            <w:pPr>
              <w:spacing w:before="60" w:after="60" w:line="240" w:lineRule="auto"/>
              <w:jc w:val="both"/>
              <w:rPr>
                <w:rFonts w:eastAsia="Times New Roman" w:cs="Calibri"/>
                <w:bCs/>
                <w:lang w:eastAsia="pl-PL"/>
              </w:rPr>
            </w:pPr>
          </w:p>
          <w:p w14:paraId="0958F8AB" w14:textId="77777777" w:rsidR="008526A2" w:rsidRPr="003A6407" w:rsidRDefault="008526A2" w:rsidP="0005785F">
            <w:pPr>
              <w:spacing w:before="60" w:after="60" w:line="240" w:lineRule="auto"/>
              <w:jc w:val="both"/>
              <w:rPr>
                <w:rFonts w:eastAsia="Times New Roman" w:cs="Calibri"/>
                <w:b/>
                <w:lang w:eastAsia="pl-PL"/>
              </w:rPr>
            </w:pPr>
            <w:r w:rsidRPr="003A6407">
              <w:rPr>
                <w:rFonts w:eastAsia="Times New Roman" w:cs="Calibri"/>
                <w:b/>
                <w:lang w:eastAsia="pl-PL"/>
              </w:rPr>
              <w:t>Uzasadnienie dla celu pośredniego:</w:t>
            </w:r>
          </w:p>
          <w:p w14:paraId="3B1ADCA9" w14:textId="005EE46B"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 xml:space="preserve">Projekty infrastrukturalne finansowane w ramach EFRR/FST cechują się dłuższym okresem realizacji i rozliczenia a biorąc pod uwagę termin zatwierdzenia programu nie jest możliwe wskazanie celu pośredniego innego niż 0 ponieważ faktycznie nie będzie mogło to być spełnione. Przeanalizowano dane historyczne z wdrażania RPO WD 2014-2020 (PI 4e ), na podstawie Sprawozdania rocznego z 2021 r. - wskaźnik pn. Długość wspartej infrastruktury rowerowej dopiero w 2017 r. osiągnął wartość 12,37, co wobec wartości z wykonania na 2021 r. (199) stanowi 8,42 %. </w:t>
            </w:r>
          </w:p>
          <w:p w14:paraId="632097F6" w14:textId="21205256" w:rsidR="008526A2" w:rsidRPr="003A6407" w:rsidRDefault="008526A2" w:rsidP="008526A2">
            <w:pPr>
              <w:spacing w:before="60" w:after="60" w:line="240" w:lineRule="auto"/>
              <w:jc w:val="both"/>
              <w:rPr>
                <w:rFonts w:eastAsia="Times New Roman" w:cs="Calibri"/>
                <w:b/>
                <w:lang w:eastAsia="pl-PL"/>
              </w:rPr>
            </w:pPr>
            <w:r w:rsidRPr="003A6407">
              <w:rPr>
                <w:rFonts w:eastAsia="Times New Roman" w:cs="Calibri"/>
                <w:b/>
                <w:lang w:eastAsia="pl-PL"/>
              </w:rPr>
              <w:t>Mając na uwadze, że 2017 r. był już czwartym rokiem wdrażania programu RPO WD 2014-2020, a rok 2024 będzie de facto dopiero drugim rokiem wdrażania FEDS, wartość pośrednią dla tego wskaźnika ustalono jako 0.</w:t>
            </w:r>
          </w:p>
        </w:tc>
      </w:tr>
    </w:tbl>
    <w:p w14:paraId="6E45400C" w14:textId="154E730D" w:rsidR="00F64240" w:rsidRDefault="00F64240" w:rsidP="0005785F">
      <w:pPr>
        <w:spacing w:after="160" w:line="256" w:lineRule="auto"/>
        <w:rPr>
          <w:rFonts w:eastAsia="Times New Roman" w:cs="Calibri"/>
          <w:lang w:eastAsia="pl-PL"/>
        </w:rPr>
      </w:pPr>
    </w:p>
    <w:p w14:paraId="764A68EF" w14:textId="77777777" w:rsidR="00E870A1" w:rsidRPr="00EE0C5C" w:rsidRDefault="00E870A1" w:rsidP="00E870A1"/>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870A1" w:rsidRPr="003A6407" w14:paraId="642592A5" w14:textId="77777777" w:rsidTr="00D76B65">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FA889BE" w14:textId="54FD32AB"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6</w:t>
            </w:r>
          </w:p>
          <w:p w14:paraId="1FB90DAD"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94E5C8C"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6E413143"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0BBF57" w14:textId="77777777" w:rsidR="00E870A1" w:rsidRPr="003A6407" w:rsidRDefault="00E870A1" w:rsidP="00D76B65">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1BB84AF1"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81FCD55"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714D7D2"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05A877FF"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B1029E9"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262492EF"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p>
        </w:tc>
      </w:tr>
      <w:tr w:rsidR="00E870A1" w:rsidRPr="003A6407" w14:paraId="7CCDDBD8" w14:textId="77777777" w:rsidTr="00D76B65">
        <w:trPr>
          <w:cantSplit/>
          <w:trHeight w:val="164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5E27D75" w14:textId="77777777" w:rsidR="00E870A1" w:rsidRDefault="00E870A1" w:rsidP="00E870A1">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lastRenderedPageBreak/>
              <w:t>6(i)</w:t>
            </w:r>
          </w:p>
          <w:p w14:paraId="1077AA26" w14:textId="3CF3E4BE" w:rsidR="00E870A1" w:rsidRPr="00B44649" w:rsidRDefault="00E870A1" w:rsidP="00E870A1">
            <w:pPr>
              <w:shd w:val="clear" w:color="auto" w:fill="FFFFFF"/>
              <w:spacing w:before="120" w:after="120" w:line="240" w:lineRule="auto"/>
              <w:jc w:val="center"/>
              <w:rPr>
                <w:rFonts w:eastAsia="Calibri" w:cs="Times New Roman"/>
                <w:b/>
                <w:noProof/>
                <w:sz w:val="16"/>
                <w:szCs w:val="16"/>
              </w:rPr>
            </w:pPr>
            <w:r>
              <w:rPr>
                <w:rFonts w:eastAsia="Calibri" w:cs="Times New Roman"/>
                <w:noProof/>
                <w:sz w:val="16"/>
                <w:szCs w:val="16"/>
              </w:rPr>
              <w:t>8.1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9C71DFD" w14:textId="244565E8" w:rsidR="00E870A1" w:rsidRPr="00B44649" w:rsidRDefault="00E870A1" w:rsidP="00E870A1">
            <w:pPr>
              <w:shd w:val="clear" w:color="auto" w:fill="FFFFFF"/>
              <w:spacing w:before="120" w:after="120" w:line="240" w:lineRule="auto"/>
              <w:jc w:val="center"/>
              <w:rPr>
                <w:rFonts w:eastAsia="Calibri" w:cs="Times New Roman"/>
                <w:b/>
                <w:noProof/>
                <w:sz w:val="16"/>
                <w:szCs w:val="16"/>
              </w:rPr>
            </w:pPr>
            <w:r w:rsidRPr="003A6407">
              <w:rPr>
                <w:rFonts w:eastAsia="Calibri" w:cs="Times New Roman"/>
                <w:noProof/>
                <w:sz w:val="16"/>
                <w:szCs w:val="16"/>
              </w:rPr>
              <w:t>F</w:t>
            </w:r>
            <w:r>
              <w:rPr>
                <w:rFonts w:eastAsia="Calibri" w:cs="Times New Roman"/>
                <w:noProof/>
                <w:sz w:val="16"/>
                <w:szCs w:val="16"/>
              </w:rPr>
              <w:t>ST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6D656DD" w14:textId="77777777" w:rsidR="00E870A1" w:rsidRPr="00B44649" w:rsidRDefault="00E870A1" w:rsidP="00E870A1">
            <w:pPr>
              <w:shd w:val="clear" w:color="auto" w:fill="FFFFFF"/>
              <w:spacing w:before="120" w:after="120" w:line="240" w:lineRule="auto"/>
              <w:jc w:val="center"/>
              <w:rPr>
                <w:rFonts w:eastAsia="Calibri" w:cs="Times New Roman"/>
                <w:b/>
                <w:noProof/>
                <w:sz w:val="16"/>
                <w:szCs w:val="16"/>
              </w:rPr>
            </w:pPr>
            <w:r w:rsidRPr="00B44649">
              <w:rPr>
                <w:rFonts w:eastAsia="Calibri" w:cs="Times New Roman"/>
                <w:b/>
                <w:noProof/>
                <w:sz w:val="16"/>
                <w:szCs w:val="16"/>
              </w:rPr>
              <w:t>przejściowy</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CF41F7" w14:textId="77777777" w:rsidR="00E870A1" w:rsidRPr="00B44649" w:rsidRDefault="00E870A1" w:rsidP="00E870A1">
            <w:pPr>
              <w:shd w:val="clear" w:color="auto" w:fill="FFFFFF"/>
              <w:spacing w:before="120" w:after="120" w:line="240" w:lineRule="auto"/>
              <w:ind w:left="113" w:right="113"/>
              <w:jc w:val="center"/>
              <w:rPr>
                <w:rFonts w:eastAsia="Calibri" w:cs="Times New Roman"/>
                <w:b/>
                <w:noProof/>
                <w:sz w:val="16"/>
                <w:szCs w:val="16"/>
              </w:rPr>
            </w:pPr>
            <w:r>
              <w:rPr>
                <w:rFonts w:eastAsia="Calibri" w:cs="Times New Roman"/>
                <w:b/>
                <w:noProof/>
                <w:sz w:val="16"/>
                <w:szCs w:val="16"/>
              </w:rPr>
              <w:t>DOL3P</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552266DD" w14:textId="77777777" w:rsidR="00E870A1" w:rsidRPr="00B44649" w:rsidRDefault="00E870A1" w:rsidP="00FD3041">
            <w:pPr>
              <w:keepNext/>
              <w:keepLines/>
              <w:spacing w:before="200" w:after="0"/>
              <w:jc w:val="center"/>
              <w:outlineLvl w:val="2"/>
              <w:rPr>
                <w:rFonts w:eastAsia="Calibri" w:cs="Times New Roman"/>
                <w:b/>
                <w:noProof/>
                <w:sz w:val="16"/>
                <w:szCs w:val="16"/>
              </w:rPr>
            </w:pPr>
            <w:bookmarkStart w:id="455" w:name="_Toc120464546"/>
            <w:r w:rsidRPr="00FD3041">
              <w:rPr>
                <w:rFonts w:eastAsia="Times New Roman" w:cs="Calibri"/>
                <w:bCs/>
                <w:noProof/>
                <w:sz w:val="16"/>
                <w:szCs w:val="16"/>
              </w:rPr>
              <w:t>Ludność objęta projektami w ramach strategii zintegrowanego rozwoju terytorialnego</w:t>
            </w:r>
            <w:bookmarkEnd w:id="455"/>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3D106BA" w14:textId="77777777" w:rsidR="00E870A1" w:rsidRPr="00B44649" w:rsidRDefault="00E870A1" w:rsidP="00E870A1">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osoby</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4FBCA44" w14:textId="6A00EB17" w:rsidR="00E870A1" w:rsidRPr="00B44649" w:rsidRDefault="00E870A1" w:rsidP="00E870A1">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0</w:t>
            </w:r>
            <w:r w:rsidRPr="007D1D83">
              <w:rPr>
                <w:rFonts w:eastAsia="Calibri" w:cs="Times New Roman"/>
                <w:b/>
                <w:noProof/>
                <w:sz w:val="16"/>
                <w:szCs w:val="16"/>
              </w:rPr>
              <w:t>,00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A8B4B1F" w14:textId="319FC947" w:rsidR="00E870A1" w:rsidRPr="00B44649" w:rsidRDefault="00E870A1" w:rsidP="00E870A1">
            <w:pPr>
              <w:shd w:val="clear" w:color="auto" w:fill="FFFFFF"/>
              <w:spacing w:before="120" w:after="120" w:line="240" w:lineRule="auto"/>
              <w:jc w:val="center"/>
              <w:rPr>
                <w:rFonts w:eastAsia="Calibri" w:cs="Times New Roman"/>
                <w:b/>
                <w:noProof/>
                <w:sz w:val="16"/>
                <w:szCs w:val="16"/>
              </w:rPr>
            </w:pPr>
            <w:r>
              <w:rPr>
                <w:rFonts w:eastAsia="Calibri" w:cs="Times New Roman"/>
                <w:b/>
                <w:noProof/>
                <w:sz w:val="16"/>
                <w:szCs w:val="16"/>
              </w:rPr>
              <w:t>19 242,00</w:t>
            </w:r>
          </w:p>
        </w:tc>
      </w:tr>
      <w:tr w:rsidR="00E870A1" w:rsidRPr="003A6407" w14:paraId="5EA85311" w14:textId="77777777" w:rsidTr="00D76B65">
        <w:trPr>
          <w:trHeight w:val="340"/>
        </w:trPr>
        <w:tc>
          <w:tcPr>
            <w:tcW w:w="5000" w:type="pct"/>
            <w:gridSpan w:val="8"/>
            <w:shd w:val="clear" w:color="auto" w:fill="auto"/>
          </w:tcPr>
          <w:p w14:paraId="0077E9C7" w14:textId="77777777" w:rsidR="00E870A1" w:rsidRPr="003A6407" w:rsidRDefault="00E870A1" w:rsidP="00D76B65">
            <w:pPr>
              <w:shd w:val="clear" w:color="auto" w:fill="FFFFFF"/>
              <w:spacing w:before="60" w:after="60" w:line="240" w:lineRule="auto"/>
              <w:jc w:val="both"/>
              <w:rPr>
                <w:rFonts w:eastAsia="Calibri"/>
                <w:b/>
                <w:bCs/>
              </w:rPr>
            </w:pPr>
            <w:r w:rsidRPr="003A6407">
              <w:rPr>
                <w:rFonts w:eastAsia="Calibri"/>
                <w:b/>
                <w:bCs/>
              </w:rPr>
              <w:t>Metodologia:</w:t>
            </w:r>
          </w:p>
          <w:p w14:paraId="59AE9536" w14:textId="53C87C80" w:rsidR="00E870A1" w:rsidRPr="00E870A1" w:rsidRDefault="00E870A1" w:rsidP="00E870A1">
            <w:pPr>
              <w:rPr>
                <w:rFonts w:eastAsia="Calibri"/>
              </w:rPr>
            </w:pPr>
            <w:r>
              <w:rPr>
                <w:rFonts w:eastAsia="Calibri"/>
              </w:rPr>
              <w:t>W</w:t>
            </w:r>
            <w:r w:rsidRPr="00E870A1">
              <w:rPr>
                <w:rFonts w:eastAsia="Calibri"/>
              </w:rPr>
              <w:t>skaźnik dotyczy dwóch strategii Zintegrowanych Inwestycji Terytorialnych objętych Funduszem Sprawiedliwej Transformacji, które znajdują się w subregionie wałbrzyskim:</w:t>
            </w:r>
          </w:p>
          <w:p w14:paraId="199F0E6A" w14:textId="77777777" w:rsidR="00E870A1" w:rsidRPr="00E870A1" w:rsidRDefault="00E870A1" w:rsidP="00E870A1">
            <w:pPr>
              <w:rPr>
                <w:rFonts w:eastAsia="Calibri"/>
              </w:rPr>
            </w:pPr>
            <w:r w:rsidRPr="00E870A1">
              <w:rPr>
                <w:rFonts w:eastAsia="Calibri"/>
              </w:rPr>
              <w:t>- ZIT Południowego Obszaru Funkcjonalnego;</w:t>
            </w:r>
          </w:p>
          <w:p w14:paraId="5A535754" w14:textId="77777777" w:rsidR="00E870A1" w:rsidRDefault="00E870A1" w:rsidP="00E870A1">
            <w:pPr>
              <w:rPr>
                <w:rFonts w:eastAsia="Calibri"/>
              </w:rPr>
            </w:pPr>
            <w:r w:rsidRPr="00E870A1">
              <w:rPr>
                <w:rFonts w:eastAsia="Calibri"/>
              </w:rPr>
              <w:t>- ZIT Wałbrzyskiego Obszaru Funkcjonalnego.</w:t>
            </w:r>
          </w:p>
          <w:p w14:paraId="33A1A686" w14:textId="77777777" w:rsidR="00E870A1" w:rsidRDefault="00E870A1" w:rsidP="00E870A1">
            <w:pPr>
              <w:rPr>
                <w:rFonts w:eastAsia="Calibri" w:cs="Times New Roman"/>
                <w:color w:val="000000"/>
              </w:rPr>
            </w:pPr>
            <w:r>
              <w:rPr>
                <w:rFonts w:eastAsia="Calibri" w:cs="Times New Roman"/>
                <w:color w:val="000000"/>
              </w:rPr>
              <w:t>Wartość docelowa wskaźnika oszacowano na poziomie 3% liczby ludności zamieszkującej ww. ZIT.</w:t>
            </w:r>
          </w:p>
          <w:p w14:paraId="454EFC14" w14:textId="77777777" w:rsidR="00E870A1" w:rsidRDefault="00E870A1" w:rsidP="00E870A1">
            <w:pPr>
              <w:rPr>
                <w:rFonts w:eastAsia="Calibri" w:cs="Times New Roman"/>
                <w:color w:val="000000"/>
              </w:rPr>
            </w:pPr>
            <w:r w:rsidRPr="00E870A1">
              <w:rPr>
                <w:rFonts w:eastAsia="Calibri" w:cs="Times New Roman"/>
                <w:color w:val="000000"/>
              </w:rPr>
              <w:t>Ponadto wartość wskaźnika zostanie zrewidowana po zatwierdzeniu poszczególnych strategii ZIT/IIT.</w:t>
            </w:r>
          </w:p>
          <w:p w14:paraId="71470C68" w14:textId="77777777" w:rsidR="00911595" w:rsidRPr="00911595" w:rsidRDefault="00911595" w:rsidP="00911595">
            <w:pPr>
              <w:rPr>
                <w:rFonts w:eastAsia="Calibri" w:cs="Times New Roman"/>
                <w:color w:val="000000"/>
              </w:rPr>
            </w:pPr>
            <w:r w:rsidRPr="00911595">
              <w:rPr>
                <w:rFonts w:eastAsia="Calibri" w:cs="Times New Roman"/>
                <w:color w:val="000000"/>
              </w:rPr>
              <w:t>Metodologia pomiaru wskaźnika</w:t>
            </w:r>
          </w:p>
          <w:p w14:paraId="4DB3D848" w14:textId="77777777" w:rsidR="00911595" w:rsidRPr="00911595" w:rsidRDefault="00911595" w:rsidP="00911595">
            <w:pPr>
              <w:rPr>
                <w:rFonts w:eastAsia="Calibri" w:cs="Times New Roman"/>
                <w:color w:val="000000"/>
              </w:rPr>
            </w:pPr>
            <w:r w:rsidRPr="00911595">
              <w:rPr>
                <w:rFonts w:eastAsia="Calibri" w:cs="Times New Roman"/>
                <w:color w:val="000000"/>
              </w:rPr>
              <w:t>Liczba osób objętych projektami wspieranymi przez fundusze w ramach strategii zintegrowanego rozwoju terytorialnego.</w:t>
            </w:r>
          </w:p>
          <w:p w14:paraId="46524EDD" w14:textId="077D2E95" w:rsidR="00911595" w:rsidRPr="003A6407" w:rsidRDefault="00911595" w:rsidP="00911595">
            <w:pPr>
              <w:rPr>
                <w:rFonts w:eastAsia="Calibri" w:cs="Times New Roman"/>
                <w:color w:val="000000"/>
              </w:rPr>
            </w:pPr>
            <w:r w:rsidRPr="00911595">
              <w:rPr>
                <w:rFonts w:eastAsia="Calibri" w:cs="Times New Roman"/>
                <w:color w:val="000000"/>
              </w:rPr>
              <w:t>Na poziomie celu szczegółowego należy usunąć podwójne liczenie ludności objętej kilkoma projektami realizowanymi w ramach tej samej strategii ZIT/IIT w ramach tego samego celu szczegółowego.</w:t>
            </w:r>
          </w:p>
        </w:tc>
      </w:tr>
    </w:tbl>
    <w:p w14:paraId="7DA07882" w14:textId="77777777" w:rsidR="00E870A1" w:rsidRDefault="00E870A1" w:rsidP="0005785F">
      <w:pPr>
        <w:spacing w:after="160" w:line="256" w:lineRule="auto"/>
        <w:rPr>
          <w:rFonts w:eastAsia="Times New Roman" w:cs="Calibri"/>
          <w:lang w:eastAsia="pl-PL"/>
        </w:rPr>
      </w:pPr>
    </w:p>
    <w:tbl>
      <w:tblPr>
        <w:tblW w:w="48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71"/>
        <w:gridCol w:w="984"/>
        <w:gridCol w:w="746"/>
        <w:gridCol w:w="2377"/>
        <w:gridCol w:w="968"/>
        <w:gridCol w:w="1106"/>
        <w:gridCol w:w="970"/>
      </w:tblGrid>
      <w:tr w:rsidR="00E870A1" w:rsidRPr="003A6407" w14:paraId="69318B77" w14:textId="77777777" w:rsidTr="00D76B65">
        <w:trPr>
          <w:cantSplit/>
          <w:trHeight w:val="1647"/>
        </w:trPr>
        <w:tc>
          <w:tcPr>
            <w:tcW w:w="451" w:type="pct"/>
            <w:shd w:val="clear" w:color="auto" w:fill="auto"/>
            <w:vAlign w:val="center"/>
          </w:tcPr>
          <w:p w14:paraId="3C9ABD62" w14:textId="268DB072"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 xml:space="preserve">CP </w:t>
            </w:r>
            <w:r>
              <w:rPr>
                <w:rFonts w:eastAsia="Calibri" w:cs="Times New Roman"/>
                <w:b/>
                <w:noProof/>
                <w:sz w:val="16"/>
                <w:szCs w:val="16"/>
              </w:rPr>
              <w:t>6</w:t>
            </w:r>
          </w:p>
          <w:p w14:paraId="1760252E"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szczegółowy</w:t>
            </w:r>
          </w:p>
        </w:tc>
        <w:tc>
          <w:tcPr>
            <w:tcW w:w="494" w:type="pct"/>
            <w:shd w:val="clear" w:color="auto" w:fill="auto"/>
            <w:vAlign w:val="center"/>
          </w:tcPr>
          <w:p w14:paraId="5E7F219D"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Fundusz</w:t>
            </w:r>
          </w:p>
        </w:tc>
        <w:tc>
          <w:tcPr>
            <w:tcW w:w="558" w:type="pct"/>
            <w:shd w:val="clear" w:color="auto" w:fill="auto"/>
            <w:vAlign w:val="center"/>
          </w:tcPr>
          <w:p w14:paraId="4E395DF3"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Kategoria regionu</w:t>
            </w:r>
          </w:p>
        </w:tc>
        <w:tc>
          <w:tcPr>
            <w:tcW w:w="423" w:type="pct"/>
            <w:shd w:val="clear" w:color="auto" w:fill="auto"/>
            <w:textDirection w:val="btLr"/>
            <w:vAlign w:val="center"/>
          </w:tcPr>
          <w:p w14:paraId="09D60BEC" w14:textId="77777777" w:rsidR="00E870A1" w:rsidRPr="003A6407" w:rsidRDefault="00E870A1" w:rsidP="00D76B65">
            <w:pPr>
              <w:shd w:val="clear" w:color="auto" w:fill="FFFFFF"/>
              <w:spacing w:before="120" w:after="120" w:line="240" w:lineRule="auto"/>
              <w:ind w:left="113" w:right="113"/>
              <w:jc w:val="center"/>
              <w:rPr>
                <w:rFonts w:eastAsia="Calibri" w:cs="Times New Roman"/>
                <w:b/>
                <w:noProof/>
                <w:sz w:val="16"/>
                <w:szCs w:val="16"/>
              </w:rPr>
            </w:pPr>
            <w:r w:rsidRPr="003A6407">
              <w:rPr>
                <w:rFonts w:eastAsia="Calibri" w:cs="Times New Roman"/>
                <w:b/>
                <w:noProof/>
                <w:sz w:val="16"/>
                <w:szCs w:val="16"/>
              </w:rPr>
              <w:t>Nr identyfikacyjny [5]</w:t>
            </w:r>
          </w:p>
        </w:tc>
        <w:tc>
          <w:tcPr>
            <w:tcW w:w="1348" w:type="pct"/>
            <w:shd w:val="clear" w:color="auto" w:fill="auto"/>
            <w:vAlign w:val="center"/>
          </w:tcPr>
          <w:p w14:paraId="73940BA3"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Wskaźnik [255]</w:t>
            </w:r>
          </w:p>
        </w:tc>
        <w:tc>
          <w:tcPr>
            <w:tcW w:w="549" w:type="pct"/>
            <w:shd w:val="clear" w:color="auto" w:fill="auto"/>
            <w:vAlign w:val="center"/>
          </w:tcPr>
          <w:p w14:paraId="118F612E"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Jednostka miary</w:t>
            </w:r>
          </w:p>
        </w:tc>
        <w:tc>
          <w:tcPr>
            <w:tcW w:w="627" w:type="pct"/>
            <w:shd w:val="clear" w:color="auto" w:fill="auto"/>
            <w:vAlign w:val="center"/>
          </w:tcPr>
          <w:p w14:paraId="448FEA04"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pośredni (2024)</w:t>
            </w:r>
          </w:p>
          <w:p w14:paraId="60118028"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p>
        </w:tc>
        <w:tc>
          <w:tcPr>
            <w:tcW w:w="550" w:type="pct"/>
            <w:shd w:val="clear" w:color="auto" w:fill="auto"/>
            <w:vAlign w:val="center"/>
          </w:tcPr>
          <w:p w14:paraId="1A6E5D2B"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r w:rsidRPr="003A6407">
              <w:rPr>
                <w:rFonts w:eastAsia="Calibri" w:cs="Times New Roman"/>
                <w:b/>
                <w:noProof/>
                <w:sz w:val="16"/>
                <w:szCs w:val="16"/>
              </w:rPr>
              <w:t>Cel (2029)</w:t>
            </w:r>
          </w:p>
          <w:p w14:paraId="16F8FDE9" w14:textId="77777777" w:rsidR="00E870A1" w:rsidRPr="003A6407" w:rsidRDefault="00E870A1" w:rsidP="00D76B65">
            <w:pPr>
              <w:shd w:val="clear" w:color="auto" w:fill="FFFFFF"/>
              <w:spacing w:before="120" w:after="120" w:line="240" w:lineRule="auto"/>
              <w:jc w:val="center"/>
              <w:rPr>
                <w:rFonts w:eastAsia="Calibri" w:cs="Times New Roman"/>
                <w:b/>
                <w:noProof/>
                <w:sz w:val="16"/>
                <w:szCs w:val="16"/>
              </w:rPr>
            </w:pPr>
          </w:p>
        </w:tc>
      </w:tr>
      <w:tr w:rsidR="00E870A1" w:rsidRPr="003A6407" w14:paraId="26CD21B1" w14:textId="77777777" w:rsidTr="00D76B65">
        <w:trPr>
          <w:trHeight w:val="340"/>
        </w:trPr>
        <w:tc>
          <w:tcPr>
            <w:tcW w:w="451" w:type="pct"/>
            <w:shd w:val="clear" w:color="auto" w:fill="auto"/>
            <w:vAlign w:val="center"/>
          </w:tcPr>
          <w:p w14:paraId="2CC03A6F" w14:textId="5A9D11ED" w:rsidR="00E870A1" w:rsidRDefault="00E870A1" w:rsidP="00D76B6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6(i)</w:t>
            </w:r>
          </w:p>
          <w:p w14:paraId="658E84DF" w14:textId="77715E81" w:rsidR="00E870A1" w:rsidRPr="003A6407" w:rsidRDefault="00E870A1" w:rsidP="00D76B6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8.1</w:t>
            </w:r>
          </w:p>
        </w:tc>
        <w:tc>
          <w:tcPr>
            <w:tcW w:w="494" w:type="pct"/>
            <w:shd w:val="clear" w:color="auto" w:fill="auto"/>
            <w:vAlign w:val="center"/>
          </w:tcPr>
          <w:p w14:paraId="278C42F8" w14:textId="11886B07" w:rsidR="00E870A1" w:rsidRPr="003A6407" w:rsidRDefault="00E870A1" w:rsidP="00D76B6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F</w:t>
            </w:r>
            <w:r>
              <w:rPr>
                <w:rFonts w:eastAsia="Calibri" w:cs="Times New Roman"/>
                <w:noProof/>
                <w:sz w:val="16"/>
                <w:szCs w:val="16"/>
              </w:rPr>
              <w:t>ST</w:t>
            </w:r>
          </w:p>
        </w:tc>
        <w:tc>
          <w:tcPr>
            <w:tcW w:w="558" w:type="pct"/>
            <w:shd w:val="clear" w:color="auto" w:fill="auto"/>
            <w:vAlign w:val="center"/>
          </w:tcPr>
          <w:p w14:paraId="4AF1E368" w14:textId="77777777" w:rsidR="00E870A1" w:rsidRPr="003A6407" w:rsidRDefault="00E870A1" w:rsidP="00D76B6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przejściowy</w:t>
            </w:r>
          </w:p>
        </w:tc>
        <w:tc>
          <w:tcPr>
            <w:tcW w:w="423" w:type="pct"/>
            <w:shd w:val="clear" w:color="auto" w:fill="auto"/>
            <w:vAlign w:val="center"/>
          </w:tcPr>
          <w:p w14:paraId="3CADF947" w14:textId="77777777" w:rsidR="00E870A1" w:rsidRPr="003A6407" w:rsidRDefault="00E870A1" w:rsidP="00D76B65">
            <w:pPr>
              <w:shd w:val="clear" w:color="auto" w:fill="FFFFFF"/>
              <w:spacing w:before="120" w:after="120" w:line="240" w:lineRule="auto"/>
              <w:jc w:val="center"/>
              <w:rPr>
                <w:rFonts w:eastAsia="Calibri" w:cs="Times New Roman"/>
                <w:noProof/>
                <w:sz w:val="16"/>
                <w:szCs w:val="16"/>
              </w:rPr>
            </w:pPr>
            <w:r w:rsidRPr="003A6407">
              <w:rPr>
                <w:rFonts w:eastAsia="Calibri" w:cs="Times New Roman"/>
                <w:noProof/>
                <w:sz w:val="16"/>
                <w:szCs w:val="16"/>
              </w:rPr>
              <w:t>RCO75</w:t>
            </w:r>
          </w:p>
        </w:tc>
        <w:tc>
          <w:tcPr>
            <w:tcW w:w="1348" w:type="pct"/>
            <w:shd w:val="clear" w:color="auto" w:fill="auto"/>
            <w:vAlign w:val="center"/>
          </w:tcPr>
          <w:p w14:paraId="7940F33A" w14:textId="77777777" w:rsidR="00E870A1" w:rsidRPr="003A6407" w:rsidRDefault="00E870A1" w:rsidP="00D76B65">
            <w:pPr>
              <w:keepNext/>
              <w:keepLines/>
              <w:spacing w:before="200" w:after="0"/>
              <w:jc w:val="center"/>
              <w:outlineLvl w:val="2"/>
              <w:rPr>
                <w:rFonts w:eastAsia="Calibri" w:cs="Times New Roman"/>
                <w:noProof/>
                <w:sz w:val="16"/>
                <w:szCs w:val="16"/>
              </w:rPr>
            </w:pPr>
            <w:bookmarkStart w:id="456" w:name="_Toc120464547"/>
            <w:r w:rsidRPr="003A6407">
              <w:rPr>
                <w:rFonts w:eastAsia="Times New Roman" w:cs="Calibri"/>
                <w:bCs/>
                <w:noProof/>
                <w:sz w:val="16"/>
                <w:szCs w:val="16"/>
              </w:rPr>
              <w:t>Wspierane strategie zintegrowanego rozwoju terytorialnego</w:t>
            </w:r>
            <w:bookmarkEnd w:id="456"/>
          </w:p>
        </w:tc>
        <w:tc>
          <w:tcPr>
            <w:tcW w:w="549" w:type="pct"/>
            <w:shd w:val="clear" w:color="auto" w:fill="auto"/>
            <w:vAlign w:val="center"/>
          </w:tcPr>
          <w:p w14:paraId="4BC0017D" w14:textId="77777777" w:rsidR="00E870A1" w:rsidRPr="003A6407" w:rsidRDefault="00E870A1" w:rsidP="00D76B6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wkłady na rzecz strategii</w:t>
            </w:r>
          </w:p>
        </w:tc>
        <w:tc>
          <w:tcPr>
            <w:tcW w:w="627" w:type="pct"/>
            <w:shd w:val="clear" w:color="auto" w:fill="auto"/>
            <w:vAlign w:val="center"/>
          </w:tcPr>
          <w:p w14:paraId="2005F759" w14:textId="1357F9D3" w:rsidR="00E870A1" w:rsidRPr="003A6407" w:rsidRDefault="00E870A1" w:rsidP="00D76B6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1</w:t>
            </w:r>
            <w:r w:rsidRPr="003A6407">
              <w:rPr>
                <w:rFonts w:eastAsia="Calibri" w:cs="Times New Roman"/>
                <w:noProof/>
                <w:sz w:val="16"/>
                <w:szCs w:val="16"/>
              </w:rPr>
              <w:t>,00</w:t>
            </w:r>
          </w:p>
        </w:tc>
        <w:tc>
          <w:tcPr>
            <w:tcW w:w="550" w:type="pct"/>
            <w:shd w:val="clear" w:color="auto" w:fill="auto"/>
            <w:vAlign w:val="center"/>
          </w:tcPr>
          <w:p w14:paraId="1FEECA21" w14:textId="1E13C40D" w:rsidR="00E870A1" w:rsidRPr="003A6407" w:rsidRDefault="00E870A1" w:rsidP="00D76B65">
            <w:pPr>
              <w:shd w:val="clear" w:color="auto" w:fill="FFFFFF"/>
              <w:spacing w:before="120" w:after="120" w:line="240" w:lineRule="auto"/>
              <w:jc w:val="center"/>
              <w:rPr>
                <w:rFonts w:eastAsia="Calibri" w:cs="Times New Roman"/>
                <w:noProof/>
                <w:sz w:val="16"/>
                <w:szCs w:val="16"/>
              </w:rPr>
            </w:pPr>
            <w:r>
              <w:rPr>
                <w:rFonts w:eastAsia="Calibri" w:cs="Times New Roman"/>
                <w:noProof/>
                <w:sz w:val="16"/>
                <w:szCs w:val="16"/>
              </w:rPr>
              <w:t>2</w:t>
            </w:r>
            <w:r w:rsidRPr="003A6407">
              <w:rPr>
                <w:rFonts w:eastAsia="Calibri" w:cs="Times New Roman"/>
                <w:noProof/>
                <w:sz w:val="16"/>
                <w:szCs w:val="16"/>
              </w:rPr>
              <w:t>,00</w:t>
            </w:r>
          </w:p>
        </w:tc>
      </w:tr>
      <w:tr w:rsidR="00E870A1" w:rsidRPr="003A6407" w14:paraId="23AA0B82" w14:textId="77777777" w:rsidTr="00D76B65">
        <w:trPr>
          <w:trHeight w:val="340"/>
        </w:trPr>
        <w:tc>
          <w:tcPr>
            <w:tcW w:w="5000" w:type="pct"/>
            <w:gridSpan w:val="8"/>
            <w:shd w:val="clear" w:color="auto" w:fill="auto"/>
          </w:tcPr>
          <w:p w14:paraId="269244A4" w14:textId="77777777" w:rsidR="00E870A1" w:rsidRPr="003A6407" w:rsidRDefault="00E870A1" w:rsidP="00D76B65">
            <w:pPr>
              <w:shd w:val="clear" w:color="auto" w:fill="FFFFFF"/>
              <w:spacing w:before="60" w:after="60" w:line="240" w:lineRule="auto"/>
              <w:jc w:val="both"/>
              <w:rPr>
                <w:rFonts w:eastAsia="Calibri"/>
                <w:b/>
                <w:bCs/>
              </w:rPr>
            </w:pPr>
            <w:r w:rsidRPr="003A6407">
              <w:rPr>
                <w:rFonts w:eastAsia="Calibri"/>
                <w:b/>
                <w:bCs/>
              </w:rPr>
              <w:t>Metodologia:</w:t>
            </w:r>
          </w:p>
          <w:p w14:paraId="6B6038ED" w14:textId="77777777" w:rsidR="00E870A1" w:rsidRDefault="00E870A1" w:rsidP="00D76B65">
            <w:pPr>
              <w:rPr>
                <w:rFonts w:eastAsia="Calibri" w:cs="Times New Roman"/>
                <w:color w:val="000000"/>
              </w:rPr>
            </w:pPr>
            <w:r>
              <w:rPr>
                <w:rFonts w:eastAsia="Calibri" w:cs="Times New Roman"/>
                <w:color w:val="000000"/>
              </w:rPr>
              <w:t>Wartość wskaźnika dotyczy dwóch strategii Zintegrowanych Inwestycji Terytorialnych objętych Funduszem Sprawiedliwej Transformacji, które znajdują się w subregionie wałbrzyskim:</w:t>
            </w:r>
          </w:p>
          <w:p w14:paraId="4549C816" w14:textId="77777777" w:rsidR="00E870A1" w:rsidRDefault="00E870A1" w:rsidP="00D76B65">
            <w:pPr>
              <w:rPr>
                <w:rFonts w:eastAsia="Calibri" w:cs="Times New Roman"/>
                <w:color w:val="000000"/>
              </w:rPr>
            </w:pPr>
            <w:r>
              <w:rPr>
                <w:rFonts w:eastAsia="Calibri" w:cs="Times New Roman"/>
                <w:color w:val="000000"/>
              </w:rPr>
              <w:t>- ZIT Południowego Obszaru Funkcjonalnego;</w:t>
            </w:r>
          </w:p>
          <w:p w14:paraId="5F276D53" w14:textId="77777777" w:rsidR="00E870A1" w:rsidRDefault="00E870A1" w:rsidP="00D76B65">
            <w:pPr>
              <w:rPr>
                <w:rFonts w:eastAsia="Calibri" w:cs="Times New Roman"/>
                <w:color w:val="000000"/>
              </w:rPr>
            </w:pPr>
            <w:r>
              <w:rPr>
                <w:rFonts w:eastAsia="Calibri" w:cs="Times New Roman"/>
                <w:color w:val="000000"/>
              </w:rPr>
              <w:t>- ZIT Wałbrzyskiego Obszaru Funkcjonalnego.</w:t>
            </w:r>
          </w:p>
          <w:p w14:paraId="3D6B35CD" w14:textId="77777777" w:rsidR="00E870A1" w:rsidRDefault="00E870A1" w:rsidP="00D76B65">
            <w:pPr>
              <w:rPr>
                <w:rFonts w:eastAsia="Calibri" w:cs="Times New Roman"/>
                <w:color w:val="000000"/>
              </w:rPr>
            </w:pPr>
            <w:r w:rsidRPr="00E870A1">
              <w:rPr>
                <w:rFonts w:eastAsia="Calibri" w:cs="Times New Roman"/>
                <w:color w:val="000000"/>
              </w:rPr>
              <w:t>Ponadto wartość wskaźnika zostanie zrewidowana po zatwierdzeniu poszczególnych strategii ZIT/IIT.</w:t>
            </w:r>
          </w:p>
          <w:p w14:paraId="7E432935" w14:textId="77777777" w:rsidR="00882F3A" w:rsidRPr="00882F3A" w:rsidRDefault="00882F3A" w:rsidP="00882F3A">
            <w:pPr>
              <w:rPr>
                <w:rFonts w:eastAsia="Calibri" w:cs="Times New Roman"/>
                <w:color w:val="000000"/>
              </w:rPr>
            </w:pPr>
            <w:r w:rsidRPr="00882F3A">
              <w:rPr>
                <w:rFonts w:eastAsia="Calibri" w:cs="Times New Roman"/>
                <w:color w:val="000000"/>
              </w:rPr>
              <w:t>Metodologia pomiaru wskaźnika</w:t>
            </w:r>
          </w:p>
          <w:p w14:paraId="7190DACD" w14:textId="77777777" w:rsidR="00882F3A" w:rsidRPr="00882F3A" w:rsidRDefault="00882F3A" w:rsidP="00882F3A">
            <w:pPr>
              <w:rPr>
                <w:rFonts w:eastAsia="Calibri" w:cs="Times New Roman"/>
                <w:color w:val="000000"/>
              </w:rPr>
            </w:pPr>
            <w:r w:rsidRPr="00882F3A">
              <w:rPr>
                <w:rFonts w:eastAsia="Calibri" w:cs="Times New Roman"/>
                <w:color w:val="000000"/>
              </w:rPr>
              <w:lastRenderedPageBreak/>
              <w:t xml:space="preserve">Liczba wkładów w strategie ZIT/IIT według każdego celu szczegółowego wnoszonych z funduszy zgodnie z art. 28 lit. a) i c) CPR. Wartości wskaźnika uwzględniają zatem, na poziomie celu szczegółowego, oddzielną liczbę wkładów finansowych w strategie ZIT. </w:t>
            </w:r>
          </w:p>
          <w:p w14:paraId="5D26D0C0" w14:textId="77777777" w:rsidR="00882F3A" w:rsidRPr="00882F3A" w:rsidRDefault="00882F3A" w:rsidP="00882F3A">
            <w:pPr>
              <w:rPr>
                <w:rFonts w:eastAsia="Calibri" w:cs="Times New Roman"/>
                <w:color w:val="000000"/>
              </w:rPr>
            </w:pPr>
            <w:r w:rsidRPr="00882F3A">
              <w:rPr>
                <w:rFonts w:eastAsia="Calibri" w:cs="Times New Roman"/>
                <w:color w:val="000000"/>
              </w:rPr>
              <w:t>Na poziomie celu szczegółowego strategię objętą wsparciem w ramach kilku projektów w ramach tego samego celu szczegółowego liczy się tylko raz.</w:t>
            </w:r>
          </w:p>
          <w:p w14:paraId="37FDEE41" w14:textId="35232D58" w:rsidR="00882F3A" w:rsidRPr="003A6407" w:rsidRDefault="00882F3A" w:rsidP="00882F3A">
            <w:pPr>
              <w:rPr>
                <w:rFonts w:eastAsia="Calibri" w:cs="Times New Roman"/>
                <w:color w:val="000000"/>
              </w:rPr>
            </w:pPr>
            <w:r w:rsidRPr="00882F3A">
              <w:rPr>
                <w:rFonts w:eastAsia="Calibri" w:cs="Times New Roman"/>
                <w:color w:val="000000"/>
              </w:rPr>
              <w:t>Wartość wskaźnika do sprawozdawczości wyliczana przez Instytucję Zarządzającą na poziomie celu szczegółowego.</w:t>
            </w:r>
          </w:p>
        </w:tc>
      </w:tr>
    </w:tbl>
    <w:p w14:paraId="6F7F64BD" w14:textId="77777777" w:rsidR="00E870A1" w:rsidRPr="003A6407" w:rsidRDefault="00E870A1" w:rsidP="0005785F">
      <w:pPr>
        <w:spacing w:after="160" w:line="256" w:lineRule="auto"/>
        <w:rPr>
          <w:rFonts w:eastAsia="Times New Roman" w:cs="Calibri"/>
          <w:lang w:eastAsia="pl-PL"/>
        </w:rPr>
      </w:pPr>
    </w:p>
    <w:p w14:paraId="71B7019F" w14:textId="77777777" w:rsidR="00F64240" w:rsidRPr="003A6407" w:rsidRDefault="00F64240" w:rsidP="006E4BFD">
      <w:pPr>
        <w:pStyle w:val="Nagwek2"/>
        <w:spacing w:after="200"/>
        <w:rPr>
          <w:rFonts w:eastAsia="Times New Roman"/>
          <w:lang w:eastAsia="pl-PL"/>
        </w:rPr>
      </w:pPr>
      <w:bookmarkStart w:id="457" w:name="_Toc98189048"/>
      <w:bookmarkStart w:id="458" w:name="_Toc120464548"/>
      <w:r w:rsidRPr="003A6407">
        <w:rPr>
          <w:rFonts w:eastAsia="Times New Roman"/>
          <w:lang w:eastAsia="pl-PL"/>
        </w:rPr>
        <w:t>Wskaźniki rezultatu</w:t>
      </w:r>
      <w:bookmarkEnd w:id="457"/>
      <w:bookmarkEnd w:id="458"/>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65"/>
        <w:gridCol w:w="752"/>
        <w:gridCol w:w="486"/>
        <w:gridCol w:w="1903"/>
        <w:gridCol w:w="741"/>
        <w:gridCol w:w="1071"/>
        <w:gridCol w:w="618"/>
        <w:gridCol w:w="739"/>
        <w:gridCol w:w="737"/>
        <w:gridCol w:w="736"/>
      </w:tblGrid>
      <w:tr w:rsidR="00191FE2" w:rsidRPr="003A6407" w14:paraId="2C5034E0" w14:textId="77777777" w:rsidTr="001D52F2">
        <w:trPr>
          <w:cantSplit/>
          <w:trHeight w:val="1647"/>
        </w:trPr>
        <w:tc>
          <w:tcPr>
            <w:tcW w:w="338" w:type="pct"/>
            <w:vAlign w:val="center"/>
          </w:tcPr>
          <w:p w14:paraId="14C614F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0E1E35D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szczegółowy</w:t>
            </w:r>
          </w:p>
        </w:tc>
        <w:tc>
          <w:tcPr>
            <w:tcW w:w="367" w:type="pct"/>
            <w:vAlign w:val="center"/>
          </w:tcPr>
          <w:p w14:paraId="3804869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415" w:type="pct"/>
            <w:vAlign w:val="center"/>
          </w:tcPr>
          <w:p w14:paraId="20AB667C"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268" w:type="pct"/>
            <w:textDirection w:val="btLr"/>
            <w:vAlign w:val="center"/>
          </w:tcPr>
          <w:p w14:paraId="6A87558C"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1050" w:type="pct"/>
            <w:shd w:val="clear" w:color="auto" w:fill="auto"/>
            <w:vAlign w:val="center"/>
          </w:tcPr>
          <w:p w14:paraId="64E9C608" w14:textId="4586B62D"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409" w:type="pct"/>
            <w:textDirection w:val="btLr"/>
            <w:vAlign w:val="center"/>
          </w:tcPr>
          <w:p w14:paraId="775F0981"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Jednostka miary</w:t>
            </w:r>
          </w:p>
        </w:tc>
        <w:tc>
          <w:tcPr>
            <w:tcW w:w="591" w:type="pct"/>
            <w:textDirection w:val="btLr"/>
            <w:vAlign w:val="center"/>
          </w:tcPr>
          <w:p w14:paraId="13FC8996"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Wartość bazowa lub wartość odniesienia</w:t>
            </w:r>
          </w:p>
        </w:tc>
        <w:tc>
          <w:tcPr>
            <w:tcW w:w="341" w:type="pct"/>
            <w:shd w:val="clear" w:color="auto" w:fill="auto"/>
            <w:textDirection w:val="btLr"/>
            <w:vAlign w:val="center"/>
          </w:tcPr>
          <w:p w14:paraId="5A36EC5F"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Rok referencyjny</w:t>
            </w:r>
          </w:p>
          <w:p w14:paraId="0816F126" w14:textId="77777777" w:rsidR="00F64240" w:rsidRPr="003A6407" w:rsidRDefault="00F64240" w:rsidP="001D52F2">
            <w:pPr>
              <w:spacing w:before="120" w:after="120" w:line="240" w:lineRule="auto"/>
              <w:ind w:left="113" w:right="113"/>
              <w:jc w:val="center"/>
              <w:rPr>
                <w:rFonts w:eastAsia="Calibri" w:cs="Calibri"/>
                <w:b/>
                <w:noProof/>
                <w:sz w:val="16"/>
                <w:szCs w:val="16"/>
              </w:rPr>
            </w:pPr>
          </w:p>
        </w:tc>
        <w:tc>
          <w:tcPr>
            <w:tcW w:w="408" w:type="pct"/>
            <w:shd w:val="clear" w:color="auto" w:fill="auto"/>
            <w:vAlign w:val="center"/>
          </w:tcPr>
          <w:p w14:paraId="732E0336"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473E289A" w14:textId="77777777" w:rsidR="00F64240" w:rsidRPr="003A6407" w:rsidRDefault="00F64240" w:rsidP="001D52F2">
            <w:pPr>
              <w:spacing w:before="120" w:after="120" w:line="240" w:lineRule="auto"/>
              <w:jc w:val="center"/>
              <w:rPr>
                <w:rFonts w:eastAsia="Calibri" w:cs="Calibri"/>
                <w:b/>
                <w:noProof/>
                <w:sz w:val="16"/>
                <w:szCs w:val="16"/>
              </w:rPr>
            </w:pPr>
          </w:p>
        </w:tc>
        <w:tc>
          <w:tcPr>
            <w:tcW w:w="407" w:type="pct"/>
            <w:shd w:val="clear" w:color="auto" w:fill="auto"/>
            <w:vAlign w:val="center"/>
          </w:tcPr>
          <w:p w14:paraId="36A86AB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Times New Roman"/>
                <w:b/>
                <w:noProof/>
                <w:sz w:val="16"/>
                <w:szCs w:val="16"/>
                <w:lang w:eastAsia="pl-PL"/>
              </w:rPr>
              <w:t>Źródło danych [200]</w:t>
            </w:r>
          </w:p>
        </w:tc>
        <w:tc>
          <w:tcPr>
            <w:tcW w:w="406" w:type="pct"/>
            <w:vAlign w:val="center"/>
          </w:tcPr>
          <w:p w14:paraId="761204D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Times New Roman"/>
                <w:b/>
                <w:noProof/>
                <w:sz w:val="16"/>
                <w:szCs w:val="16"/>
                <w:lang w:eastAsia="pl-PL"/>
              </w:rPr>
              <w:t>Uwagi [200]</w:t>
            </w:r>
          </w:p>
        </w:tc>
      </w:tr>
      <w:tr w:rsidR="00191FE2" w:rsidRPr="003A6407" w14:paraId="778DBF40" w14:textId="77777777" w:rsidTr="001D52F2">
        <w:trPr>
          <w:trHeight w:val="340"/>
        </w:trPr>
        <w:tc>
          <w:tcPr>
            <w:tcW w:w="338" w:type="pct"/>
            <w:vAlign w:val="center"/>
          </w:tcPr>
          <w:p w14:paraId="63621054"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1C093298" w14:textId="37610888"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367" w:type="pct"/>
            <w:vAlign w:val="center"/>
          </w:tcPr>
          <w:p w14:paraId="27E6B40E"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415" w:type="pct"/>
            <w:vAlign w:val="center"/>
          </w:tcPr>
          <w:p w14:paraId="589657D3"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268" w:type="pct"/>
            <w:vAlign w:val="center"/>
          </w:tcPr>
          <w:p w14:paraId="1AB41238"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RCR 29</w:t>
            </w:r>
          </w:p>
        </w:tc>
        <w:tc>
          <w:tcPr>
            <w:tcW w:w="1050" w:type="pct"/>
            <w:shd w:val="clear" w:color="auto" w:fill="auto"/>
            <w:vAlign w:val="center"/>
          </w:tcPr>
          <w:p w14:paraId="092BBCA6" w14:textId="77777777" w:rsidR="00F64240" w:rsidRPr="003A6407" w:rsidRDefault="00F64240" w:rsidP="001D52F2">
            <w:pPr>
              <w:keepNext/>
              <w:keepLines/>
              <w:spacing w:before="200" w:after="0"/>
              <w:jc w:val="center"/>
              <w:outlineLvl w:val="2"/>
              <w:rPr>
                <w:rFonts w:eastAsia="Times New Roman" w:cs="Times New Roman"/>
                <w:b/>
                <w:bCs/>
                <w:noProof/>
                <w:sz w:val="16"/>
                <w:szCs w:val="16"/>
              </w:rPr>
            </w:pPr>
            <w:bookmarkStart w:id="459" w:name="_Toc98189049"/>
            <w:bookmarkStart w:id="460" w:name="_Toc120464549"/>
            <w:r w:rsidRPr="003A6407">
              <w:rPr>
                <w:rFonts w:asciiTheme="minorHAnsi" w:eastAsia="Times New Roman" w:hAnsiTheme="minorHAnsi" w:cstheme="minorHAnsi"/>
                <w:bCs/>
                <w:noProof/>
                <w:sz w:val="16"/>
                <w:szCs w:val="16"/>
              </w:rPr>
              <w:t>Szacowana emisja gazów cieplarnianych</w:t>
            </w:r>
            <w:bookmarkEnd w:id="459"/>
            <w:bookmarkEnd w:id="460"/>
          </w:p>
        </w:tc>
        <w:tc>
          <w:tcPr>
            <w:tcW w:w="409" w:type="pct"/>
            <w:vAlign w:val="center"/>
          </w:tcPr>
          <w:p w14:paraId="6DF0D8A9"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Times New Roman"/>
                <w:noProof/>
                <w:sz w:val="16"/>
                <w:szCs w:val="16"/>
              </w:rPr>
              <w:t>Tony równoważnika CO2/rok</w:t>
            </w:r>
          </w:p>
        </w:tc>
        <w:tc>
          <w:tcPr>
            <w:tcW w:w="591" w:type="pct"/>
            <w:vAlign w:val="center"/>
          </w:tcPr>
          <w:p w14:paraId="4BB4B99D" w14:textId="23483A92" w:rsidR="00F64240" w:rsidRPr="003A6407" w:rsidRDefault="007F7AD6" w:rsidP="001D52F2">
            <w:pPr>
              <w:spacing w:before="120" w:after="120" w:line="240" w:lineRule="auto"/>
              <w:jc w:val="center"/>
              <w:rPr>
                <w:rFonts w:eastAsia="Calibri" w:cs="Calibri"/>
                <w:noProof/>
                <w:sz w:val="16"/>
                <w:szCs w:val="16"/>
              </w:rPr>
            </w:pPr>
            <w:r>
              <w:rPr>
                <w:rFonts w:eastAsia="Calibri" w:cs="Calibri"/>
                <w:noProof/>
                <w:sz w:val="16"/>
                <w:szCs w:val="16"/>
              </w:rPr>
              <w:t xml:space="preserve"> </w:t>
            </w:r>
            <w:r w:rsidR="0014693F">
              <w:rPr>
                <w:rFonts w:eastAsia="Calibri" w:cs="Calibri"/>
                <w:noProof/>
                <w:sz w:val="16"/>
                <w:szCs w:val="16"/>
              </w:rPr>
              <w:t>119 360</w:t>
            </w:r>
          </w:p>
        </w:tc>
        <w:tc>
          <w:tcPr>
            <w:tcW w:w="341" w:type="pct"/>
            <w:shd w:val="clear" w:color="auto" w:fill="auto"/>
            <w:vAlign w:val="center"/>
          </w:tcPr>
          <w:p w14:paraId="6F419D5D" w14:textId="46CB9C4F"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2022</w:t>
            </w:r>
          </w:p>
        </w:tc>
        <w:tc>
          <w:tcPr>
            <w:tcW w:w="408" w:type="pct"/>
            <w:shd w:val="clear" w:color="auto" w:fill="auto"/>
            <w:vAlign w:val="center"/>
          </w:tcPr>
          <w:p w14:paraId="7D239F04" w14:textId="2BC49011" w:rsidR="00F64240" w:rsidRDefault="00F64240" w:rsidP="001D52F2">
            <w:pPr>
              <w:spacing w:before="120" w:after="120" w:line="240" w:lineRule="auto"/>
              <w:jc w:val="center"/>
              <w:rPr>
                <w:rFonts w:eastAsia="Calibri" w:cs="Calibri"/>
                <w:noProof/>
                <w:sz w:val="16"/>
                <w:szCs w:val="16"/>
              </w:rPr>
            </w:pPr>
          </w:p>
          <w:p w14:paraId="433EF71D" w14:textId="24FBAC10" w:rsidR="005E2CA4" w:rsidRPr="003A6407" w:rsidRDefault="0014693F" w:rsidP="001D52F2">
            <w:pPr>
              <w:spacing w:before="120" w:after="120" w:line="240" w:lineRule="auto"/>
              <w:jc w:val="center"/>
              <w:rPr>
                <w:rFonts w:eastAsia="Calibri" w:cs="Calibri"/>
                <w:noProof/>
                <w:sz w:val="16"/>
                <w:szCs w:val="16"/>
              </w:rPr>
            </w:pPr>
            <w:r>
              <w:rPr>
                <w:rFonts w:eastAsia="Calibri" w:cs="Calibri"/>
                <w:noProof/>
                <w:sz w:val="16"/>
                <w:szCs w:val="16"/>
              </w:rPr>
              <w:t>83 552</w:t>
            </w:r>
          </w:p>
        </w:tc>
        <w:tc>
          <w:tcPr>
            <w:tcW w:w="407" w:type="pct"/>
            <w:vAlign w:val="center"/>
          </w:tcPr>
          <w:p w14:paraId="619AF6F7" w14:textId="5412D22B"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SL</w:t>
            </w:r>
          </w:p>
        </w:tc>
        <w:tc>
          <w:tcPr>
            <w:tcW w:w="406" w:type="pct"/>
            <w:vAlign w:val="center"/>
          </w:tcPr>
          <w:p w14:paraId="11013CFF" w14:textId="77777777" w:rsidR="00F64240" w:rsidRPr="003A6407" w:rsidRDefault="00F64240" w:rsidP="001D52F2">
            <w:pPr>
              <w:spacing w:before="120" w:after="120" w:line="240" w:lineRule="auto"/>
              <w:jc w:val="center"/>
              <w:rPr>
                <w:rFonts w:eastAsia="Calibri" w:cs="Calibri"/>
                <w:noProof/>
                <w:sz w:val="16"/>
                <w:szCs w:val="16"/>
              </w:rPr>
            </w:pPr>
          </w:p>
        </w:tc>
      </w:tr>
      <w:tr w:rsidR="00F64240" w:rsidRPr="003A6407" w14:paraId="680AFA7C" w14:textId="77777777" w:rsidTr="002B58A1">
        <w:trPr>
          <w:trHeight w:val="340"/>
        </w:trPr>
        <w:tc>
          <w:tcPr>
            <w:tcW w:w="5000" w:type="pct"/>
            <w:gridSpan w:val="11"/>
          </w:tcPr>
          <w:p w14:paraId="13EEF86F"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Metodologia:</w:t>
            </w:r>
          </w:p>
          <w:p w14:paraId="585DF4F1" w14:textId="12946779" w:rsidR="003C1C43" w:rsidRPr="003C1C43" w:rsidRDefault="00665698" w:rsidP="003C1C43">
            <w:pPr>
              <w:spacing w:before="60" w:after="60" w:line="240" w:lineRule="auto"/>
              <w:jc w:val="both"/>
              <w:rPr>
                <w:rFonts w:eastAsia="Times New Roman" w:cs="Calibri"/>
                <w:lang w:eastAsia="pl-PL"/>
              </w:rPr>
            </w:pPr>
            <w:r>
              <w:rPr>
                <w:rFonts w:eastAsia="Times New Roman" w:cs="Calibri"/>
                <w:lang w:eastAsia="pl-PL"/>
              </w:rPr>
              <w:t xml:space="preserve">Metodologię oparto o dane historyczne z umów o dofinansowanie w Działaniu 3.3 RPO WD 2014-2020, dotyczących efektywności energetycznej </w:t>
            </w:r>
            <w:r w:rsidR="00EF4CF5">
              <w:rPr>
                <w:rFonts w:eastAsia="Times New Roman" w:cs="Calibri"/>
                <w:lang w:eastAsia="pl-PL"/>
              </w:rPr>
              <w:t>budynków mieszkalnych i publicznych. Łączna powierzchnia wyniosła 1 84 586 m2, a szacowany wg zawartych umów o dofinansowanie na koniec 2020 roku roczny spadek emisji gazów cieplarnianych 79 986 tCO2. Wykorzystując dane wyliczono, że średnio na 1 m2 szacowany roczny spadek gazów cieplarnianych wynosi 0,073748 tCO2. Szacuje się także, że spadek emisji będzie na poziomie 30%.</w:t>
            </w:r>
          </w:p>
          <w:p w14:paraId="51BD694E" w14:textId="0C09CB30"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 xml:space="preserve">Wskaźnik realizuje kody interwencji: </w:t>
            </w:r>
            <w:r w:rsidR="00DE2C7A">
              <w:rPr>
                <w:rFonts w:eastAsia="Times New Roman" w:cs="Calibri"/>
                <w:lang w:eastAsia="pl-PL"/>
              </w:rPr>
              <w:t xml:space="preserve">040 </w:t>
            </w:r>
            <w:r w:rsidR="00DE2C7A" w:rsidRPr="00DE2C7A">
              <w:rPr>
                <w:rFonts w:eastAsia="Times New Roman" w:cs="Calibri"/>
                <w:lang w:eastAsia="pl-PL"/>
              </w:rPr>
              <w:t xml:space="preserve">Projekty w zakresie efektywności energetycznej i projekty demonstracyjne w MŚP lub w dużych przedsiębiorstwach oraz działania wspierające zgodne z kryteriami efektywności energetycznej </w:t>
            </w:r>
            <w:r w:rsidR="00DE2C7A">
              <w:rPr>
                <w:rFonts w:eastAsia="Times New Roman" w:cs="Calibri"/>
                <w:lang w:eastAsia="pl-PL"/>
              </w:rPr>
              <w:t xml:space="preserve">w kwocie 35 145 364, </w:t>
            </w:r>
            <w:r w:rsidRPr="003A6407">
              <w:rPr>
                <w:rFonts w:eastAsia="Times New Roman" w:cs="Calibri"/>
                <w:bCs/>
                <w:noProof/>
                <w:lang w:eastAsia="pl-PL"/>
              </w:rPr>
              <w:t xml:space="preserve">042 Renowacja istniejących budynków mieszkalnych pod kątem efektywności energetycznej, projekty demonstracyjne i działania wspierające zgodne z kryteriami efektywności energetycznej w kwocie </w:t>
            </w:r>
            <w:r w:rsidR="000462B9">
              <w:rPr>
                <w:rFonts w:eastAsia="Times New Roman" w:cs="Calibri"/>
                <w:bCs/>
                <w:noProof/>
                <w:lang w:eastAsia="pl-PL"/>
              </w:rPr>
              <w:t> 1</w:t>
            </w:r>
            <w:r w:rsidR="00DE2C7A">
              <w:rPr>
                <w:rFonts w:eastAsia="Times New Roman" w:cs="Calibri"/>
                <w:bCs/>
                <w:noProof/>
                <w:lang w:eastAsia="pl-PL"/>
              </w:rPr>
              <w:t>00 000 000</w:t>
            </w:r>
            <w:r w:rsidR="000462B9">
              <w:rPr>
                <w:rFonts w:eastAsia="Times New Roman" w:cs="Calibri"/>
                <w:bCs/>
                <w:noProof/>
                <w:lang w:eastAsia="pl-PL"/>
              </w:rPr>
              <w:t xml:space="preserve"> </w:t>
            </w:r>
            <w:r w:rsidRPr="003A6407">
              <w:rPr>
                <w:rFonts w:eastAsia="Times New Roman" w:cs="Calibri"/>
                <w:bCs/>
                <w:noProof/>
                <w:lang w:eastAsia="pl-PL"/>
              </w:rPr>
              <w:t xml:space="preserve">EUR, 044 Renowacja zwiększająca efektywność energetyczną lub działania w zakresie efektywności energetycznej w odniesieniu do infrastruktury publicznej, projekty demonstracyjne i działania wspierające w kwocie </w:t>
            </w:r>
            <w:r w:rsidR="000462B9">
              <w:rPr>
                <w:rFonts w:eastAsia="Times New Roman" w:cs="Calibri"/>
                <w:bCs/>
                <w:noProof/>
                <w:lang w:eastAsia="pl-PL"/>
              </w:rPr>
              <w:t>5</w:t>
            </w:r>
            <w:r w:rsidR="00DE2C7A">
              <w:rPr>
                <w:rFonts w:eastAsia="Times New Roman" w:cs="Calibri"/>
                <w:bCs/>
                <w:noProof/>
                <w:lang w:eastAsia="pl-PL"/>
              </w:rPr>
              <w:t>0</w:t>
            </w:r>
            <w:r w:rsidR="000462B9">
              <w:rPr>
                <w:rFonts w:eastAsia="Times New Roman" w:cs="Calibri"/>
                <w:bCs/>
                <w:noProof/>
                <w:lang w:eastAsia="pl-PL"/>
              </w:rPr>
              <w:t xml:space="preserve"> 000 000 </w:t>
            </w:r>
            <w:r w:rsidRPr="003A6407">
              <w:rPr>
                <w:rFonts w:eastAsia="Times New Roman" w:cs="Calibri"/>
                <w:bCs/>
                <w:noProof/>
                <w:lang w:eastAsia="pl-PL"/>
              </w:rPr>
              <w:t>EUR oraz 045 Renowacja zwiększająca efektywność energetyczną lub działania w zakresie efektywności energetycznej w odniesieniu do infrastruktury publicznej, projekty demonstracyjne i działania wspierające zgodne z kryteriami efektywności energetycznej w kwocie</w:t>
            </w:r>
            <w:r w:rsidR="000462B9">
              <w:rPr>
                <w:rFonts w:eastAsia="Times New Roman" w:cs="Calibri"/>
                <w:bCs/>
                <w:noProof/>
                <w:lang w:eastAsia="pl-PL"/>
              </w:rPr>
              <w:t xml:space="preserve"> 5</w:t>
            </w:r>
            <w:r w:rsidR="00DE2C7A">
              <w:rPr>
                <w:rFonts w:eastAsia="Times New Roman" w:cs="Calibri"/>
                <w:bCs/>
                <w:noProof/>
                <w:lang w:eastAsia="pl-PL"/>
              </w:rPr>
              <w:t>0 000 000</w:t>
            </w:r>
            <w:r w:rsidR="000462B9">
              <w:rPr>
                <w:rFonts w:eastAsia="Times New Roman" w:cs="Calibri"/>
                <w:bCs/>
                <w:noProof/>
                <w:lang w:eastAsia="pl-PL"/>
              </w:rPr>
              <w:t xml:space="preserve"> EUR</w:t>
            </w:r>
            <w:r w:rsidRPr="003A6407">
              <w:rPr>
                <w:rFonts w:eastAsia="Times New Roman" w:cs="Calibri"/>
                <w:bCs/>
                <w:noProof/>
                <w:lang w:eastAsia="pl-PL"/>
              </w:rPr>
              <w:t xml:space="preserve">, </w:t>
            </w:r>
            <w:r w:rsidRPr="003A6407">
              <w:rPr>
                <w:rFonts w:eastAsia="Times New Roman" w:cs="Calibri"/>
                <w:lang w:eastAsia="pl-PL"/>
              </w:rPr>
              <w:t xml:space="preserve">o łącznej wartości </w:t>
            </w:r>
            <w:r w:rsidR="000462B9">
              <w:rPr>
                <w:rFonts w:eastAsia="Times New Roman" w:cs="Calibri"/>
                <w:lang w:eastAsia="pl-PL"/>
              </w:rPr>
              <w:t xml:space="preserve">235 145 364 </w:t>
            </w:r>
            <w:r w:rsidRPr="003A6407">
              <w:rPr>
                <w:rFonts w:eastAsia="Times New Roman" w:cs="Calibri"/>
                <w:lang w:eastAsia="pl-PL"/>
              </w:rPr>
              <w:t xml:space="preserve">EUR. Uwzględniając (odejmując) koszty uproszczone na poziomie 7%, wartość alokacji realizującej dany wskaźnik wynosi </w:t>
            </w:r>
            <w:r w:rsidR="000462B9">
              <w:rPr>
                <w:rFonts w:eastAsia="Times New Roman" w:cs="Calibri"/>
                <w:lang w:eastAsia="pl-PL"/>
              </w:rPr>
              <w:t xml:space="preserve">218 685 188 </w:t>
            </w:r>
            <w:r w:rsidRPr="003A6407">
              <w:rPr>
                <w:rFonts w:eastAsia="Times New Roman" w:cs="Calibri"/>
                <w:lang w:eastAsia="pl-PL"/>
              </w:rPr>
              <w:t>EUR</w:t>
            </w:r>
            <w:r w:rsidRPr="003A6407">
              <w:rPr>
                <w:rFonts w:eastAsia="Times New Roman" w:cs="Calibri"/>
                <w:bCs/>
                <w:noProof/>
                <w:lang w:eastAsia="pl-PL"/>
              </w:rPr>
              <w:t>.</w:t>
            </w:r>
          </w:p>
          <w:p w14:paraId="5D95F3EB" w14:textId="77777777" w:rsidR="00F64240" w:rsidRPr="003A6407" w:rsidRDefault="00F64240" w:rsidP="00A33267">
            <w:pPr>
              <w:spacing w:before="60" w:after="60" w:line="240" w:lineRule="auto"/>
              <w:jc w:val="both"/>
              <w:rPr>
                <w:rFonts w:eastAsia="Times New Roman" w:cs="Calibri"/>
                <w:lang w:eastAsia="pl-PL"/>
              </w:rPr>
            </w:pPr>
          </w:p>
          <w:p w14:paraId="5CBB7967" w14:textId="3D752048" w:rsidR="00F64240"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Wyliczenie:</w:t>
            </w:r>
          </w:p>
          <w:p w14:paraId="51643C21" w14:textId="29AA3732" w:rsidR="00EF4CF5" w:rsidRDefault="000103E5" w:rsidP="00A33267">
            <w:pPr>
              <w:spacing w:before="60" w:after="60" w:line="240" w:lineRule="auto"/>
              <w:jc w:val="both"/>
              <w:rPr>
                <w:rFonts w:eastAsia="Times New Roman" w:cs="Calibri"/>
                <w:lang w:eastAsia="pl-PL"/>
              </w:rPr>
            </w:pPr>
            <w:r>
              <w:rPr>
                <w:rFonts w:eastAsia="Times New Roman" w:cs="Calibri"/>
                <w:lang w:eastAsia="pl-PL"/>
              </w:rPr>
              <w:t>Wartość docelowa= [(wartość docelowa wskaźnika RCO19 (powierzchnia budynków</w:t>
            </w:r>
            <w:r w:rsidR="0014693F">
              <w:rPr>
                <w:rFonts w:eastAsia="Times New Roman" w:cs="Calibri"/>
                <w:lang w:eastAsia="pl-PL"/>
              </w:rPr>
              <w:t xml:space="preserve"> + DOL1P</w:t>
            </w:r>
            <w:r>
              <w:rPr>
                <w:rFonts w:eastAsia="Times New Roman" w:cs="Calibri"/>
                <w:lang w:eastAsia="pl-PL"/>
              </w:rPr>
              <w:t>))*2]*średnia wartość na m2</w:t>
            </w:r>
          </w:p>
          <w:p w14:paraId="1C077FDB" w14:textId="07E5644A" w:rsidR="000103E5" w:rsidRPr="003A6407" w:rsidRDefault="000103E5" w:rsidP="00A33267">
            <w:pPr>
              <w:spacing w:before="60" w:after="60" w:line="240" w:lineRule="auto"/>
              <w:jc w:val="both"/>
              <w:rPr>
                <w:rFonts w:eastAsia="Times New Roman" w:cs="Calibri"/>
                <w:lang w:eastAsia="pl-PL"/>
              </w:rPr>
            </w:pPr>
            <w:r>
              <w:rPr>
                <w:rFonts w:eastAsia="Times New Roman" w:cs="Calibri"/>
                <w:lang w:eastAsia="pl-PL"/>
              </w:rPr>
              <w:t>Wartość docelowa=(</w:t>
            </w:r>
            <w:r w:rsidR="0014693F">
              <w:rPr>
                <w:rFonts w:eastAsia="Times New Roman" w:cs="Calibri"/>
                <w:lang w:eastAsia="pl-PL"/>
              </w:rPr>
              <w:t>(473 719</w:t>
            </w:r>
            <w:r>
              <w:rPr>
                <w:rFonts w:eastAsia="Times New Roman" w:cs="Calibri"/>
                <w:lang w:eastAsia="pl-PL"/>
              </w:rPr>
              <w:t xml:space="preserve"> m2</w:t>
            </w:r>
            <w:r w:rsidR="0014693F">
              <w:rPr>
                <w:rFonts w:eastAsia="Times New Roman" w:cs="Calibri"/>
                <w:lang w:eastAsia="pl-PL"/>
              </w:rPr>
              <w:t xml:space="preserve"> + 92 542 m2) </w:t>
            </w:r>
            <w:r>
              <w:rPr>
                <w:rFonts w:eastAsia="Times New Roman" w:cs="Calibri"/>
                <w:lang w:eastAsia="pl-PL"/>
              </w:rPr>
              <w:t>*2)</w:t>
            </w:r>
            <w:r w:rsidR="00A13D50">
              <w:rPr>
                <w:rFonts w:eastAsia="Times New Roman" w:cs="Calibri"/>
                <w:lang w:eastAsia="pl-PL"/>
              </w:rPr>
              <w:t xml:space="preserve">*0,0737748 = </w:t>
            </w:r>
            <w:r w:rsidR="0014693F">
              <w:rPr>
                <w:rFonts w:eastAsia="Times New Roman" w:cs="Calibri"/>
                <w:lang w:eastAsia="pl-PL"/>
              </w:rPr>
              <w:t>83 551,58</w:t>
            </w:r>
            <w:r w:rsidR="005E2CA4">
              <w:rPr>
                <w:rFonts w:eastAsia="Times New Roman" w:cs="Calibri"/>
                <w:lang w:eastAsia="pl-PL"/>
              </w:rPr>
              <w:t xml:space="preserve"> tony CO2</w:t>
            </w:r>
          </w:p>
          <w:p w14:paraId="47E690A0" w14:textId="77777777" w:rsidR="00480A6E" w:rsidRDefault="002B41E6" w:rsidP="00A33267">
            <w:pPr>
              <w:spacing w:before="60" w:after="60" w:line="240" w:lineRule="auto"/>
              <w:jc w:val="both"/>
              <w:rPr>
                <w:rFonts w:eastAsia="Times New Roman" w:cs="Calibri"/>
                <w:lang w:eastAsia="pl-PL"/>
              </w:rPr>
            </w:pPr>
            <w:r>
              <w:rPr>
                <w:rFonts w:eastAsia="Times New Roman" w:cs="Calibri"/>
                <w:lang w:eastAsia="pl-PL"/>
              </w:rPr>
              <w:t xml:space="preserve">Ponieważ szacuje się spadek emisji gazów cieplarnianych na poziomie 30%, wartość bazową </w:t>
            </w:r>
            <w:r w:rsidR="00480A6E">
              <w:rPr>
                <w:rFonts w:eastAsia="Times New Roman" w:cs="Calibri"/>
                <w:lang w:eastAsia="pl-PL"/>
              </w:rPr>
              <w:t>obliczono</w:t>
            </w:r>
            <w:r>
              <w:rPr>
                <w:rFonts w:eastAsia="Times New Roman" w:cs="Calibri"/>
                <w:lang w:eastAsia="pl-PL"/>
              </w:rPr>
              <w:t xml:space="preserve"> na podstawie wartośc</w:t>
            </w:r>
            <w:r w:rsidR="00480A6E">
              <w:rPr>
                <w:rFonts w:eastAsia="Times New Roman" w:cs="Calibri"/>
                <w:lang w:eastAsia="pl-PL"/>
              </w:rPr>
              <w:t>i</w:t>
            </w:r>
            <w:r>
              <w:rPr>
                <w:rFonts w:eastAsia="Times New Roman" w:cs="Calibri"/>
                <w:lang w:eastAsia="pl-PL"/>
              </w:rPr>
              <w:t xml:space="preserve"> </w:t>
            </w:r>
            <w:r w:rsidR="00480A6E">
              <w:rPr>
                <w:rFonts w:eastAsia="Times New Roman" w:cs="Calibri"/>
                <w:lang w:eastAsia="pl-PL"/>
              </w:rPr>
              <w:t>do</w:t>
            </w:r>
            <w:r>
              <w:rPr>
                <w:rFonts w:eastAsia="Times New Roman" w:cs="Calibri"/>
                <w:lang w:eastAsia="pl-PL"/>
              </w:rPr>
              <w:t>cel</w:t>
            </w:r>
            <w:r w:rsidR="00480A6E">
              <w:rPr>
                <w:rFonts w:eastAsia="Times New Roman" w:cs="Calibri"/>
                <w:lang w:eastAsia="pl-PL"/>
              </w:rPr>
              <w:t>o</w:t>
            </w:r>
            <w:r>
              <w:rPr>
                <w:rFonts w:eastAsia="Times New Roman" w:cs="Calibri"/>
                <w:lang w:eastAsia="pl-PL"/>
              </w:rPr>
              <w:t>wej</w:t>
            </w:r>
            <w:r w:rsidR="00480A6E">
              <w:rPr>
                <w:rFonts w:eastAsia="Times New Roman" w:cs="Calibri"/>
                <w:lang w:eastAsia="pl-PL"/>
              </w:rPr>
              <w:t xml:space="preserve">: </w:t>
            </w:r>
          </w:p>
          <w:p w14:paraId="7450EE7A" w14:textId="237F8E8C" w:rsidR="00F64240" w:rsidRDefault="00480A6E" w:rsidP="00A33267">
            <w:pPr>
              <w:spacing w:before="60" w:after="60" w:line="240" w:lineRule="auto"/>
              <w:jc w:val="both"/>
              <w:rPr>
                <w:rFonts w:eastAsia="Times New Roman" w:cs="Calibri"/>
                <w:lang w:eastAsia="pl-PL"/>
              </w:rPr>
            </w:pPr>
            <w:r>
              <w:rPr>
                <w:rFonts w:eastAsia="Times New Roman" w:cs="Calibri"/>
                <w:lang w:eastAsia="pl-PL"/>
              </w:rPr>
              <w:t xml:space="preserve">Wartość bazowa = wartość docelowa *(1/07)= </w:t>
            </w:r>
            <w:r w:rsidR="0014693F">
              <w:rPr>
                <w:rFonts w:eastAsia="Times New Roman" w:cs="Calibri"/>
                <w:lang w:eastAsia="pl-PL"/>
              </w:rPr>
              <w:t>83 552</w:t>
            </w:r>
            <w:r>
              <w:rPr>
                <w:rFonts w:eastAsia="Times New Roman" w:cs="Calibri"/>
                <w:lang w:eastAsia="pl-PL"/>
              </w:rPr>
              <w:t xml:space="preserve"> tCO2 *(1/0,7) = </w:t>
            </w:r>
            <w:r w:rsidR="0014693F">
              <w:rPr>
                <w:rFonts w:eastAsia="Times New Roman" w:cs="Calibri"/>
                <w:lang w:eastAsia="pl-PL"/>
              </w:rPr>
              <w:t>119 3</w:t>
            </w:r>
            <w:r>
              <w:rPr>
                <w:rFonts w:eastAsia="Times New Roman" w:cs="Calibri"/>
                <w:lang w:eastAsia="pl-PL"/>
              </w:rPr>
              <w:t>6</w:t>
            </w:r>
            <w:r w:rsidR="0014693F">
              <w:rPr>
                <w:rFonts w:eastAsia="Times New Roman" w:cs="Calibri"/>
                <w:lang w:eastAsia="pl-PL"/>
              </w:rPr>
              <w:t>0</w:t>
            </w:r>
            <w:r>
              <w:rPr>
                <w:rFonts w:eastAsia="Times New Roman" w:cs="Calibri"/>
                <w:lang w:eastAsia="pl-PL"/>
              </w:rPr>
              <w:t xml:space="preserve"> tCO2</w:t>
            </w:r>
          </w:p>
          <w:p w14:paraId="1C407814" w14:textId="77777777" w:rsidR="003C1C43" w:rsidRPr="003A6407" w:rsidRDefault="003C1C43" w:rsidP="00A33267">
            <w:pPr>
              <w:spacing w:before="60" w:after="60" w:line="240" w:lineRule="auto"/>
              <w:jc w:val="both"/>
              <w:rPr>
                <w:rFonts w:eastAsia="Times New Roman" w:cs="Calibri"/>
                <w:lang w:eastAsia="pl-PL"/>
              </w:rPr>
            </w:pPr>
          </w:p>
          <w:p w14:paraId="5FD9BD3F"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lastRenderedPageBreak/>
              <w:t>Należy zwrócić szczególną uwagę na następujące czynniki ryzyka, które może mogą mieć wpływ na poziom osiągnięcia założonej wartości docelowej:</w:t>
            </w:r>
          </w:p>
          <w:p w14:paraId="3F3E0EB3"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 xml:space="preserve">ryzyko wzrostu cen </w:t>
            </w:r>
            <w:r w:rsidRPr="003A6407">
              <w:rPr>
                <w:rFonts w:eastAsia="Times New Roman" w:cs="Calibri"/>
                <w:lang w:eastAsia="pl-PL"/>
              </w:rPr>
              <w:t>- ryzyko związane ze wzrostem cen gazu, energii, materiałów, sprzętu i usług; ryzyko związane z poziomem inflacji również obciążenia (istotność: poważna)</w:t>
            </w:r>
          </w:p>
          <w:p w14:paraId="4AC6C9AF"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4734248D"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366B173B"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czynniki które mogą wpłynąć na harmonogram realizacji planów działania dot. spełnienia warunków podstawowych,</w:t>
            </w:r>
            <w:r w:rsidRPr="003A6407">
              <w:rPr>
                <w:rFonts w:eastAsia="Times New Roman" w:cs="Calibri"/>
                <w:lang w:eastAsia="pl-PL"/>
              </w:rPr>
              <w:t xml:space="preserve"> a które są poza kompetencjami IZ oraz instytucji odpowiedzialnych za spełnienie tych warunków; (istotność: poważna)</w:t>
            </w:r>
          </w:p>
          <w:p w14:paraId="4566FC63"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ostateczne ustalenia dot. występowania i poziomu pomocy publicznej</w:t>
            </w:r>
            <w:r w:rsidRPr="003A6407">
              <w:rPr>
                <w:rFonts w:eastAsia="Times New Roman" w:cs="Calibri"/>
                <w:lang w:eastAsia="pl-PL"/>
              </w:rPr>
              <w:t>; (istotność: umiarkowana)</w:t>
            </w:r>
          </w:p>
          <w:p w14:paraId="1AED4685"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poważna)</w:t>
            </w:r>
          </w:p>
          <w:p w14:paraId="1BB72D04" w14:textId="77777777" w:rsidR="00F64240" w:rsidRPr="003A6407" w:rsidRDefault="00F64240" w:rsidP="00A33267">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brakiem wykonawców, sezonowością prac itp.; (istotność: poważna)</w:t>
            </w:r>
          </w:p>
          <w:p w14:paraId="5D46BDFB" w14:textId="77777777" w:rsidR="00F64240" w:rsidRPr="003A6407" w:rsidRDefault="00F64240" w:rsidP="00A33267">
            <w:pPr>
              <w:spacing w:before="60" w:after="60" w:line="240" w:lineRule="auto"/>
              <w:jc w:val="both"/>
              <w:rPr>
                <w:rFonts w:eastAsia="Times New Roman" w:cs="Calibri"/>
                <w:b/>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umiarkowana)</w:t>
            </w:r>
          </w:p>
          <w:p w14:paraId="7DF3239E" w14:textId="77777777" w:rsidR="00F64240" w:rsidRPr="003A6407" w:rsidRDefault="00F64240" w:rsidP="00A33267">
            <w:pPr>
              <w:spacing w:before="60" w:after="60" w:line="240" w:lineRule="auto"/>
              <w:jc w:val="both"/>
              <w:rPr>
                <w:rFonts w:eastAsia="Times New Roman" w:cs="Calibri"/>
                <w:bCs/>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możliwość terminowego pozyskiwania zgód i pozwoleń administracyjnych</w:t>
            </w:r>
            <w:r w:rsidRPr="003A6407" w:rsidDel="00A3351D">
              <w:rPr>
                <w:rFonts w:eastAsia="Times New Roman" w:cs="Calibri"/>
                <w:bCs/>
                <w:lang w:eastAsia="pl-PL"/>
              </w:rPr>
              <w:t xml:space="preserve"> </w:t>
            </w:r>
            <w:r w:rsidRPr="003A6407">
              <w:rPr>
                <w:rFonts w:eastAsia="Times New Roman" w:cs="Calibri"/>
                <w:bCs/>
                <w:lang w:eastAsia="pl-PL"/>
              </w:rPr>
              <w:t>(istotność: umiarkowana)</w:t>
            </w:r>
          </w:p>
          <w:p w14:paraId="73AA51A4" w14:textId="77777777" w:rsidR="00F64240" w:rsidRPr="003A6407" w:rsidRDefault="00F64240" w:rsidP="00A33267">
            <w:pPr>
              <w:spacing w:before="60" w:after="60" w:line="240" w:lineRule="auto"/>
              <w:jc w:val="both"/>
              <w:rPr>
                <w:rFonts w:eastAsia="Times New Roman" w:cs="Calibri"/>
                <w:lang w:eastAsia="pl-PL"/>
              </w:rPr>
            </w:pPr>
            <w:r w:rsidRPr="003A6407">
              <w:rPr>
                <w:rFonts w:eastAsia="Times New Roman" w:cs="Calibri"/>
                <w:b/>
                <w:bCs/>
                <w:lang w:eastAsia="pl-PL"/>
              </w:rPr>
              <w:t xml:space="preserve">•nakładanie się wsparcia z innych instrumentów </w:t>
            </w:r>
            <w:r w:rsidRPr="003A6407">
              <w:rPr>
                <w:rFonts w:eastAsia="Times New Roman" w:cs="Calibri"/>
                <w:lang w:eastAsia="pl-PL"/>
              </w:rPr>
              <w:t>np. programów krajowych lub finansowanych ze środków krajowych (istotność: umiarkowana)</w:t>
            </w:r>
          </w:p>
        </w:tc>
      </w:tr>
    </w:tbl>
    <w:p w14:paraId="08385545" w14:textId="77777777" w:rsidR="00F64240" w:rsidRPr="003A6407" w:rsidRDefault="00F64240" w:rsidP="0005785F">
      <w:pPr>
        <w:spacing w:after="160" w:line="256" w:lineRule="auto"/>
        <w:jc w:val="center"/>
        <w:rPr>
          <w:rFonts w:eastAsia="Times New Roman" w:cs="Calibri"/>
          <w:lang w:eastAsia="pl-PL"/>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7"/>
        <w:gridCol w:w="752"/>
        <w:gridCol w:w="658"/>
        <w:gridCol w:w="1730"/>
        <w:gridCol w:w="741"/>
        <w:gridCol w:w="1212"/>
        <w:gridCol w:w="477"/>
        <w:gridCol w:w="739"/>
        <w:gridCol w:w="737"/>
        <w:gridCol w:w="734"/>
      </w:tblGrid>
      <w:tr w:rsidR="003C1C43" w:rsidRPr="003A6407" w14:paraId="1C8C0B8A" w14:textId="77777777" w:rsidTr="003C1C43">
        <w:trPr>
          <w:cantSplit/>
          <w:trHeight w:val="1825"/>
        </w:trPr>
        <w:tc>
          <w:tcPr>
            <w:tcW w:w="338" w:type="pct"/>
            <w:tcBorders>
              <w:top w:val="single" w:sz="4" w:space="0" w:color="auto"/>
              <w:left w:val="single" w:sz="4" w:space="0" w:color="auto"/>
              <w:bottom w:val="single" w:sz="4" w:space="0" w:color="auto"/>
              <w:right w:val="single" w:sz="4" w:space="0" w:color="auto"/>
            </w:tcBorders>
            <w:vAlign w:val="center"/>
          </w:tcPr>
          <w:p w14:paraId="0FD25B3B" w14:textId="77777777" w:rsidR="003C1C43" w:rsidRPr="003C1C43" w:rsidRDefault="003C1C43" w:rsidP="002A48C3">
            <w:pPr>
              <w:spacing w:before="120" w:after="120" w:line="240" w:lineRule="auto"/>
              <w:jc w:val="center"/>
              <w:rPr>
                <w:rFonts w:eastAsia="Calibri" w:cs="Calibri"/>
                <w:b/>
                <w:noProof/>
                <w:sz w:val="16"/>
                <w:szCs w:val="16"/>
              </w:rPr>
            </w:pPr>
            <w:r w:rsidRPr="003C1C43">
              <w:rPr>
                <w:rFonts w:eastAsia="Calibri" w:cs="Calibri"/>
                <w:b/>
                <w:noProof/>
                <w:sz w:val="16"/>
                <w:szCs w:val="16"/>
              </w:rPr>
              <w:t>CP 2</w:t>
            </w:r>
          </w:p>
          <w:p w14:paraId="1402903F" w14:textId="77777777" w:rsidR="003C1C43" w:rsidRPr="003C1C43" w:rsidRDefault="003C1C43" w:rsidP="002A48C3">
            <w:pPr>
              <w:spacing w:before="120" w:after="120" w:line="240" w:lineRule="auto"/>
              <w:jc w:val="center"/>
              <w:rPr>
                <w:rFonts w:eastAsia="Calibri" w:cs="Calibri"/>
                <w:b/>
                <w:noProof/>
                <w:sz w:val="16"/>
                <w:szCs w:val="16"/>
              </w:rPr>
            </w:pPr>
            <w:r w:rsidRPr="003C1C43">
              <w:rPr>
                <w:rFonts w:eastAsia="Calibri" w:cs="Calibri"/>
                <w:b/>
                <w:noProof/>
                <w:sz w:val="16"/>
                <w:szCs w:val="16"/>
              </w:rPr>
              <w:t>Cel szczegółowy</w:t>
            </w:r>
          </w:p>
        </w:tc>
        <w:tc>
          <w:tcPr>
            <w:tcW w:w="368" w:type="pct"/>
            <w:tcBorders>
              <w:top w:val="single" w:sz="4" w:space="0" w:color="auto"/>
              <w:left w:val="single" w:sz="4" w:space="0" w:color="auto"/>
              <w:bottom w:val="single" w:sz="4" w:space="0" w:color="auto"/>
              <w:right w:val="single" w:sz="4" w:space="0" w:color="auto"/>
            </w:tcBorders>
            <w:vAlign w:val="center"/>
          </w:tcPr>
          <w:p w14:paraId="41648200" w14:textId="77777777" w:rsidR="003C1C43" w:rsidRPr="003C1C43" w:rsidRDefault="003C1C43" w:rsidP="002A48C3">
            <w:pPr>
              <w:spacing w:before="120" w:after="120" w:line="240" w:lineRule="auto"/>
              <w:jc w:val="center"/>
              <w:rPr>
                <w:rFonts w:eastAsia="Calibri" w:cs="Calibri"/>
                <w:b/>
                <w:noProof/>
                <w:sz w:val="16"/>
                <w:szCs w:val="16"/>
              </w:rPr>
            </w:pPr>
            <w:r w:rsidRPr="003C1C43">
              <w:rPr>
                <w:rFonts w:eastAsia="Calibri" w:cs="Calibri"/>
                <w:b/>
                <w:noProof/>
                <w:sz w:val="16"/>
                <w:szCs w:val="16"/>
              </w:rPr>
              <w:t>Fundusz</w:t>
            </w:r>
          </w:p>
        </w:tc>
        <w:tc>
          <w:tcPr>
            <w:tcW w:w="415" w:type="pct"/>
            <w:tcBorders>
              <w:top w:val="single" w:sz="4" w:space="0" w:color="auto"/>
              <w:left w:val="single" w:sz="4" w:space="0" w:color="auto"/>
              <w:bottom w:val="single" w:sz="4" w:space="0" w:color="auto"/>
              <w:right w:val="single" w:sz="4" w:space="0" w:color="auto"/>
            </w:tcBorders>
            <w:vAlign w:val="center"/>
          </w:tcPr>
          <w:p w14:paraId="47DC0DEB" w14:textId="77777777" w:rsidR="003C1C43" w:rsidRPr="003C1C43" w:rsidRDefault="003C1C43" w:rsidP="002A48C3">
            <w:pPr>
              <w:spacing w:before="120" w:after="120" w:line="240" w:lineRule="auto"/>
              <w:jc w:val="center"/>
              <w:rPr>
                <w:rFonts w:eastAsia="Calibri" w:cs="Calibri"/>
                <w:b/>
                <w:noProof/>
                <w:sz w:val="16"/>
                <w:szCs w:val="16"/>
              </w:rPr>
            </w:pPr>
            <w:r w:rsidRPr="003C1C43">
              <w:rPr>
                <w:rFonts w:eastAsia="Calibri" w:cs="Calibri"/>
                <w:b/>
                <w:noProof/>
                <w:sz w:val="16"/>
                <w:szCs w:val="16"/>
              </w:rPr>
              <w:t>Kategoria regionu</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14:paraId="600EDAFE" w14:textId="77777777" w:rsidR="003C1C43" w:rsidRPr="003C1C43" w:rsidRDefault="003C1C43" w:rsidP="002A48C3">
            <w:pPr>
              <w:spacing w:before="120" w:after="120" w:line="240" w:lineRule="auto"/>
              <w:ind w:left="113" w:right="113"/>
              <w:jc w:val="center"/>
              <w:rPr>
                <w:rFonts w:eastAsia="Calibri" w:cs="Calibri"/>
                <w:b/>
                <w:noProof/>
                <w:sz w:val="16"/>
                <w:szCs w:val="16"/>
              </w:rPr>
            </w:pPr>
            <w:r w:rsidRPr="003C1C43">
              <w:rPr>
                <w:rFonts w:eastAsia="Calibri" w:cs="Calibri"/>
                <w:b/>
                <w:noProof/>
                <w:sz w:val="16"/>
                <w:szCs w:val="16"/>
              </w:rPr>
              <w:t>Nr identyfikacyjny [5]</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4F42E52" w14:textId="77777777" w:rsidR="003C1C43" w:rsidRPr="003C1C43" w:rsidRDefault="003C1C43" w:rsidP="002A48C3">
            <w:pPr>
              <w:spacing w:before="120" w:after="120" w:line="240" w:lineRule="auto"/>
              <w:jc w:val="center"/>
              <w:rPr>
                <w:rFonts w:eastAsia="Calibri" w:cs="Calibri"/>
                <w:b/>
                <w:noProof/>
                <w:sz w:val="16"/>
                <w:szCs w:val="16"/>
              </w:rPr>
            </w:pPr>
            <w:r w:rsidRPr="003C1C43">
              <w:rPr>
                <w:rFonts w:eastAsia="Calibri" w:cs="Calibri"/>
                <w:b/>
                <w:noProof/>
                <w:sz w:val="16"/>
                <w:szCs w:val="16"/>
              </w:rPr>
              <w:t>Wskaźnik [255]</w:t>
            </w:r>
          </w:p>
        </w:tc>
        <w:tc>
          <w:tcPr>
            <w:tcW w:w="409" w:type="pct"/>
            <w:tcBorders>
              <w:top w:val="single" w:sz="4" w:space="0" w:color="auto"/>
              <w:left w:val="single" w:sz="4" w:space="0" w:color="auto"/>
              <w:bottom w:val="single" w:sz="4" w:space="0" w:color="auto"/>
              <w:right w:val="single" w:sz="4" w:space="0" w:color="auto"/>
            </w:tcBorders>
            <w:textDirection w:val="btLr"/>
            <w:vAlign w:val="center"/>
          </w:tcPr>
          <w:p w14:paraId="16A1D6C9" w14:textId="77777777" w:rsidR="003C1C43" w:rsidRPr="003C1C43" w:rsidRDefault="003C1C43" w:rsidP="002A48C3">
            <w:pPr>
              <w:spacing w:before="120" w:after="120" w:line="240" w:lineRule="auto"/>
              <w:ind w:left="113" w:right="113"/>
              <w:jc w:val="center"/>
              <w:rPr>
                <w:rFonts w:eastAsia="Calibri" w:cs="Calibri"/>
                <w:b/>
                <w:noProof/>
                <w:sz w:val="16"/>
                <w:szCs w:val="16"/>
              </w:rPr>
            </w:pPr>
            <w:r w:rsidRPr="003C1C43">
              <w:rPr>
                <w:rFonts w:eastAsia="Calibri" w:cs="Calibri"/>
                <w:b/>
                <w:noProof/>
                <w:sz w:val="16"/>
                <w:szCs w:val="16"/>
              </w:rPr>
              <w:t>Jednostka miary</w:t>
            </w:r>
          </w:p>
        </w:tc>
        <w:tc>
          <w:tcPr>
            <w:tcW w:w="669" w:type="pct"/>
            <w:tcBorders>
              <w:top w:val="single" w:sz="4" w:space="0" w:color="auto"/>
              <w:left w:val="single" w:sz="4" w:space="0" w:color="auto"/>
              <w:bottom w:val="single" w:sz="4" w:space="0" w:color="auto"/>
              <w:right w:val="single" w:sz="4" w:space="0" w:color="auto"/>
            </w:tcBorders>
            <w:textDirection w:val="btLr"/>
            <w:vAlign w:val="center"/>
          </w:tcPr>
          <w:p w14:paraId="59B98C13" w14:textId="77777777" w:rsidR="003C1C43" w:rsidRPr="003C1C43" w:rsidRDefault="003C1C43" w:rsidP="002A48C3">
            <w:pPr>
              <w:spacing w:before="120" w:after="120" w:line="240" w:lineRule="auto"/>
              <w:ind w:left="113" w:right="113"/>
              <w:jc w:val="center"/>
              <w:rPr>
                <w:rFonts w:eastAsia="Calibri" w:cs="Calibri"/>
                <w:b/>
                <w:noProof/>
                <w:sz w:val="16"/>
                <w:szCs w:val="16"/>
              </w:rPr>
            </w:pPr>
            <w:r w:rsidRPr="003C1C43">
              <w:rPr>
                <w:rFonts w:eastAsia="Calibri" w:cs="Calibri"/>
                <w:b/>
                <w:noProof/>
                <w:sz w:val="16"/>
                <w:szCs w:val="16"/>
              </w:rPr>
              <w:t>Wartość bazowa lub wartość odniesienia</w:t>
            </w:r>
          </w:p>
        </w:tc>
        <w:tc>
          <w:tcPr>
            <w:tcW w:w="2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3F9170" w14:textId="77777777" w:rsidR="003C1C43" w:rsidRPr="003C1C43" w:rsidRDefault="003C1C43" w:rsidP="002A48C3">
            <w:pPr>
              <w:spacing w:before="120" w:after="120" w:line="240" w:lineRule="auto"/>
              <w:ind w:left="113" w:right="113"/>
              <w:jc w:val="center"/>
              <w:rPr>
                <w:rFonts w:eastAsia="Calibri" w:cs="Calibri"/>
                <w:b/>
                <w:noProof/>
                <w:sz w:val="16"/>
                <w:szCs w:val="16"/>
              </w:rPr>
            </w:pPr>
            <w:r w:rsidRPr="003C1C43">
              <w:rPr>
                <w:rFonts w:eastAsia="Calibri" w:cs="Calibri"/>
                <w:b/>
                <w:noProof/>
                <w:sz w:val="16"/>
                <w:szCs w:val="16"/>
              </w:rPr>
              <w:t>Rok referencyjny</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7BB5C0B" w14:textId="77777777" w:rsidR="003C1C43" w:rsidRPr="003C1C43" w:rsidRDefault="003C1C43" w:rsidP="002A48C3">
            <w:pPr>
              <w:spacing w:before="120" w:after="120" w:line="240" w:lineRule="auto"/>
              <w:jc w:val="center"/>
              <w:rPr>
                <w:rFonts w:eastAsia="Calibri" w:cs="Calibri"/>
                <w:b/>
                <w:noProof/>
                <w:sz w:val="16"/>
                <w:szCs w:val="16"/>
              </w:rPr>
            </w:pPr>
            <w:r w:rsidRPr="003C1C43">
              <w:rPr>
                <w:rFonts w:eastAsia="Calibri" w:cs="Calibri"/>
                <w:b/>
                <w:noProof/>
                <w:sz w:val="16"/>
                <w:szCs w:val="16"/>
              </w:rPr>
              <w:t>Cel (2029)</w:t>
            </w:r>
          </w:p>
          <w:p w14:paraId="59C6CA1E" w14:textId="77777777" w:rsidR="003C1C43" w:rsidRPr="003C1C43" w:rsidRDefault="003C1C43" w:rsidP="002A48C3">
            <w:pPr>
              <w:spacing w:before="120" w:after="120" w:line="240" w:lineRule="auto"/>
              <w:jc w:val="center"/>
              <w:rPr>
                <w:rFonts w:eastAsia="Calibri" w:cs="Calibri"/>
                <w:b/>
                <w:noProof/>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A44BC9D" w14:textId="77777777" w:rsidR="003C1C43" w:rsidRPr="003C1C43" w:rsidRDefault="003C1C43" w:rsidP="002A48C3">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Źródło danych [200]</w:t>
            </w:r>
          </w:p>
        </w:tc>
        <w:tc>
          <w:tcPr>
            <w:tcW w:w="405" w:type="pct"/>
            <w:tcBorders>
              <w:top w:val="single" w:sz="4" w:space="0" w:color="auto"/>
              <w:left w:val="single" w:sz="4" w:space="0" w:color="auto"/>
              <w:bottom w:val="single" w:sz="4" w:space="0" w:color="auto"/>
              <w:right w:val="single" w:sz="4" w:space="0" w:color="auto"/>
            </w:tcBorders>
            <w:vAlign w:val="center"/>
          </w:tcPr>
          <w:p w14:paraId="7A049318" w14:textId="77777777" w:rsidR="003C1C43" w:rsidRPr="003C1C43" w:rsidRDefault="003C1C43" w:rsidP="002A48C3">
            <w:pPr>
              <w:spacing w:before="120" w:after="120" w:line="240" w:lineRule="auto"/>
              <w:jc w:val="center"/>
              <w:rPr>
                <w:rFonts w:eastAsia="Calibri" w:cs="Times New Roman"/>
                <w:b/>
                <w:noProof/>
                <w:sz w:val="16"/>
                <w:szCs w:val="16"/>
                <w:lang w:eastAsia="pl-PL"/>
              </w:rPr>
            </w:pPr>
            <w:r w:rsidRPr="003A6407">
              <w:rPr>
                <w:rFonts w:eastAsia="Calibri" w:cs="Times New Roman"/>
                <w:b/>
                <w:noProof/>
                <w:sz w:val="16"/>
                <w:szCs w:val="16"/>
                <w:lang w:eastAsia="pl-PL"/>
              </w:rPr>
              <w:t>Uwagi [200]</w:t>
            </w:r>
          </w:p>
        </w:tc>
      </w:tr>
      <w:tr w:rsidR="00E26258" w:rsidRPr="003A6407" w14:paraId="4F23652F" w14:textId="77777777" w:rsidTr="004E48F2">
        <w:trPr>
          <w:cantSplit/>
          <w:trHeight w:val="1825"/>
        </w:trPr>
        <w:tc>
          <w:tcPr>
            <w:tcW w:w="338" w:type="pct"/>
            <w:tcBorders>
              <w:top w:val="single" w:sz="4" w:space="0" w:color="auto"/>
              <w:left w:val="single" w:sz="4" w:space="0" w:color="auto"/>
              <w:bottom w:val="single" w:sz="4" w:space="0" w:color="auto"/>
              <w:right w:val="single" w:sz="4" w:space="0" w:color="auto"/>
            </w:tcBorders>
            <w:vAlign w:val="center"/>
          </w:tcPr>
          <w:p w14:paraId="6D6D95F6" w14:textId="4BB92AAD" w:rsidR="00E26258" w:rsidRPr="003C1C43" w:rsidRDefault="00E26258" w:rsidP="00E26258">
            <w:pPr>
              <w:spacing w:before="120" w:after="120" w:line="240" w:lineRule="auto"/>
              <w:jc w:val="center"/>
              <w:rPr>
                <w:rFonts w:eastAsia="Calibri" w:cs="Calibri"/>
                <w:b/>
                <w:noProof/>
                <w:sz w:val="16"/>
                <w:szCs w:val="16"/>
              </w:rPr>
            </w:pPr>
            <w:r>
              <w:rPr>
                <w:noProof/>
                <w:sz w:val="16"/>
                <w:szCs w:val="16"/>
              </w:rPr>
              <w:t>8</w:t>
            </w:r>
            <w:r w:rsidR="00281074">
              <w:rPr>
                <w:noProof/>
                <w:sz w:val="16"/>
                <w:szCs w:val="16"/>
              </w:rPr>
              <w:t>.1</w:t>
            </w:r>
          </w:p>
        </w:tc>
        <w:tc>
          <w:tcPr>
            <w:tcW w:w="368" w:type="pct"/>
            <w:tcBorders>
              <w:top w:val="single" w:sz="4" w:space="0" w:color="auto"/>
              <w:left w:val="single" w:sz="4" w:space="0" w:color="auto"/>
              <w:bottom w:val="single" w:sz="4" w:space="0" w:color="auto"/>
              <w:right w:val="single" w:sz="4" w:space="0" w:color="auto"/>
            </w:tcBorders>
            <w:vAlign w:val="center"/>
          </w:tcPr>
          <w:p w14:paraId="201EFE6C" w14:textId="20B6A087" w:rsidR="00E26258" w:rsidRPr="003C1C43" w:rsidRDefault="00E26258" w:rsidP="00E26258">
            <w:pPr>
              <w:spacing w:before="120" w:after="120" w:line="240" w:lineRule="auto"/>
              <w:jc w:val="center"/>
              <w:rPr>
                <w:rFonts w:eastAsia="Calibri" w:cs="Calibri"/>
                <w:b/>
                <w:noProof/>
                <w:sz w:val="16"/>
                <w:szCs w:val="16"/>
              </w:rPr>
            </w:pPr>
            <w:r w:rsidRPr="003A6407">
              <w:rPr>
                <w:noProof/>
                <w:sz w:val="16"/>
                <w:szCs w:val="16"/>
              </w:rPr>
              <w:t>EFRR</w:t>
            </w:r>
          </w:p>
        </w:tc>
        <w:tc>
          <w:tcPr>
            <w:tcW w:w="415" w:type="pct"/>
            <w:tcBorders>
              <w:top w:val="single" w:sz="4" w:space="0" w:color="auto"/>
              <w:left w:val="single" w:sz="4" w:space="0" w:color="auto"/>
              <w:bottom w:val="single" w:sz="4" w:space="0" w:color="auto"/>
              <w:right w:val="single" w:sz="4" w:space="0" w:color="auto"/>
            </w:tcBorders>
            <w:vAlign w:val="center"/>
          </w:tcPr>
          <w:p w14:paraId="6013390B" w14:textId="3D33D2E3" w:rsidR="00E26258" w:rsidRPr="003C1C43" w:rsidRDefault="00E26258" w:rsidP="00E26258">
            <w:pPr>
              <w:spacing w:before="120" w:after="120" w:line="240" w:lineRule="auto"/>
              <w:jc w:val="center"/>
              <w:rPr>
                <w:rFonts w:eastAsia="Calibri" w:cs="Calibri"/>
                <w:b/>
                <w:noProof/>
                <w:sz w:val="16"/>
                <w:szCs w:val="16"/>
              </w:rPr>
            </w:pPr>
            <w:r w:rsidRPr="003A6407">
              <w:rPr>
                <w:noProof/>
                <w:sz w:val="16"/>
                <w:szCs w:val="16"/>
              </w:rPr>
              <w:t>przejściowy</w:t>
            </w:r>
          </w:p>
        </w:tc>
        <w:tc>
          <w:tcPr>
            <w:tcW w:w="363" w:type="pct"/>
            <w:tcBorders>
              <w:top w:val="single" w:sz="4" w:space="0" w:color="auto"/>
              <w:left w:val="single" w:sz="4" w:space="0" w:color="auto"/>
              <w:bottom w:val="single" w:sz="4" w:space="0" w:color="auto"/>
              <w:right w:val="single" w:sz="4" w:space="0" w:color="auto"/>
            </w:tcBorders>
            <w:vAlign w:val="center"/>
          </w:tcPr>
          <w:p w14:paraId="5C804398" w14:textId="6A68F110" w:rsidR="00E26258" w:rsidRPr="003C1C43" w:rsidRDefault="00E26258" w:rsidP="00E26258">
            <w:pPr>
              <w:spacing w:before="120" w:after="120" w:line="240" w:lineRule="auto"/>
              <w:ind w:left="113" w:right="113"/>
              <w:jc w:val="center"/>
              <w:rPr>
                <w:rFonts w:eastAsia="Calibri" w:cs="Calibri"/>
                <w:b/>
                <w:noProof/>
                <w:sz w:val="16"/>
                <w:szCs w:val="16"/>
              </w:rPr>
            </w:pPr>
            <w:r w:rsidRPr="003A6407">
              <w:rPr>
                <w:noProof/>
                <w:sz w:val="16"/>
                <w:szCs w:val="16"/>
              </w:rPr>
              <w:t>RCR026</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FAE0DF0" w14:textId="0AD457E4" w:rsidR="00E26258" w:rsidRPr="003C1C43" w:rsidRDefault="00E26258" w:rsidP="00E26258">
            <w:pPr>
              <w:spacing w:before="120" w:after="120" w:line="240" w:lineRule="auto"/>
              <w:jc w:val="center"/>
              <w:rPr>
                <w:rFonts w:eastAsia="Calibri" w:cs="Calibri"/>
                <w:b/>
                <w:noProof/>
                <w:sz w:val="16"/>
                <w:szCs w:val="16"/>
              </w:rPr>
            </w:pPr>
            <w:r w:rsidRPr="003A6407">
              <w:rPr>
                <w:rFonts w:asciiTheme="minorHAnsi" w:eastAsia="Times New Roman" w:hAnsiTheme="minorHAnsi" w:cstheme="minorHAnsi"/>
                <w:bCs/>
                <w:noProof/>
                <w:sz w:val="16"/>
                <w:szCs w:val="16"/>
              </w:rPr>
              <w:t>Roczne zużycie energii pierwotnej (w tym: w lokalach mieszkalnych, budynkach publicznych, przedsiębiorstwach, innych)</w:t>
            </w:r>
          </w:p>
        </w:tc>
        <w:tc>
          <w:tcPr>
            <w:tcW w:w="409" w:type="pct"/>
            <w:tcBorders>
              <w:top w:val="single" w:sz="4" w:space="0" w:color="auto"/>
              <w:left w:val="single" w:sz="4" w:space="0" w:color="auto"/>
              <w:bottom w:val="single" w:sz="4" w:space="0" w:color="auto"/>
              <w:right w:val="single" w:sz="4" w:space="0" w:color="auto"/>
            </w:tcBorders>
            <w:vAlign w:val="center"/>
          </w:tcPr>
          <w:p w14:paraId="1359835C" w14:textId="20119F79" w:rsidR="00E26258" w:rsidRPr="003C1C43" w:rsidRDefault="00E26258" w:rsidP="00E26258">
            <w:pPr>
              <w:spacing w:before="120" w:after="120" w:line="240" w:lineRule="auto"/>
              <w:ind w:left="113" w:right="113"/>
              <w:jc w:val="center"/>
              <w:rPr>
                <w:rFonts w:eastAsia="Calibri" w:cs="Calibri"/>
                <w:b/>
                <w:noProof/>
                <w:sz w:val="16"/>
                <w:szCs w:val="16"/>
              </w:rPr>
            </w:pPr>
            <w:r w:rsidRPr="003A6407">
              <w:rPr>
                <w:noProof/>
                <w:sz w:val="16"/>
                <w:szCs w:val="16"/>
              </w:rPr>
              <w:t>MWh/rok</w:t>
            </w:r>
          </w:p>
        </w:tc>
        <w:tc>
          <w:tcPr>
            <w:tcW w:w="669" w:type="pct"/>
            <w:tcBorders>
              <w:top w:val="single" w:sz="4" w:space="0" w:color="auto"/>
              <w:left w:val="single" w:sz="4" w:space="0" w:color="auto"/>
              <w:bottom w:val="single" w:sz="4" w:space="0" w:color="auto"/>
              <w:right w:val="single" w:sz="4" w:space="0" w:color="auto"/>
            </w:tcBorders>
            <w:vAlign w:val="center"/>
          </w:tcPr>
          <w:p w14:paraId="6C112BB9" w14:textId="5CAB8F07" w:rsidR="00E26258" w:rsidRPr="003C1C43" w:rsidRDefault="00E26258" w:rsidP="00E26258">
            <w:pPr>
              <w:spacing w:before="120" w:after="120" w:line="240" w:lineRule="auto"/>
              <w:ind w:left="113" w:right="113"/>
              <w:jc w:val="center"/>
              <w:rPr>
                <w:rFonts w:eastAsia="Calibri" w:cs="Calibri"/>
                <w:b/>
                <w:noProof/>
                <w:sz w:val="16"/>
                <w:szCs w:val="16"/>
              </w:rPr>
            </w:pPr>
            <w:r>
              <w:rPr>
                <w:noProof/>
                <w:sz w:val="16"/>
                <w:szCs w:val="16"/>
              </w:rPr>
              <w:t>75 472,00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9C74719" w14:textId="1B251B31" w:rsidR="00E26258" w:rsidRPr="003C1C43" w:rsidRDefault="00E26258" w:rsidP="00E26258">
            <w:pPr>
              <w:spacing w:before="120" w:after="120" w:line="240" w:lineRule="auto"/>
              <w:ind w:left="113" w:right="113"/>
              <w:jc w:val="center"/>
              <w:rPr>
                <w:rFonts w:eastAsia="Calibri" w:cs="Calibri"/>
                <w:b/>
                <w:noProof/>
                <w:sz w:val="16"/>
                <w:szCs w:val="16"/>
              </w:rPr>
            </w:pPr>
            <w:r>
              <w:rPr>
                <w:noProof/>
                <w:sz w:val="16"/>
                <w:szCs w:val="16"/>
              </w:rPr>
              <w:t>2023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CFF83B1" w14:textId="457A22CF" w:rsidR="00E26258" w:rsidRPr="003C1C43" w:rsidRDefault="00E26258" w:rsidP="00E26258">
            <w:pPr>
              <w:spacing w:before="120" w:after="120" w:line="240" w:lineRule="auto"/>
              <w:jc w:val="center"/>
              <w:rPr>
                <w:rFonts w:eastAsia="Calibri" w:cs="Calibri"/>
                <w:b/>
                <w:noProof/>
                <w:sz w:val="16"/>
                <w:szCs w:val="16"/>
              </w:rPr>
            </w:pPr>
            <w:r>
              <w:rPr>
                <w:noProof/>
                <w:sz w:val="16"/>
                <w:szCs w:val="16"/>
              </w:rPr>
              <w:t>52 830,00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16BEF93" w14:textId="13CEFE08" w:rsidR="00E26258" w:rsidRPr="003C1C43" w:rsidDel="009D4AE9" w:rsidRDefault="00E26258" w:rsidP="00E26258">
            <w:pPr>
              <w:spacing w:before="120" w:after="120" w:line="240" w:lineRule="auto"/>
              <w:jc w:val="center"/>
              <w:rPr>
                <w:rFonts w:eastAsia="Calibri" w:cs="Times New Roman"/>
                <w:b/>
                <w:noProof/>
                <w:sz w:val="16"/>
                <w:szCs w:val="16"/>
                <w:lang w:eastAsia="pl-PL"/>
              </w:rPr>
            </w:pPr>
            <w:r w:rsidRPr="003A6407">
              <w:rPr>
                <w:noProof/>
                <w:sz w:val="16"/>
                <w:szCs w:val="16"/>
              </w:rPr>
              <w:t>SL</w:t>
            </w:r>
          </w:p>
        </w:tc>
        <w:tc>
          <w:tcPr>
            <w:tcW w:w="405" w:type="pct"/>
            <w:tcBorders>
              <w:top w:val="single" w:sz="4" w:space="0" w:color="auto"/>
              <w:left w:val="single" w:sz="4" w:space="0" w:color="auto"/>
              <w:bottom w:val="single" w:sz="4" w:space="0" w:color="auto"/>
              <w:right w:val="single" w:sz="4" w:space="0" w:color="auto"/>
            </w:tcBorders>
            <w:vAlign w:val="center"/>
          </w:tcPr>
          <w:p w14:paraId="74D29ECF" w14:textId="77777777" w:rsidR="00E26258" w:rsidRPr="003C1C43" w:rsidDel="009D4AE9" w:rsidRDefault="00E26258" w:rsidP="00E26258">
            <w:pPr>
              <w:spacing w:before="120" w:after="120" w:line="240" w:lineRule="auto"/>
              <w:jc w:val="center"/>
              <w:rPr>
                <w:rFonts w:eastAsia="Calibri" w:cs="Times New Roman"/>
                <w:b/>
                <w:noProof/>
                <w:sz w:val="16"/>
                <w:szCs w:val="16"/>
                <w:lang w:eastAsia="pl-PL"/>
              </w:rPr>
            </w:pPr>
          </w:p>
        </w:tc>
      </w:tr>
      <w:tr w:rsidR="00E26258" w:rsidRPr="003A6407" w14:paraId="1358202C" w14:textId="77777777" w:rsidTr="002A48C3">
        <w:trPr>
          <w:trHeight w:val="340"/>
        </w:trPr>
        <w:tc>
          <w:tcPr>
            <w:tcW w:w="5000" w:type="pct"/>
            <w:gridSpan w:val="11"/>
          </w:tcPr>
          <w:p w14:paraId="06F430E2" w14:textId="77777777" w:rsidR="00E26258" w:rsidRPr="003A6407" w:rsidRDefault="00E26258" w:rsidP="00E26258">
            <w:pPr>
              <w:spacing w:before="60" w:after="60" w:line="240" w:lineRule="auto"/>
              <w:jc w:val="both"/>
            </w:pPr>
          </w:p>
          <w:p w14:paraId="6103F583" w14:textId="77777777" w:rsidR="00E26258" w:rsidRDefault="00E26258" w:rsidP="00E26258">
            <w:pPr>
              <w:spacing w:before="60" w:after="60" w:line="240" w:lineRule="auto"/>
              <w:jc w:val="both"/>
            </w:pPr>
            <w:r w:rsidRPr="003A6407">
              <w:t>Metodologia:</w:t>
            </w:r>
          </w:p>
          <w:p w14:paraId="6FEE9142" w14:textId="77777777" w:rsidR="00E26258" w:rsidRDefault="00E26258" w:rsidP="00E26258">
            <w:pPr>
              <w:spacing w:before="60" w:after="60" w:line="240" w:lineRule="auto"/>
              <w:jc w:val="both"/>
            </w:pPr>
          </w:p>
          <w:p w14:paraId="2E4775AE" w14:textId="77777777" w:rsidR="00E26258" w:rsidRDefault="00E26258" w:rsidP="00E26258">
            <w:pPr>
              <w:spacing w:before="60" w:after="60" w:line="240" w:lineRule="auto"/>
              <w:jc w:val="both"/>
            </w:pPr>
            <w:r>
              <w:t xml:space="preserve">Wartość bazowa została zaczerpnięta na podstawie wdrażania wskaźnika z RPO WD 2014-2020 „Zmniejszenie rocznego zużycia energii pierwotnej w budynkach publicznych (CI 32)” – wartość końcowa dla 2023 r. wynosi 75 471 865 kWh/rok, czyli </w:t>
            </w:r>
            <w:r w:rsidRPr="00E26258">
              <w:t>75</w:t>
            </w:r>
            <w:r>
              <w:t> </w:t>
            </w:r>
            <w:r w:rsidRPr="00E26258">
              <w:t>47</w:t>
            </w:r>
            <w:r>
              <w:t>2 MWh/rok.</w:t>
            </w:r>
          </w:p>
          <w:p w14:paraId="067A72D9" w14:textId="77777777" w:rsidR="00E26258" w:rsidRDefault="00E26258" w:rsidP="00E26258">
            <w:pPr>
              <w:spacing w:before="60" w:after="60" w:line="240" w:lineRule="auto"/>
              <w:jc w:val="both"/>
            </w:pPr>
            <w:r>
              <w:t xml:space="preserve">Wyliczenia wartości docelowej: </w:t>
            </w:r>
          </w:p>
          <w:p w14:paraId="2294B21F" w14:textId="77777777" w:rsidR="00E26258" w:rsidRDefault="00E26258" w:rsidP="00E26258">
            <w:pPr>
              <w:spacing w:before="60" w:after="60" w:line="240" w:lineRule="auto"/>
              <w:jc w:val="both"/>
            </w:pPr>
            <w:r>
              <w:t>W związku z wymaganiami nałożonymi na tego typu inwestycje określono wartość docelową zmniejszając wartość bazową o 30% (zgodnie z wymogami określonymi w UP)</w:t>
            </w:r>
          </w:p>
          <w:p w14:paraId="3D820715" w14:textId="77777777" w:rsidR="00E26258" w:rsidRDefault="00E26258" w:rsidP="00E26258">
            <w:pPr>
              <w:spacing w:before="60" w:after="60" w:line="240" w:lineRule="auto"/>
              <w:jc w:val="both"/>
            </w:pPr>
            <w:r>
              <w:t xml:space="preserve">75 472 – 22 641,6 = </w:t>
            </w:r>
            <w:r w:rsidRPr="00E26258">
              <w:t>52 830,4</w:t>
            </w:r>
          </w:p>
          <w:p w14:paraId="24B01D13" w14:textId="2C894A43" w:rsidR="00E26258" w:rsidRPr="003A6407" w:rsidRDefault="00E26258" w:rsidP="00E26258">
            <w:pPr>
              <w:spacing w:before="60" w:after="60" w:line="240" w:lineRule="auto"/>
              <w:jc w:val="both"/>
            </w:pPr>
          </w:p>
        </w:tc>
      </w:tr>
    </w:tbl>
    <w:p w14:paraId="36D6E94A" w14:textId="77777777" w:rsidR="003C1C43" w:rsidRDefault="003C1C43"/>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7"/>
        <w:gridCol w:w="752"/>
        <w:gridCol w:w="658"/>
        <w:gridCol w:w="1730"/>
        <w:gridCol w:w="741"/>
        <w:gridCol w:w="1212"/>
        <w:gridCol w:w="477"/>
        <w:gridCol w:w="739"/>
        <w:gridCol w:w="737"/>
        <w:gridCol w:w="734"/>
      </w:tblGrid>
      <w:tr w:rsidR="00191FE2" w:rsidRPr="003A6407" w14:paraId="47789DB3" w14:textId="77777777" w:rsidTr="001D52F2">
        <w:trPr>
          <w:cantSplit/>
          <w:trHeight w:val="1825"/>
        </w:trPr>
        <w:tc>
          <w:tcPr>
            <w:tcW w:w="338" w:type="pct"/>
            <w:vAlign w:val="center"/>
          </w:tcPr>
          <w:p w14:paraId="5514985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lastRenderedPageBreak/>
              <w:t>CP 6</w:t>
            </w:r>
          </w:p>
          <w:p w14:paraId="12260F44" w14:textId="77777777" w:rsidR="00F64240" w:rsidRPr="003A6407" w:rsidRDefault="00F64240" w:rsidP="001D52F2">
            <w:pPr>
              <w:spacing w:before="120" w:after="120" w:line="240" w:lineRule="auto"/>
              <w:jc w:val="center"/>
              <w:rPr>
                <w:rFonts w:eastAsia="Calibri" w:cs="Calibri"/>
                <w:b/>
                <w:noProof/>
                <w:sz w:val="16"/>
                <w:szCs w:val="16"/>
              </w:rPr>
            </w:pPr>
          </w:p>
        </w:tc>
        <w:tc>
          <w:tcPr>
            <w:tcW w:w="368" w:type="pct"/>
            <w:vAlign w:val="center"/>
          </w:tcPr>
          <w:p w14:paraId="5924514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415" w:type="pct"/>
            <w:vAlign w:val="center"/>
          </w:tcPr>
          <w:p w14:paraId="614E3B9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3" w:type="pct"/>
            <w:textDirection w:val="btLr"/>
            <w:vAlign w:val="center"/>
          </w:tcPr>
          <w:p w14:paraId="115148A2"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955" w:type="pct"/>
            <w:shd w:val="clear" w:color="auto" w:fill="auto"/>
            <w:vAlign w:val="center"/>
          </w:tcPr>
          <w:p w14:paraId="765C1F7A" w14:textId="76F6A5D3"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409" w:type="pct"/>
            <w:textDirection w:val="btLr"/>
            <w:vAlign w:val="center"/>
          </w:tcPr>
          <w:p w14:paraId="4730871A"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Jednostka miary</w:t>
            </w:r>
          </w:p>
        </w:tc>
        <w:tc>
          <w:tcPr>
            <w:tcW w:w="669" w:type="pct"/>
            <w:textDirection w:val="btLr"/>
            <w:vAlign w:val="center"/>
          </w:tcPr>
          <w:p w14:paraId="2BBBCCFC"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Wartość bazowa lub wartość odniesienia</w:t>
            </w:r>
          </w:p>
        </w:tc>
        <w:tc>
          <w:tcPr>
            <w:tcW w:w="263" w:type="pct"/>
            <w:shd w:val="clear" w:color="auto" w:fill="auto"/>
            <w:textDirection w:val="btLr"/>
            <w:vAlign w:val="center"/>
          </w:tcPr>
          <w:p w14:paraId="5EB39F89"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Rok referencyjny</w:t>
            </w:r>
          </w:p>
          <w:p w14:paraId="2BFC2941" w14:textId="77777777" w:rsidR="00F64240" w:rsidRPr="003A6407" w:rsidRDefault="00F64240" w:rsidP="001D52F2">
            <w:pPr>
              <w:spacing w:before="120" w:after="120" w:line="240" w:lineRule="auto"/>
              <w:ind w:left="113" w:right="113"/>
              <w:jc w:val="center"/>
              <w:rPr>
                <w:rFonts w:eastAsia="Calibri" w:cs="Calibri"/>
                <w:b/>
                <w:noProof/>
                <w:sz w:val="16"/>
                <w:szCs w:val="16"/>
              </w:rPr>
            </w:pPr>
          </w:p>
        </w:tc>
        <w:tc>
          <w:tcPr>
            <w:tcW w:w="408" w:type="pct"/>
            <w:shd w:val="clear" w:color="auto" w:fill="auto"/>
            <w:vAlign w:val="center"/>
          </w:tcPr>
          <w:p w14:paraId="03C77E5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17461C95" w14:textId="77777777" w:rsidR="00F64240" w:rsidRPr="003A6407" w:rsidRDefault="00F64240" w:rsidP="001D52F2">
            <w:pPr>
              <w:spacing w:before="120" w:after="120" w:line="240" w:lineRule="auto"/>
              <w:jc w:val="center"/>
              <w:rPr>
                <w:rFonts w:eastAsia="Calibri" w:cs="Calibri"/>
                <w:b/>
                <w:noProof/>
                <w:sz w:val="16"/>
                <w:szCs w:val="16"/>
              </w:rPr>
            </w:pPr>
          </w:p>
        </w:tc>
        <w:tc>
          <w:tcPr>
            <w:tcW w:w="407" w:type="pct"/>
            <w:shd w:val="clear" w:color="auto" w:fill="auto"/>
            <w:vAlign w:val="center"/>
          </w:tcPr>
          <w:p w14:paraId="77C33F37"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Times New Roman"/>
                <w:b/>
                <w:noProof/>
                <w:sz w:val="16"/>
                <w:szCs w:val="16"/>
                <w:lang w:eastAsia="pl-PL"/>
              </w:rPr>
              <w:t>Źródło danych [200]</w:t>
            </w:r>
          </w:p>
        </w:tc>
        <w:tc>
          <w:tcPr>
            <w:tcW w:w="405" w:type="pct"/>
            <w:vAlign w:val="center"/>
          </w:tcPr>
          <w:p w14:paraId="185D1EF0"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Times New Roman"/>
                <w:b/>
                <w:noProof/>
                <w:sz w:val="16"/>
                <w:szCs w:val="16"/>
                <w:lang w:eastAsia="pl-PL"/>
              </w:rPr>
              <w:t>Uwagi [200]</w:t>
            </w:r>
          </w:p>
        </w:tc>
      </w:tr>
      <w:tr w:rsidR="00191FE2" w:rsidRPr="003A6407" w14:paraId="51039BC2" w14:textId="77777777" w:rsidTr="001D52F2">
        <w:trPr>
          <w:trHeight w:val="340"/>
        </w:trPr>
        <w:tc>
          <w:tcPr>
            <w:tcW w:w="338" w:type="pct"/>
            <w:vAlign w:val="center"/>
          </w:tcPr>
          <w:p w14:paraId="7BB2F5E2"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7946C4EC" w14:textId="066BDAC8"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368" w:type="pct"/>
            <w:vAlign w:val="center"/>
          </w:tcPr>
          <w:p w14:paraId="2AFD9D54"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415" w:type="pct"/>
            <w:vAlign w:val="center"/>
          </w:tcPr>
          <w:p w14:paraId="5E896246"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3" w:type="pct"/>
            <w:vAlign w:val="center"/>
          </w:tcPr>
          <w:p w14:paraId="578C1190"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RCR 62</w:t>
            </w:r>
          </w:p>
        </w:tc>
        <w:tc>
          <w:tcPr>
            <w:tcW w:w="955" w:type="pct"/>
            <w:shd w:val="clear" w:color="auto" w:fill="auto"/>
            <w:vAlign w:val="center"/>
          </w:tcPr>
          <w:p w14:paraId="338A9E00" w14:textId="77777777" w:rsidR="00F64240" w:rsidRPr="003A6407" w:rsidRDefault="00F64240" w:rsidP="001D52F2">
            <w:pPr>
              <w:keepNext/>
              <w:keepLines/>
              <w:spacing w:before="200" w:after="0"/>
              <w:jc w:val="center"/>
              <w:outlineLvl w:val="2"/>
              <w:rPr>
                <w:rFonts w:asciiTheme="minorHAnsi" w:eastAsia="Times New Roman" w:hAnsiTheme="minorHAnsi" w:cstheme="minorHAnsi"/>
                <w:bCs/>
                <w:noProof/>
                <w:sz w:val="16"/>
                <w:szCs w:val="16"/>
              </w:rPr>
            </w:pPr>
            <w:bookmarkStart w:id="461" w:name="_Toc98189050"/>
            <w:bookmarkStart w:id="462" w:name="_Toc120464550"/>
            <w:r w:rsidRPr="003A6407">
              <w:rPr>
                <w:rFonts w:asciiTheme="minorHAnsi" w:eastAsia="Times New Roman" w:hAnsiTheme="minorHAnsi" w:cstheme="minorHAnsi"/>
                <w:bCs/>
                <w:noProof/>
                <w:sz w:val="16"/>
                <w:szCs w:val="16"/>
              </w:rPr>
              <w:t>Roczna liczba użytkowników nowego lub zmodernizowanego transportu publicznego</w:t>
            </w:r>
            <w:bookmarkEnd w:id="461"/>
            <w:bookmarkEnd w:id="462"/>
          </w:p>
        </w:tc>
        <w:tc>
          <w:tcPr>
            <w:tcW w:w="409" w:type="pct"/>
            <w:vAlign w:val="center"/>
          </w:tcPr>
          <w:p w14:paraId="67DC33EC"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Użytkownicy/rok</w:t>
            </w:r>
          </w:p>
        </w:tc>
        <w:tc>
          <w:tcPr>
            <w:tcW w:w="669" w:type="pct"/>
            <w:vAlign w:val="center"/>
          </w:tcPr>
          <w:p w14:paraId="05C0E158" w14:textId="139D147B"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0,00</w:t>
            </w:r>
          </w:p>
        </w:tc>
        <w:tc>
          <w:tcPr>
            <w:tcW w:w="263" w:type="pct"/>
            <w:shd w:val="clear" w:color="auto" w:fill="auto"/>
            <w:vAlign w:val="center"/>
          </w:tcPr>
          <w:p w14:paraId="5391A311" w14:textId="2E2D8BB6"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2022</w:t>
            </w:r>
          </w:p>
        </w:tc>
        <w:tc>
          <w:tcPr>
            <w:tcW w:w="408" w:type="pct"/>
            <w:shd w:val="clear" w:color="auto" w:fill="auto"/>
            <w:vAlign w:val="center"/>
          </w:tcPr>
          <w:p w14:paraId="1529A290" w14:textId="5AD98DD4"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218 016</w:t>
            </w:r>
          </w:p>
        </w:tc>
        <w:tc>
          <w:tcPr>
            <w:tcW w:w="407" w:type="pct"/>
            <w:vAlign w:val="center"/>
          </w:tcPr>
          <w:p w14:paraId="794E2A8D" w14:textId="5DE335E8"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SL</w:t>
            </w:r>
          </w:p>
        </w:tc>
        <w:tc>
          <w:tcPr>
            <w:tcW w:w="405" w:type="pct"/>
            <w:vAlign w:val="center"/>
          </w:tcPr>
          <w:p w14:paraId="46C364EC" w14:textId="77777777" w:rsidR="00F64240" w:rsidRPr="003A6407" w:rsidRDefault="00F64240" w:rsidP="001D52F2">
            <w:pPr>
              <w:spacing w:before="120" w:after="120" w:line="240" w:lineRule="auto"/>
              <w:jc w:val="center"/>
              <w:rPr>
                <w:rFonts w:eastAsia="Calibri" w:cs="Calibri"/>
                <w:noProof/>
                <w:sz w:val="16"/>
                <w:szCs w:val="16"/>
              </w:rPr>
            </w:pPr>
          </w:p>
        </w:tc>
      </w:tr>
      <w:tr w:rsidR="00F64240" w:rsidRPr="003A6407" w14:paraId="4BC57402" w14:textId="77777777" w:rsidTr="002B58A1">
        <w:trPr>
          <w:trHeight w:val="340"/>
        </w:trPr>
        <w:tc>
          <w:tcPr>
            <w:tcW w:w="5000" w:type="pct"/>
            <w:gridSpan w:val="11"/>
          </w:tcPr>
          <w:p w14:paraId="127B3C25"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1CBF02AD"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Wskaźnik realizuje kody interwencji: 081 Infrastruktura czystego transportu miejskiego w kwocie 10 000 000 oraz 082 Tabor czystego transportu miejskiego w kwocie 15 000 000 o łącznej wartości 25 000 000 EUR. Uwzględniając (odejmując) koszty uproszczone na poziomie 7%, wartość alokacji realizującej dany wskaźnik wynosi 23 250 000 EUR.</w:t>
            </w:r>
          </w:p>
          <w:p w14:paraId="66D67944" w14:textId="083EAD84"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Historyczny kwalifikowalny koszt jednostkowy na bazie doświadczeń z perspektywy 2014-2020 wynosi 315,39 PLN</w:t>
            </w:r>
            <w:r w:rsidRPr="003A6407">
              <w:rPr>
                <w:rStyle w:val="Odwoanieprzypisudolnego"/>
                <w:rFonts w:eastAsia="Times New Roman" w:cs="Calibri"/>
                <w:lang w:eastAsia="pl-PL"/>
              </w:rPr>
              <w:footnoteReference w:id="7"/>
            </w:r>
            <w:r w:rsidRPr="003A6407">
              <w:rPr>
                <w:rFonts w:eastAsia="Times New Roman" w:cs="Calibri"/>
                <w:lang w:eastAsia="pl-PL"/>
              </w:rPr>
              <w:t xml:space="preserve">. </w:t>
            </w:r>
            <w:r w:rsidRPr="003A6407">
              <w:t xml:space="preserve">Koszt jednostkowy został skorygowany w oparciu o wartość inflacji na poziomie 15% i wynosi 362,70 PLN, </w:t>
            </w:r>
            <w:r w:rsidRPr="003A6407">
              <w:rPr>
                <w:rFonts w:eastAsia="Times New Roman" w:cs="Calibri"/>
                <w:lang w:eastAsia="pl-PL"/>
              </w:rPr>
              <w:t xml:space="preserve">a uwzględniając dofinansowanie na poziomie 70% wynosi 253,89 PLN; biorąc pod uwagę kurs EUR na poziomie 4,45 koszt jednostkowy wynosi 57,05 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 </w:t>
            </w:r>
          </w:p>
          <w:p w14:paraId="4CF71E6A" w14:textId="77777777" w:rsidR="00F64240" w:rsidRPr="003A6407" w:rsidRDefault="00F64240" w:rsidP="0005785F">
            <w:pPr>
              <w:spacing w:before="60" w:after="60" w:line="240" w:lineRule="auto"/>
              <w:jc w:val="both"/>
              <w:rPr>
                <w:rFonts w:eastAsia="Times New Roman" w:cs="Calibri"/>
                <w:color w:val="FF0000"/>
                <w:lang w:eastAsia="pl-PL"/>
              </w:rPr>
            </w:pPr>
          </w:p>
          <w:p w14:paraId="3F5693E3"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R: [(4*25)+(4*68)]/8 = 46,5%</w:t>
            </w:r>
          </w:p>
          <w:p w14:paraId="77743AF6" w14:textId="77777777" w:rsidR="00F64240" w:rsidRPr="003A6407" w:rsidRDefault="00F64240" w:rsidP="0005785F">
            <w:pPr>
              <w:spacing w:before="60" w:after="60" w:line="240" w:lineRule="auto"/>
              <w:jc w:val="both"/>
              <w:rPr>
                <w:rFonts w:eastAsia="Times New Roman" w:cs="Calibri"/>
                <w:lang w:eastAsia="pl-PL"/>
              </w:rPr>
            </w:pPr>
          </w:p>
          <w:p w14:paraId="4106E4DB"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40867834" w14:textId="1909BDEC"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23 250 000 / 57,05 * (1-0,465) = 218 016 użytkowników/rok</w:t>
            </w:r>
          </w:p>
          <w:p w14:paraId="01BE4A25" w14:textId="77777777" w:rsidR="00F64240" w:rsidRPr="003A6407" w:rsidRDefault="00F64240" w:rsidP="0005785F">
            <w:pPr>
              <w:spacing w:before="60" w:after="60" w:line="240" w:lineRule="auto"/>
              <w:jc w:val="both"/>
              <w:rPr>
                <w:rFonts w:eastAsia="Times New Roman" w:cs="Calibri"/>
                <w:lang w:eastAsia="pl-PL"/>
              </w:rPr>
            </w:pPr>
          </w:p>
          <w:p w14:paraId="38C9552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1ED3AEA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wzrostu cen</w:t>
            </w:r>
            <w:r w:rsidRPr="003A6407">
              <w:rPr>
                <w:rFonts w:eastAsia="Times New Roman" w:cs="Calibri"/>
                <w:lang w:eastAsia="pl-PL"/>
              </w:rPr>
              <w:t xml:space="preserve"> - ryzyko związane ze wzrostem kosztów produkcji (m.in. cen gazu, energii, materiałów, surowców), sprzętu i usług; ryzyko związane z poziomem inflacji; (istotność: poważna)</w:t>
            </w:r>
          </w:p>
          <w:p w14:paraId="39DF0F96"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3D65B0B4"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0138C09C"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czynniki które mogą wpłynąć na harmonogram realizacji planów działania dot. spełnienia warunków podstawowych,</w:t>
            </w:r>
            <w:r w:rsidRPr="003A6407">
              <w:rPr>
                <w:rFonts w:eastAsia="Times New Roman" w:cs="Calibri"/>
                <w:lang w:eastAsia="pl-PL"/>
              </w:rPr>
              <w:t xml:space="preserve"> a które są poza kompetencjami IZ oraz instytucji odpowiedzialnych za spełnienie tych warunków; (istotność: umiarkowana)</w:t>
            </w:r>
          </w:p>
          <w:p w14:paraId="7941E4A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poważna)</w:t>
            </w:r>
          </w:p>
          <w:p w14:paraId="6FECEB06"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procedurami wynikającymi z zamówień publicznych; (istotność: poważna)</w:t>
            </w:r>
          </w:p>
          <w:p w14:paraId="6F013831"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umiarkowana)</w:t>
            </w:r>
          </w:p>
          <w:p w14:paraId="1CD5A91D"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funkcjonowanie publicznego transportu zbiorowego; (istotność: poważna)</w:t>
            </w:r>
          </w:p>
        </w:tc>
      </w:tr>
    </w:tbl>
    <w:p w14:paraId="6A868A21" w14:textId="77777777" w:rsidR="00F64240" w:rsidRPr="003A6407" w:rsidRDefault="00F64240" w:rsidP="006E4BFD">
      <w:pPr>
        <w:spacing w:after="160" w:line="256" w:lineRule="auto"/>
        <w:jc w:val="center"/>
        <w:rPr>
          <w:rFonts w:eastAsia="Times New Roman" w:cs="Calibri"/>
          <w:b/>
          <w:bCs/>
          <w:lang w:eastAsia="pl-PL"/>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667"/>
        <w:gridCol w:w="752"/>
        <w:gridCol w:w="848"/>
        <w:gridCol w:w="1537"/>
        <w:gridCol w:w="739"/>
        <w:gridCol w:w="1078"/>
        <w:gridCol w:w="609"/>
        <w:gridCol w:w="745"/>
        <w:gridCol w:w="739"/>
        <w:gridCol w:w="736"/>
      </w:tblGrid>
      <w:tr w:rsidR="00191FE2" w:rsidRPr="003A6407" w14:paraId="3FB377BA" w14:textId="77777777" w:rsidTr="001D52F2">
        <w:trPr>
          <w:cantSplit/>
          <w:trHeight w:val="1752"/>
        </w:trPr>
        <w:tc>
          <w:tcPr>
            <w:tcW w:w="337" w:type="pct"/>
            <w:vAlign w:val="center"/>
          </w:tcPr>
          <w:p w14:paraId="04C2133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2468CC46" w14:textId="77777777" w:rsidR="00F64240" w:rsidRPr="003A6407" w:rsidRDefault="00F64240" w:rsidP="001D52F2">
            <w:pPr>
              <w:spacing w:before="120" w:after="120" w:line="240" w:lineRule="auto"/>
              <w:jc w:val="center"/>
              <w:rPr>
                <w:rFonts w:eastAsia="Times New Roman" w:cs="Calibri"/>
                <w:b/>
                <w:noProof/>
                <w:sz w:val="16"/>
                <w:szCs w:val="16"/>
                <w:lang w:eastAsia="pl-PL"/>
              </w:rPr>
            </w:pPr>
          </w:p>
        </w:tc>
        <w:tc>
          <w:tcPr>
            <w:tcW w:w="368" w:type="pct"/>
            <w:vAlign w:val="center"/>
          </w:tcPr>
          <w:p w14:paraId="63716D59" w14:textId="77777777" w:rsidR="00F64240" w:rsidRPr="003A6407" w:rsidRDefault="00F64240" w:rsidP="001D52F2">
            <w:pPr>
              <w:spacing w:before="120" w:after="120" w:line="240" w:lineRule="auto"/>
              <w:jc w:val="center"/>
              <w:rPr>
                <w:rFonts w:eastAsia="Times New Roman" w:cs="Calibri"/>
                <w:b/>
                <w:noProof/>
                <w:sz w:val="16"/>
                <w:szCs w:val="16"/>
                <w:lang w:eastAsia="pl-PL"/>
              </w:rPr>
            </w:pPr>
            <w:r w:rsidRPr="003A6407">
              <w:rPr>
                <w:rFonts w:eastAsia="Calibri" w:cs="Calibri"/>
                <w:b/>
                <w:noProof/>
                <w:sz w:val="16"/>
                <w:szCs w:val="16"/>
              </w:rPr>
              <w:t>Fundusz</w:t>
            </w:r>
          </w:p>
        </w:tc>
        <w:tc>
          <w:tcPr>
            <w:tcW w:w="415" w:type="pct"/>
            <w:vAlign w:val="center"/>
          </w:tcPr>
          <w:p w14:paraId="117CD9F5" w14:textId="77777777" w:rsidR="00F64240" w:rsidRPr="003A6407" w:rsidRDefault="00F64240" w:rsidP="001D52F2">
            <w:pPr>
              <w:spacing w:before="120" w:after="120" w:line="240" w:lineRule="auto"/>
              <w:jc w:val="center"/>
              <w:rPr>
                <w:rFonts w:eastAsia="Times New Roman" w:cs="Calibri"/>
                <w:b/>
                <w:noProof/>
                <w:sz w:val="16"/>
                <w:szCs w:val="16"/>
                <w:lang w:eastAsia="pl-PL"/>
              </w:rPr>
            </w:pPr>
            <w:r w:rsidRPr="003A6407">
              <w:rPr>
                <w:rFonts w:eastAsia="Calibri" w:cs="Calibri"/>
                <w:b/>
                <w:noProof/>
                <w:sz w:val="16"/>
                <w:szCs w:val="16"/>
              </w:rPr>
              <w:t>Kategoria regionu</w:t>
            </w:r>
          </w:p>
        </w:tc>
        <w:tc>
          <w:tcPr>
            <w:tcW w:w="468" w:type="pct"/>
            <w:textDirection w:val="btLr"/>
            <w:vAlign w:val="center"/>
          </w:tcPr>
          <w:p w14:paraId="7DC251AF" w14:textId="77777777" w:rsidR="00F64240" w:rsidRPr="003A6407" w:rsidRDefault="00F64240" w:rsidP="001D52F2">
            <w:pPr>
              <w:spacing w:before="120" w:after="120" w:line="240" w:lineRule="auto"/>
              <w:ind w:left="113" w:right="113"/>
              <w:jc w:val="center"/>
              <w:rPr>
                <w:rFonts w:eastAsia="Times New Roman" w:cs="Calibri"/>
                <w:b/>
                <w:noProof/>
                <w:sz w:val="16"/>
                <w:szCs w:val="16"/>
                <w:lang w:eastAsia="pl-PL"/>
              </w:rPr>
            </w:pPr>
            <w:r w:rsidRPr="003A6407">
              <w:rPr>
                <w:rFonts w:eastAsia="Calibri" w:cs="Calibri"/>
                <w:b/>
                <w:noProof/>
                <w:sz w:val="16"/>
                <w:szCs w:val="16"/>
              </w:rPr>
              <w:t>Nr identyfikacyjny [5]</w:t>
            </w:r>
          </w:p>
        </w:tc>
        <w:tc>
          <w:tcPr>
            <w:tcW w:w="848" w:type="pct"/>
            <w:shd w:val="clear" w:color="auto" w:fill="auto"/>
            <w:vAlign w:val="center"/>
          </w:tcPr>
          <w:p w14:paraId="22C4A3EE" w14:textId="5124EE1C" w:rsidR="00F64240" w:rsidRPr="003A6407" w:rsidRDefault="00F64240" w:rsidP="001D52F2">
            <w:pPr>
              <w:spacing w:before="120" w:after="120" w:line="240" w:lineRule="auto"/>
              <w:jc w:val="center"/>
              <w:rPr>
                <w:rFonts w:eastAsia="Times New Roman" w:cs="Calibri"/>
                <w:b/>
                <w:noProof/>
                <w:sz w:val="16"/>
                <w:szCs w:val="16"/>
                <w:lang w:eastAsia="pl-PL"/>
              </w:rPr>
            </w:pPr>
            <w:r w:rsidRPr="003A6407">
              <w:rPr>
                <w:rFonts w:eastAsia="Calibri" w:cs="Calibri"/>
                <w:b/>
                <w:noProof/>
                <w:sz w:val="16"/>
                <w:szCs w:val="16"/>
              </w:rPr>
              <w:t>Wskaźnik [255]</w:t>
            </w:r>
          </w:p>
        </w:tc>
        <w:tc>
          <w:tcPr>
            <w:tcW w:w="408" w:type="pct"/>
            <w:textDirection w:val="btLr"/>
            <w:vAlign w:val="center"/>
          </w:tcPr>
          <w:p w14:paraId="6CD1B6F4"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Jednostka miary</w:t>
            </w:r>
          </w:p>
        </w:tc>
        <w:tc>
          <w:tcPr>
            <w:tcW w:w="595" w:type="pct"/>
            <w:textDirection w:val="btLr"/>
            <w:vAlign w:val="center"/>
          </w:tcPr>
          <w:p w14:paraId="44649225"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Wartość bazowa lub wartość odniesienia</w:t>
            </w:r>
          </w:p>
        </w:tc>
        <w:tc>
          <w:tcPr>
            <w:tcW w:w="336" w:type="pct"/>
            <w:shd w:val="clear" w:color="auto" w:fill="auto"/>
            <w:textDirection w:val="btLr"/>
            <w:vAlign w:val="center"/>
          </w:tcPr>
          <w:p w14:paraId="614777AC"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Rok referencyjny</w:t>
            </w:r>
          </w:p>
          <w:p w14:paraId="0DC6E059" w14:textId="77777777" w:rsidR="00F64240" w:rsidRPr="003A6407" w:rsidRDefault="00F64240" w:rsidP="001D52F2">
            <w:pPr>
              <w:spacing w:before="120" w:after="120" w:line="240" w:lineRule="auto"/>
              <w:ind w:left="113" w:right="113"/>
              <w:jc w:val="center"/>
              <w:rPr>
                <w:rFonts w:eastAsia="Calibri" w:cs="Calibri"/>
                <w:b/>
                <w:noProof/>
                <w:sz w:val="16"/>
                <w:szCs w:val="16"/>
              </w:rPr>
            </w:pPr>
          </w:p>
        </w:tc>
        <w:tc>
          <w:tcPr>
            <w:tcW w:w="411" w:type="pct"/>
            <w:shd w:val="clear" w:color="auto" w:fill="auto"/>
            <w:vAlign w:val="center"/>
          </w:tcPr>
          <w:p w14:paraId="21996829"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153DBEB8" w14:textId="77777777" w:rsidR="00F64240" w:rsidRPr="003A6407" w:rsidRDefault="00F64240" w:rsidP="001D52F2">
            <w:pPr>
              <w:spacing w:before="120" w:after="120" w:line="240" w:lineRule="auto"/>
              <w:jc w:val="center"/>
              <w:rPr>
                <w:rFonts w:eastAsia="Times New Roman" w:cs="Calibri"/>
                <w:b/>
                <w:noProof/>
                <w:sz w:val="16"/>
                <w:szCs w:val="16"/>
                <w:lang w:eastAsia="pl-PL"/>
              </w:rPr>
            </w:pPr>
          </w:p>
        </w:tc>
        <w:tc>
          <w:tcPr>
            <w:tcW w:w="408" w:type="pct"/>
            <w:vAlign w:val="center"/>
          </w:tcPr>
          <w:p w14:paraId="7CCA59CE" w14:textId="77777777" w:rsidR="00F64240" w:rsidRPr="003A6407" w:rsidRDefault="00F64240" w:rsidP="001D52F2">
            <w:pPr>
              <w:spacing w:before="120" w:after="120" w:line="240" w:lineRule="auto"/>
              <w:jc w:val="center"/>
              <w:rPr>
                <w:rFonts w:eastAsia="Times New Roman" w:cs="Calibri"/>
                <w:b/>
                <w:noProof/>
                <w:sz w:val="16"/>
                <w:szCs w:val="16"/>
                <w:lang w:eastAsia="pl-PL"/>
              </w:rPr>
            </w:pPr>
            <w:r w:rsidRPr="003A6407">
              <w:rPr>
                <w:rFonts w:eastAsia="Calibri" w:cs="Times New Roman"/>
                <w:b/>
                <w:noProof/>
                <w:sz w:val="16"/>
                <w:szCs w:val="16"/>
                <w:lang w:eastAsia="pl-PL"/>
              </w:rPr>
              <w:t>Źródło danych [200]</w:t>
            </w:r>
          </w:p>
        </w:tc>
        <w:tc>
          <w:tcPr>
            <w:tcW w:w="406" w:type="pct"/>
            <w:vAlign w:val="center"/>
          </w:tcPr>
          <w:p w14:paraId="79E4202E" w14:textId="77777777" w:rsidR="00F64240" w:rsidRPr="003A6407" w:rsidRDefault="00F64240" w:rsidP="001D52F2">
            <w:pPr>
              <w:spacing w:before="120" w:after="120" w:line="240" w:lineRule="auto"/>
              <w:jc w:val="center"/>
              <w:rPr>
                <w:rFonts w:eastAsia="Times New Roman" w:cs="Calibri"/>
                <w:b/>
                <w:noProof/>
                <w:sz w:val="16"/>
                <w:szCs w:val="16"/>
                <w:lang w:eastAsia="pl-PL"/>
              </w:rPr>
            </w:pPr>
            <w:r w:rsidRPr="003A6407">
              <w:rPr>
                <w:rFonts w:eastAsia="Calibri" w:cs="Times New Roman"/>
                <w:b/>
                <w:noProof/>
                <w:sz w:val="16"/>
                <w:szCs w:val="16"/>
                <w:lang w:eastAsia="pl-PL"/>
              </w:rPr>
              <w:t>Uwagi [200]</w:t>
            </w:r>
          </w:p>
        </w:tc>
      </w:tr>
      <w:tr w:rsidR="00191FE2" w:rsidRPr="003A6407" w14:paraId="5F5397C1" w14:textId="77777777" w:rsidTr="001D52F2">
        <w:trPr>
          <w:trHeight w:val="340"/>
        </w:trPr>
        <w:tc>
          <w:tcPr>
            <w:tcW w:w="337" w:type="pct"/>
            <w:vAlign w:val="center"/>
          </w:tcPr>
          <w:p w14:paraId="11D6689E" w14:textId="77777777" w:rsidR="00F64240" w:rsidRDefault="00F64240"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6 (i)</w:t>
            </w:r>
          </w:p>
          <w:p w14:paraId="6304ED84" w14:textId="6931D932" w:rsidR="00E37971" w:rsidRPr="003A6407" w:rsidRDefault="00E37971" w:rsidP="001D52F2">
            <w:pPr>
              <w:spacing w:before="120" w:after="120" w:line="240" w:lineRule="auto"/>
              <w:jc w:val="center"/>
              <w:rPr>
                <w:rFonts w:eastAsia="Times New Roman" w:cs="Calibri"/>
                <w:noProof/>
                <w:sz w:val="16"/>
                <w:szCs w:val="16"/>
                <w:lang w:eastAsia="pl-PL"/>
              </w:rPr>
            </w:pPr>
            <w:r>
              <w:rPr>
                <w:rFonts w:eastAsia="Times New Roman" w:cs="Calibri"/>
                <w:noProof/>
                <w:sz w:val="16"/>
                <w:szCs w:val="16"/>
                <w:lang w:eastAsia="pl-PL"/>
              </w:rPr>
              <w:t>8.1</w:t>
            </w:r>
          </w:p>
        </w:tc>
        <w:tc>
          <w:tcPr>
            <w:tcW w:w="368" w:type="pct"/>
            <w:vAlign w:val="center"/>
          </w:tcPr>
          <w:p w14:paraId="4F18BDB7" w14:textId="77777777" w:rsidR="00F64240" w:rsidRPr="003A6407" w:rsidRDefault="00F64240"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FST</w:t>
            </w:r>
          </w:p>
        </w:tc>
        <w:tc>
          <w:tcPr>
            <w:tcW w:w="415" w:type="pct"/>
            <w:vAlign w:val="center"/>
          </w:tcPr>
          <w:p w14:paraId="0332EA61" w14:textId="77777777" w:rsidR="00F64240" w:rsidRPr="003A6407" w:rsidRDefault="00F64240"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przejściowy</w:t>
            </w:r>
          </w:p>
        </w:tc>
        <w:tc>
          <w:tcPr>
            <w:tcW w:w="468" w:type="pct"/>
            <w:vAlign w:val="center"/>
          </w:tcPr>
          <w:p w14:paraId="535636FF" w14:textId="77777777" w:rsidR="00F64240" w:rsidRPr="003A6407" w:rsidRDefault="00F64240"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RCR64</w:t>
            </w:r>
          </w:p>
        </w:tc>
        <w:tc>
          <w:tcPr>
            <w:tcW w:w="848" w:type="pct"/>
            <w:shd w:val="clear" w:color="auto" w:fill="auto"/>
            <w:vAlign w:val="center"/>
          </w:tcPr>
          <w:p w14:paraId="2D88B17A" w14:textId="77777777" w:rsidR="00F64240" w:rsidRPr="003A6407" w:rsidRDefault="00F64240" w:rsidP="001D52F2">
            <w:pPr>
              <w:keepNext/>
              <w:keepLines/>
              <w:spacing w:before="200" w:after="0"/>
              <w:jc w:val="center"/>
              <w:outlineLvl w:val="2"/>
              <w:rPr>
                <w:rFonts w:eastAsia="Times New Roman" w:cs="Calibri"/>
                <w:noProof/>
                <w:sz w:val="16"/>
                <w:szCs w:val="16"/>
                <w:lang w:eastAsia="pl-PL"/>
              </w:rPr>
            </w:pPr>
            <w:bookmarkStart w:id="463" w:name="_Toc98189051"/>
            <w:bookmarkStart w:id="464" w:name="_Toc120464551"/>
            <w:r w:rsidRPr="003A6407">
              <w:rPr>
                <w:rFonts w:asciiTheme="minorHAnsi" w:eastAsia="Times New Roman" w:hAnsiTheme="minorHAnsi" w:cstheme="minorHAnsi"/>
                <w:bCs/>
                <w:noProof/>
                <w:sz w:val="16"/>
                <w:szCs w:val="16"/>
              </w:rPr>
              <w:t>Roczna liczba uzytkowników infrastruktury rowerowej</w:t>
            </w:r>
            <w:bookmarkEnd w:id="463"/>
            <w:bookmarkEnd w:id="464"/>
          </w:p>
        </w:tc>
        <w:tc>
          <w:tcPr>
            <w:tcW w:w="408" w:type="pct"/>
            <w:vAlign w:val="center"/>
          </w:tcPr>
          <w:p w14:paraId="700D61D2" w14:textId="77777777" w:rsidR="00F64240" w:rsidRPr="003A6407" w:rsidRDefault="00F64240"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Użytkownicy/rok</w:t>
            </w:r>
          </w:p>
        </w:tc>
        <w:tc>
          <w:tcPr>
            <w:tcW w:w="595" w:type="pct"/>
            <w:vAlign w:val="center"/>
          </w:tcPr>
          <w:p w14:paraId="4C6EA096" w14:textId="216FC80D" w:rsidR="00F64240" w:rsidRPr="003A6407" w:rsidRDefault="009E03DD"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0,00</w:t>
            </w:r>
          </w:p>
        </w:tc>
        <w:tc>
          <w:tcPr>
            <w:tcW w:w="336" w:type="pct"/>
            <w:shd w:val="clear" w:color="auto" w:fill="auto"/>
            <w:vAlign w:val="center"/>
          </w:tcPr>
          <w:p w14:paraId="4B137887" w14:textId="16E82C3A" w:rsidR="00F64240" w:rsidRPr="003A6407" w:rsidRDefault="009E03DD"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2022</w:t>
            </w:r>
          </w:p>
        </w:tc>
        <w:tc>
          <w:tcPr>
            <w:tcW w:w="411" w:type="pct"/>
            <w:shd w:val="clear" w:color="auto" w:fill="auto"/>
            <w:vAlign w:val="center"/>
          </w:tcPr>
          <w:p w14:paraId="4503AB4F" w14:textId="25C7C1A1" w:rsidR="00F64240" w:rsidRPr="003A6407" w:rsidRDefault="00F64240"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67 017</w:t>
            </w:r>
          </w:p>
        </w:tc>
        <w:tc>
          <w:tcPr>
            <w:tcW w:w="408" w:type="pct"/>
            <w:vAlign w:val="center"/>
          </w:tcPr>
          <w:p w14:paraId="38CFCE7D" w14:textId="756E18AB" w:rsidR="00F64240" w:rsidRPr="003A6407" w:rsidRDefault="009E03DD" w:rsidP="001D52F2">
            <w:pPr>
              <w:spacing w:before="120" w:after="120" w:line="240" w:lineRule="auto"/>
              <w:jc w:val="center"/>
              <w:rPr>
                <w:rFonts w:eastAsia="Times New Roman" w:cs="Calibri"/>
                <w:noProof/>
                <w:sz w:val="16"/>
                <w:szCs w:val="16"/>
                <w:lang w:eastAsia="pl-PL"/>
              </w:rPr>
            </w:pPr>
            <w:r w:rsidRPr="003A6407">
              <w:rPr>
                <w:rFonts w:eastAsia="Times New Roman" w:cs="Calibri"/>
                <w:noProof/>
                <w:sz w:val="16"/>
                <w:szCs w:val="16"/>
                <w:lang w:eastAsia="pl-PL"/>
              </w:rPr>
              <w:t>SL</w:t>
            </w:r>
          </w:p>
        </w:tc>
        <w:tc>
          <w:tcPr>
            <w:tcW w:w="406" w:type="pct"/>
            <w:vAlign w:val="center"/>
          </w:tcPr>
          <w:p w14:paraId="1731749E" w14:textId="77777777" w:rsidR="00F64240" w:rsidRPr="003A6407" w:rsidRDefault="00F64240" w:rsidP="001D52F2">
            <w:pPr>
              <w:spacing w:before="120" w:after="120" w:line="240" w:lineRule="auto"/>
              <w:jc w:val="center"/>
              <w:rPr>
                <w:rFonts w:eastAsia="Times New Roman" w:cs="Calibri"/>
                <w:noProof/>
                <w:sz w:val="16"/>
                <w:szCs w:val="16"/>
                <w:lang w:eastAsia="pl-PL"/>
              </w:rPr>
            </w:pPr>
          </w:p>
        </w:tc>
      </w:tr>
      <w:tr w:rsidR="00F64240" w:rsidRPr="003A6407" w14:paraId="07BE290C" w14:textId="77777777" w:rsidTr="002B58A1">
        <w:trPr>
          <w:trHeight w:val="340"/>
        </w:trPr>
        <w:tc>
          <w:tcPr>
            <w:tcW w:w="5000" w:type="pct"/>
            <w:gridSpan w:val="11"/>
          </w:tcPr>
          <w:p w14:paraId="24F1B675" w14:textId="77777777" w:rsidR="00F64240" w:rsidRPr="003A6407" w:rsidRDefault="00F64240" w:rsidP="006E4BFD">
            <w:pPr>
              <w:spacing w:after="160" w:line="256" w:lineRule="auto"/>
              <w:jc w:val="both"/>
              <w:rPr>
                <w:rFonts w:eastAsia="Times New Roman" w:cs="Calibri"/>
                <w:lang w:eastAsia="pl-PL"/>
              </w:rPr>
            </w:pPr>
            <w:r w:rsidRPr="003A6407">
              <w:rPr>
                <w:rFonts w:eastAsia="Times New Roman" w:cs="Calibri"/>
                <w:lang w:eastAsia="pl-PL"/>
              </w:rPr>
              <w:t>Metodologia:</w:t>
            </w:r>
          </w:p>
          <w:p w14:paraId="67F17D32" w14:textId="77777777" w:rsidR="00F64240" w:rsidRPr="003A6407" w:rsidRDefault="00F64240" w:rsidP="006E4BFD">
            <w:pPr>
              <w:spacing w:after="160" w:line="256" w:lineRule="auto"/>
              <w:jc w:val="both"/>
              <w:rPr>
                <w:rFonts w:eastAsia="Times New Roman" w:cs="Calibri"/>
                <w:lang w:eastAsia="pl-PL"/>
              </w:rPr>
            </w:pPr>
            <w:r w:rsidRPr="003A6407">
              <w:rPr>
                <w:rFonts w:eastAsia="Times New Roman" w:cs="Calibri"/>
                <w:lang w:eastAsia="pl-PL"/>
              </w:rPr>
              <w:t xml:space="preserve">Wskaźnik wyliczono na podstawie uśrednionych kosztów jednostkowych dla wskaźników realizowanych w ramach CP2 EFRR dla celu szczegółowego vii Ochrona przyrody i klimat, celu szczegółowego viii mobilność miejska i aglomeracyjna oraz CP4 EFRR celu szczegółowego vi Zrównoważona kultura i turystyka. Koszt jednostkowy wynosi 259,5 PLN. </w:t>
            </w:r>
            <w:r w:rsidRPr="003A6407">
              <w:t>Koszt jednostkowy został skorygowany w oparciu o wartość inflacji na poziomie 15% i wynosi 298,43 PLN</w:t>
            </w:r>
          </w:p>
          <w:p w14:paraId="365CC713" w14:textId="77777777" w:rsidR="00F64240" w:rsidRPr="003A6407" w:rsidRDefault="00F64240" w:rsidP="006E4BFD">
            <w:pPr>
              <w:spacing w:after="160" w:line="256" w:lineRule="auto"/>
              <w:rPr>
                <w:rFonts w:eastAsia="Times New Roman" w:cs="Calibri"/>
                <w:lang w:eastAsia="pl-PL"/>
              </w:rPr>
            </w:pPr>
            <w:r w:rsidRPr="003A6407">
              <w:rPr>
                <w:rFonts w:eastAsia="Times New Roman" w:cs="Calibri"/>
                <w:lang w:eastAsia="pl-PL"/>
              </w:rPr>
              <w:t>Alokacja dostępna w ramach CP6 FST w ramach kodu interwencji:</w:t>
            </w:r>
          </w:p>
          <w:p w14:paraId="204DEA90" w14:textId="7B5C0E7C" w:rsidR="00F64240" w:rsidRPr="003A6407" w:rsidRDefault="00F64240" w:rsidP="006E4BFD">
            <w:pPr>
              <w:spacing w:after="160" w:line="256" w:lineRule="auto"/>
              <w:rPr>
                <w:rFonts w:eastAsia="Times New Roman" w:cs="Calibri"/>
                <w:lang w:eastAsia="pl-PL"/>
              </w:rPr>
            </w:pPr>
            <w:r w:rsidRPr="003A6407">
              <w:rPr>
                <w:rFonts w:eastAsia="Times New Roman" w:cs="Calibri"/>
                <w:lang w:eastAsia="pl-PL"/>
              </w:rPr>
              <w:t>083 Infrastruktura rowerowa: 20 000 000 EUR</w:t>
            </w:r>
          </w:p>
          <w:p w14:paraId="682C54CD" w14:textId="56425850" w:rsidR="00F64240" w:rsidRPr="003A6407" w:rsidRDefault="00F64240" w:rsidP="006E4BFD">
            <w:pPr>
              <w:spacing w:after="160" w:line="256" w:lineRule="auto"/>
              <w:jc w:val="both"/>
              <w:rPr>
                <w:rFonts w:eastAsia="Times New Roman" w:cs="Calibri"/>
                <w:lang w:eastAsia="pl-PL"/>
              </w:rPr>
            </w:pPr>
            <w:r w:rsidRPr="003A6407">
              <w:rPr>
                <w:rFonts w:eastAsia="Times New Roman" w:cs="Calibri"/>
                <w:lang w:eastAsia="pl-PL"/>
              </w:rPr>
              <w:t>Wyliczenie wartości wskaźnika: 20 000 000 / 298,43 = 67 017</w:t>
            </w:r>
          </w:p>
        </w:tc>
      </w:tr>
    </w:tbl>
    <w:p w14:paraId="25396C68" w14:textId="77777777" w:rsidR="00F64240" w:rsidRPr="003A6407" w:rsidRDefault="00F64240" w:rsidP="0005785F">
      <w:pPr>
        <w:spacing w:after="160" w:line="256" w:lineRule="auto"/>
        <w:rPr>
          <w:rFonts w:eastAsia="Times New Roman" w:cs="Calibri"/>
          <w:lang w:eastAsia="pl-PL"/>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67"/>
        <w:gridCol w:w="752"/>
        <w:gridCol w:w="658"/>
        <w:gridCol w:w="1730"/>
        <w:gridCol w:w="741"/>
        <w:gridCol w:w="1071"/>
        <w:gridCol w:w="618"/>
        <w:gridCol w:w="741"/>
        <w:gridCol w:w="737"/>
        <w:gridCol w:w="732"/>
      </w:tblGrid>
      <w:tr w:rsidR="00191FE2" w:rsidRPr="003A6407" w14:paraId="7DCE9174" w14:textId="77777777" w:rsidTr="001D52F2">
        <w:trPr>
          <w:cantSplit/>
          <w:trHeight w:val="2049"/>
        </w:trPr>
        <w:tc>
          <w:tcPr>
            <w:tcW w:w="338" w:type="pct"/>
            <w:vAlign w:val="center"/>
          </w:tcPr>
          <w:p w14:paraId="27008A5B"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CP 6</w:t>
            </w:r>
          </w:p>
          <w:p w14:paraId="5AC87DDA" w14:textId="77777777" w:rsidR="00F64240" w:rsidRPr="003A6407" w:rsidRDefault="00F64240" w:rsidP="001D52F2">
            <w:pPr>
              <w:spacing w:before="120" w:after="120" w:line="240" w:lineRule="auto"/>
              <w:jc w:val="center"/>
              <w:rPr>
                <w:rFonts w:eastAsia="Calibri" w:cs="Calibri"/>
                <w:b/>
                <w:noProof/>
                <w:sz w:val="16"/>
                <w:szCs w:val="16"/>
              </w:rPr>
            </w:pPr>
          </w:p>
        </w:tc>
        <w:tc>
          <w:tcPr>
            <w:tcW w:w="368" w:type="pct"/>
            <w:vAlign w:val="center"/>
          </w:tcPr>
          <w:p w14:paraId="58910842"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Fundusz</w:t>
            </w:r>
          </w:p>
        </w:tc>
        <w:tc>
          <w:tcPr>
            <w:tcW w:w="415" w:type="pct"/>
            <w:vAlign w:val="center"/>
          </w:tcPr>
          <w:p w14:paraId="4EF6B3A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Kategoria regionu</w:t>
            </w:r>
          </w:p>
        </w:tc>
        <w:tc>
          <w:tcPr>
            <w:tcW w:w="363" w:type="pct"/>
            <w:textDirection w:val="btLr"/>
            <w:vAlign w:val="center"/>
          </w:tcPr>
          <w:p w14:paraId="6957DCAC"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Nr identyfikacyjny [5]</w:t>
            </w:r>
          </w:p>
        </w:tc>
        <w:tc>
          <w:tcPr>
            <w:tcW w:w="955" w:type="pct"/>
            <w:shd w:val="clear" w:color="auto" w:fill="auto"/>
            <w:vAlign w:val="center"/>
          </w:tcPr>
          <w:p w14:paraId="6AB990BE" w14:textId="669AF8F1"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Wskaźnik [255]</w:t>
            </w:r>
          </w:p>
        </w:tc>
        <w:tc>
          <w:tcPr>
            <w:tcW w:w="409" w:type="pct"/>
            <w:textDirection w:val="btLr"/>
            <w:vAlign w:val="center"/>
          </w:tcPr>
          <w:p w14:paraId="6BF2B631"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Jednostka miary</w:t>
            </w:r>
          </w:p>
        </w:tc>
        <w:tc>
          <w:tcPr>
            <w:tcW w:w="591" w:type="pct"/>
            <w:textDirection w:val="btLr"/>
            <w:vAlign w:val="center"/>
          </w:tcPr>
          <w:p w14:paraId="59446897"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Wartość bazowa lub wartość odniesienia</w:t>
            </w:r>
          </w:p>
        </w:tc>
        <w:tc>
          <w:tcPr>
            <w:tcW w:w="341" w:type="pct"/>
            <w:shd w:val="clear" w:color="auto" w:fill="auto"/>
            <w:textDirection w:val="btLr"/>
            <w:vAlign w:val="center"/>
          </w:tcPr>
          <w:p w14:paraId="306D4D30" w14:textId="77777777" w:rsidR="00F64240" w:rsidRPr="003A6407" w:rsidRDefault="00F64240" w:rsidP="001D52F2">
            <w:pPr>
              <w:spacing w:before="120" w:after="120" w:line="240" w:lineRule="auto"/>
              <w:ind w:left="113" w:right="113"/>
              <w:jc w:val="center"/>
              <w:rPr>
                <w:rFonts w:eastAsia="Calibri" w:cs="Calibri"/>
                <w:b/>
                <w:noProof/>
                <w:sz w:val="16"/>
                <w:szCs w:val="16"/>
              </w:rPr>
            </w:pPr>
            <w:r w:rsidRPr="003A6407">
              <w:rPr>
                <w:rFonts w:eastAsia="Calibri" w:cs="Calibri"/>
                <w:b/>
                <w:noProof/>
                <w:sz w:val="16"/>
                <w:szCs w:val="16"/>
              </w:rPr>
              <w:t>Rok referencyjny</w:t>
            </w:r>
          </w:p>
          <w:p w14:paraId="6C36E63A" w14:textId="77777777" w:rsidR="00F64240" w:rsidRPr="003A6407" w:rsidRDefault="00F64240" w:rsidP="001D52F2">
            <w:pPr>
              <w:spacing w:before="120" w:after="120" w:line="240" w:lineRule="auto"/>
              <w:ind w:left="113" w:right="113"/>
              <w:jc w:val="center"/>
              <w:rPr>
                <w:rFonts w:eastAsia="Calibri" w:cs="Calibri"/>
                <w:b/>
                <w:noProof/>
                <w:sz w:val="16"/>
                <w:szCs w:val="16"/>
              </w:rPr>
            </w:pPr>
          </w:p>
        </w:tc>
        <w:tc>
          <w:tcPr>
            <w:tcW w:w="409" w:type="pct"/>
            <w:shd w:val="clear" w:color="auto" w:fill="auto"/>
            <w:vAlign w:val="center"/>
          </w:tcPr>
          <w:p w14:paraId="112B3D54"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Calibri"/>
                <w:b/>
                <w:noProof/>
                <w:sz w:val="16"/>
                <w:szCs w:val="16"/>
              </w:rPr>
              <w:t>Cel (2029)</w:t>
            </w:r>
          </w:p>
          <w:p w14:paraId="42DC758A" w14:textId="77777777" w:rsidR="00F64240" w:rsidRPr="003A6407" w:rsidRDefault="00F64240" w:rsidP="001D52F2">
            <w:pPr>
              <w:spacing w:before="120" w:after="120" w:line="240" w:lineRule="auto"/>
              <w:jc w:val="center"/>
              <w:rPr>
                <w:rFonts w:eastAsia="Calibri" w:cs="Calibri"/>
                <w:b/>
                <w:noProof/>
                <w:sz w:val="16"/>
                <w:szCs w:val="16"/>
              </w:rPr>
            </w:pPr>
          </w:p>
        </w:tc>
        <w:tc>
          <w:tcPr>
            <w:tcW w:w="407" w:type="pct"/>
            <w:vAlign w:val="center"/>
          </w:tcPr>
          <w:p w14:paraId="1E96078D"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Times New Roman"/>
                <w:b/>
                <w:noProof/>
                <w:sz w:val="16"/>
                <w:szCs w:val="16"/>
                <w:lang w:eastAsia="pl-PL"/>
              </w:rPr>
              <w:t>Źródło danych [200]</w:t>
            </w:r>
          </w:p>
        </w:tc>
        <w:tc>
          <w:tcPr>
            <w:tcW w:w="404" w:type="pct"/>
            <w:vAlign w:val="center"/>
          </w:tcPr>
          <w:p w14:paraId="7CAC6C95" w14:textId="77777777" w:rsidR="00F64240" w:rsidRPr="003A6407" w:rsidRDefault="00F64240" w:rsidP="001D52F2">
            <w:pPr>
              <w:spacing w:before="120" w:after="120" w:line="240" w:lineRule="auto"/>
              <w:jc w:val="center"/>
              <w:rPr>
                <w:rFonts w:eastAsia="Calibri" w:cs="Calibri"/>
                <w:b/>
                <w:noProof/>
                <w:sz w:val="16"/>
                <w:szCs w:val="16"/>
              </w:rPr>
            </w:pPr>
            <w:r w:rsidRPr="003A6407">
              <w:rPr>
                <w:rFonts w:eastAsia="Calibri" w:cs="Times New Roman"/>
                <w:b/>
                <w:noProof/>
                <w:sz w:val="16"/>
                <w:szCs w:val="16"/>
                <w:lang w:eastAsia="pl-PL"/>
              </w:rPr>
              <w:t>Uwagi [200]</w:t>
            </w:r>
          </w:p>
        </w:tc>
      </w:tr>
      <w:tr w:rsidR="00191FE2" w:rsidRPr="003A6407" w14:paraId="52C664A5" w14:textId="77777777" w:rsidTr="001D52F2">
        <w:trPr>
          <w:trHeight w:val="340"/>
        </w:trPr>
        <w:tc>
          <w:tcPr>
            <w:tcW w:w="338" w:type="pct"/>
            <w:vAlign w:val="center"/>
          </w:tcPr>
          <w:p w14:paraId="4DCD2223" w14:textId="77777777" w:rsidR="00F64240"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6 (i)</w:t>
            </w:r>
          </w:p>
          <w:p w14:paraId="78AEFCC2" w14:textId="643D05A2" w:rsidR="00E37971" w:rsidRPr="003A6407" w:rsidRDefault="00E37971" w:rsidP="001D52F2">
            <w:pPr>
              <w:spacing w:before="120" w:after="120" w:line="240" w:lineRule="auto"/>
              <w:jc w:val="center"/>
              <w:rPr>
                <w:rFonts w:eastAsia="Calibri" w:cs="Calibri"/>
                <w:noProof/>
                <w:sz w:val="16"/>
                <w:szCs w:val="16"/>
              </w:rPr>
            </w:pPr>
            <w:r>
              <w:rPr>
                <w:rFonts w:eastAsia="Calibri" w:cs="Calibri"/>
                <w:noProof/>
                <w:sz w:val="16"/>
                <w:szCs w:val="16"/>
              </w:rPr>
              <w:t>8.1</w:t>
            </w:r>
          </w:p>
        </w:tc>
        <w:tc>
          <w:tcPr>
            <w:tcW w:w="368" w:type="pct"/>
            <w:vAlign w:val="center"/>
          </w:tcPr>
          <w:p w14:paraId="6C2394C9"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FST</w:t>
            </w:r>
          </w:p>
        </w:tc>
        <w:tc>
          <w:tcPr>
            <w:tcW w:w="415" w:type="pct"/>
            <w:vAlign w:val="center"/>
          </w:tcPr>
          <w:p w14:paraId="2C0FDC08"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przejściowy</w:t>
            </w:r>
          </w:p>
        </w:tc>
        <w:tc>
          <w:tcPr>
            <w:tcW w:w="363" w:type="pct"/>
            <w:vAlign w:val="center"/>
          </w:tcPr>
          <w:p w14:paraId="7778DFDE"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RCR 31</w:t>
            </w:r>
          </w:p>
        </w:tc>
        <w:tc>
          <w:tcPr>
            <w:tcW w:w="955" w:type="pct"/>
            <w:shd w:val="clear" w:color="auto" w:fill="auto"/>
            <w:vAlign w:val="center"/>
          </w:tcPr>
          <w:p w14:paraId="733133FE" w14:textId="77777777" w:rsidR="00F64240" w:rsidRPr="003A6407" w:rsidRDefault="00F64240" w:rsidP="001D52F2">
            <w:pPr>
              <w:keepNext/>
              <w:keepLines/>
              <w:spacing w:before="200" w:after="0"/>
              <w:jc w:val="center"/>
              <w:outlineLvl w:val="2"/>
              <w:rPr>
                <w:rFonts w:asciiTheme="minorHAnsi" w:eastAsia="Times New Roman" w:hAnsiTheme="minorHAnsi" w:cstheme="minorHAnsi"/>
                <w:bCs/>
                <w:noProof/>
                <w:sz w:val="16"/>
                <w:szCs w:val="16"/>
              </w:rPr>
            </w:pPr>
            <w:bookmarkStart w:id="465" w:name="_Toc98189052"/>
            <w:bookmarkStart w:id="466" w:name="_Toc120464552"/>
            <w:r w:rsidRPr="003A6407">
              <w:rPr>
                <w:rFonts w:asciiTheme="minorHAnsi" w:eastAsia="Times New Roman" w:hAnsiTheme="minorHAnsi" w:cstheme="minorHAnsi"/>
                <w:bCs/>
                <w:noProof/>
                <w:sz w:val="16"/>
                <w:szCs w:val="16"/>
              </w:rPr>
              <w:t>Wytworzona energia odnawialna ogółem (w tym: energia elektryczna, energia cieplna)</w:t>
            </w:r>
            <w:bookmarkEnd w:id="465"/>
            <w:bookmarkEnd w:id="466"/>
          </w:p>
        </w:tc>
        <w:tc>
          <w:tcPr>
            <w:tcW w:w="409" w:type="pct"/>
            <w:vAlign w:val="center"/>
          </w:tcPr>
          <w:p w14:paraId="41A48A4A" w14:textId="77777777"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MW</w:t>
            </w:r>
          </w:p>
        </w:tc>
        <w:tc>
          <w:tcPr>
            <w:tcW w:w="591" w:type="pct"/>
            <w:vAlign w:val="center"/>
          </w:tcPr>
          <w:p w14:paraId="605A0BD4" w14:textId="7158664C"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0,00</w:t>
            </w:r>
          </w:p>
        </w:tc>
        <w:tc>
          <w:tcPr>
            <w:tcW w:w="341" w:type="pct"/>
            <w:shd w:val="clear" w:color="auto" w:fill="auto"/>
            <w:vAlign w:val="center"/>
          </w:tcPr>
          <w:p w14:paraId="7984A0C6" w14:textId="40B494F9"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2022</w:t>
            </w:r>
          </w:p>
        </w:tc>
        <w:tc>
          <w:tcPr>
            <w:tcW w:w="409" w:type="pct"/>
            <w:shd w:val="clear" w:color="auto" w:fill="auto"/>
            <w:vAlign w:val="center"/>
          </w:tcPr>
          <w:p w14:paraId="7018C72F" w14:textId="624D2232" w:rsidR="00F64240" w:rsidRPr="003A6407" w:rsidRDefault="00F64240" w:rsidP="001D52F2">
            <w:pPr>
              <w:spacing w:before="120" w:after="120" w:line="240" w:lineRule="auto"/>
              <w:jc w:val="center"/>
              <w:rPr>
                <w:rFonts w:eastAsia="Calibri" w:cs="Calibri"/>
                <w:noProof/>
                <w:sz w:val="16"/>
                <w:szCs w:val="16"/>
              </w:rPr>
            </w:pPr>
            <w:r w:rsidRPr="003A6407">
              <w:rPr>
                <w:rFonts w:eastAsia="Calibri" w:cs="Calibri"/>
                <w:noProof/>
                <w:sz w:val="16"/>
                <w:szCs w:val="16"/>
              </w:rPr>
              <w:t>56</w:t>
            </w:r>
          </w:p>
        </w:tc>
        <w:tc>
          <w:tcPr>
            <w:tcW w:w="407" w:type="pct"/>
            <w:vAlign w:val="center"/>
          </w:tcPr>
          <w:p w14:paraId="019E4EA3" w14:textId="2C8328E9" w:rsidR="00F64240" w:rsidRPr="003A6407" w:rsidRDefault="009E03DD" w:rsidP="001D52F2">
            <w:pPr>
              <w:spacing w:before="120" w:after="120" w:line="240" w:lineRule="auto"/>
              <w:jc w:val="center"/>
              <w:rPr>
                <w:rFonts w:eastAsia="Calibri" w:cs="Calibri"/>
                <w:noProof/>
                <w:sz w:val="16"/>
                <w:szCs w:val="16"/>
              </w:rPr>
            </w:pPr>
            <w:r w:rsidRPr="003A6407">
              <w:rPr>
                <w:rFonts w:eastAsia="Calibri" w:cs="Calibri"/>
                <w:noProof/>
                <w:sz w:val="16"/>
                <w:szCs w:val="16"/>
              </w:rPr>
              <w:t>SL</w:t>
            </w:r>
          </w:p>
        </w:tc>
        <w:tc>
          <w:tcPr>
            <w:tcW w:w="404" w:type="pct"/>
            <w:vAlign w:val="center"/>
          </w:tcPr>
          <w:p w14:paraId="313B80BB" w14:textId="77777777" w:rsidR="00F64240" w:rsidRPr="003A6407" w:rsidRDefault="00F64240" w:rsidP="001D52F2">
            <w:pPr>
              <w:spacing w:before="120" w:after="120" w:line="240" w:lineRule="auto"/>
              <w:jc w:val="center"/>
              <w:rPr>
                <w:rFonts w:eastAsia="Calibri" w:cs="Calibri"/>
                <w:noProof/>
                <w:sz w:val="16"/>
                <w:szCs w:val="16"/>
              </w:rPr>
            </w:pPr>
          </w:p>
        </w:tc>
      </w:tr>
      <w:tr w:rsidR="00F64240" w:rsidRPr="00412D9C" w14:paraId="3A5B0D80" w14:textId="77777777" w:rsidTr="002B58A1">
        <w:trPr>
          <w:trHeight w:val="340"/>
        </w:trPr>
        <w:tc>
          <w:tcPr>
            <w:tcW w:w="5000" w:type="pct"/>
            <w:gridSpan w:val="11"/>
          </w:tcPr>
          <w:p w14:paraId="200FE3B3"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Metodologia:</w:t>
            </w:r>
          </w:p>
          <w:p w14:paraId="1C9F0C6B" w14:textId="68774E5F" w:rsidR="00F64240" w:rsidRPr="003A6407" w:rsidRDefault="00F64240" w:rsidP="0005785F">
            <w:pPr>
              <w:spacing w:before="60" w:after="60" w:line="240" w:lineRule="auto"/>
              <w:jc w:val="both"/>
              <w:rPr>
                <w:rFonts w:eastAsia="Times New Roman" w:cs="Calibri"/>
                <w:bCs/>
                <w:noProof/>
                <w:lang w:eastAsia="pl-PL"/>
              </w:rPr>
            </w:pPr>
            <w:r w:rsidRPr="003A6407">
              <w:rPr>
                <w:rFonts w:eastAsia="Times New Roman" w:cs="Calibri"/>
                <w:lang w:eastAsia="pl-PL"/>
              </w:rPr>
              <w:t>Wskaźnik realizuje kody interwencji: 048 Energia odnawialna: słoneczna w kwocie 22 000 000 EUR, 049 Energia odnawialna: biomasa w kwocie 7 000 000 EUR oraz 052 Inne rodzaje energii odnawialnej (w tym energia geotermalna) w kwocie 10 841 727 EUR, o łącznej wartości 30 000 000 EUR. Uwzględniając (odejmując) koszty uproszczone na poziomie 7%, wartość alokacji realizującej dany wskaźnik wynosi 39 841 727 EUR</w:t>
            </w:r>
            <w:r w:rsidRPr="003A6407">
              <w:rPr>
                <w:rFonts w:eastAsia="Times New Roman" w:cs="Calibri"/>
                <w:bCs/>
                <w:noProof/>
                <w:lang w:eastAsia="pl-PL"/>
              </w:rPr>
              <w:t>.</w:t>
            </w:r>
          </w:p>
          <w:p w14:paraId="1CAC15CD" w14:textId="77777777" w:rsidR="00F64240" w:rsidRPr="003A6407" w:rsidRDefault="00F64240" w:rsidP="0005785F">
            <w:pPr>
              <w:spacing w:before="60" w:after="60" w:line="240" w:lineRule="auto"/>
              <w:jc w:val="both"/>
              <w:rPr>
                <w:rFonts w:eastAsia="Times New Roman" w:cs="Calibri"/>
                <w:lang w:eastAsia="pl-PL"/>
              </w:rPr>
            </w:pPr>
          </w:p>
          <w:p w14:paraId="10CD2467" w14:textId="72338DFF"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Historyczny kwalifikowalny koszt jednostkowy na bazie doświadczeń z perspektywy 2014-2020 wynosi 2 213 221,83 PLN</w:t>
            </w:r>
            <w:r w:rsidRPr="003A6407">
              <w:rPr>
                <w:rStyle w:val="Odwoanieprzypisudolnego"/>
                <w:rFonts w:eastAsia="Times New Roman" w:cs="Calibri"/>
                <w:lang w:eastAsia="pl-PL"/>
              </w:rPr>
              <w:footnoteReference w:id="8"/>
            </w:r>
            <w:r w:rsidRPr="003A6407">
              <w:rPr>
                <w:rFonts w:eastAsia="Times New Roman" w:cs="Calibri"/>
                <w:lang w:eastAsia="pl-PL"/>
              </w:rPr>
              <w:t xml:space="preserve">. </w:t>
            </w:r>
            <w:r w:rsidRPr="003A6407">
              <w:t xml:space="preserve">Koszt jednostkowy został skorygowany w oparciu o wartość inflacji na poziomie 15% i wynosi 2 545 205,10 PLN, </w:t>
            </w:r>
            <w:r w:rsidRPr="003A6407">
              <w:rPr>
                <w:rFonts w:eastAsia="Times New Roman" w:cs="Calibri"/>
                <w:lang w:eastAsia="pl-PL"/>
              </w:rPr>
              <w:t xml:space="preserve">a uwzględniając dofinansowanie na poziomie 70% wynosi 1 781 643,57 PLN; biorąc </w:t>
            </w:r>
            <w:r w:rsidRPr="003A6407">
              <w:rPr>
                <w:rFonts w:eastAsia="Times New Roman" w:cs="Calibri"/>
                <w:lang w:eastAsia="pl-PL"/>
              </w:rPr>
              <w:lastRenderedPageBreak/>
              <w:t xml:space="preserve">pod uwagę kurs EUR na poziomie 4,45 koszt jednostkowy wynosi 400 369,34 EUR; na podstawie tych danych wyliczono wartość wskaźnika. Jednocześnie na podstawie </w:t>
            </w:r>
            <w:proofErr w:type="spellStart"/>
            <w:r w:rsidRPr="003A6407">
              <w:rPr>
                <w:rFonts w:eastAsia="Times New Roman" w:cs="Calibri"/>
                <w:lang w:eastAsia="pl-PL"/>
              </w:rPr>
              <w:t>ryzyk</w:t>
            </w:r>
            <w:proofErr w:type="spellEnd"/>
            <w:r w:rsidRPr="003A6407">
              <w:rPr>
                <w:rFonts w:eastAsia="Times New Roman" w:cs="Calibri"/>
                <w:lang w:eastAsia="pl-PL"/>
              </w:rPr>
              <w:t xml:space="preserve"> związanych z realizacją tego typu projektów określono wskaźnik kompensacji:</w:t>
            </w:r>
          </w:p>
          <w:p w14:paraId="28FA4F79"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 xml:space="preserve"> </w:t>
            </w:r>
          </w:p>
          <w:p w14:paraId="25C79672"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R: [(6*25)+(3*68)]/9 = 39,3%</w:t>
            </w:r>
          </w:p>
          <w:p w14:paraId="74E363CF" w14:textId="77777777" w:rsidR="00F64240" w:rsidRPr="003A6407" w:rsidRDefault="00F64240" w:rsidP="0005785F">
            <w:pPr>
              <w:spacing w:before="60" w:after="60" w:line="240" w:lineRule="auto"/>
              <w:jc w:val="both"/>
              <w:rPr>
                <w:rFonts w:eastAsia="Times New Roman" w:cs="Calibri"/>
                <w:lang w:eastAsia="pl-PL"/>
              </w:rPr>
            </w:pPr>
          </w:p>
          <w:p w14:paraId="5278F894"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Wyliczenie:</w:t>
            </w:r>
          </w:p>
          <w:p w14:paraId="05E533B0" w14:textId="44C0B8C4"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39 841 727 / 400 369,34 * (1-0,393) = 56 MW</w:t>
            </w:r>
          </w:p>
          <w:p w14:paraId="44FCAC52" w14:textId="77777777" w:rsidR="00F64240" w:rsidRPr="003A6407" w:rsidRDefault="00F64240" w:rsidP="0005785F">
            <w:pPr>
              <w:spacing w:before="60" w:after="60" w:line="240" w:lineRule="auto"/>
              <w:jc w:val="both"/>
              <w:rPr>
                <w:rFonts w:eastAsia="Times New Roman" w:cs="Calibri"/>
                <w:lang w:eastAsia="pl-PL"/>
              </w:rPr>
            </w:pPr>
          </w:p>
          <w:p w14:paraId="2C6BA746"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Należy zwrócić szczególną uwagę na następujące czynniki ryzyka, które może mogą mieć wpływ na poziom osiągnięcia założonej wartości docelowej:</w:t>
            </w:r>
          </w:p>
          <w:p w14:paraId="38FCE7F8"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 xml:space="preserve">ryzyko wzrostu cen </w:t>
            </w:r>
            <w:r w:rsidRPr="003A6407">
              <w:rPr>
                <w:rFonts w:eastAsia="Times New Roman" w:cs="Calibri"/>
                <w:lang w:eastAsia="pl-PL"/>
              </w:rPr>
              <w:t>- ryzyko związane ze wzrostem cen materiałów, surowców, sprzętu i usług; ryzyko związane z poziomem inflacji również obciążenia fiskalne; (istotność: poważna)</w:t>
            </w:r>
          </w:p>
          <w:p w14:paraId="595BF021"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ryzyko walutowe</w:t>
            </w:r>
            <w:r w:rsidRPr="003A6407">
              <w:rPr>
                <w:rFonts w:eastAsia="Times New Roman" w:cs="Calibri"/>
                <w:lang w:eastAsia="pl-P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(istotność: umiarkowana)</w:t>
            </w:r>
          </w:p>
          <w:p w14:paraId="3718166D"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zawieszenie płatności przez KE dla danej osi priorytetowej</w:t>
            </w:r>
            <w:r w:rsidRPr="003A6407">
              <w:rPr>
                <w:rFonts w:eastAsia="Times New Roman" w:cs="Calibri"/>
                <w:lang w:eastAsia="pl-PL"/>
              </w:rPr>
              <w:t>; (istotność: umiarkowana)</w:t>
            </w:r>
          </w:p>
          <w:p w14:paraId="322137C7"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bCs/>
                <w:lang w:eastAsia="pl-PL"/>
              </w:rPr>
              <w:t>czynniki które mogą wpłynąć na harmonogram realizacji planów działania dot. spełnienia warunków podstawowych,</w:t>
            </w:r>
            <w:r w:rsidRPr="003A6407">
              <w:rPr>
                <w:rFonts w:eastAsia="Times New Roman" w:cs="Calibri"/>
                <w:lang w:eastAsia="pl-PL"/>
              </w:rPr>
              <w:t xml:space="preserve"> a które są poza kompetencjami IZ oraz instytucji odpowiedzialnych za spełnienie tych warunków; (istotność: umiarkowana)</w:t>
            </w:r>
          </w:p>
          <w:p w14:paraId="3F65A183"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ostateczne ustalenia dot. występowania i poziomu pomocy publicznej</w:t>
            </w:r>
            <w:r w:rsidRPr="003A6407">
              <w:rPr>
                <w:rFonts w:eastAsia="Times New Roman" w:cs="Calibri"/>
                <w:lang w:eastAsia="pl-PL"/>
              </w:rPr>
              <w:t>; (istotność: umiarkowana)</w:t>
            </w:r>
          </w:p>
          <w:p w14:paraId="38F1FEB9" w14:textId="77777777" w:rsidR="00F64240" w:rsidRPr="003A6407" w:rsidRDefault="00F64240" w:rsidP="0005785F">
            <w:pPr>
              <w:spacing w:before="60" w:after="60" w:line="240" w:lineRule="auto"/>
              <w:jc w:val="both"/>
              <w:rPr>
                <w:rFonts w:eastAsia="Times New Roman" w:cs="Calibri"/>
                <w:lang w:eastAsia="pl-PL"/>
              </w:rPr>
            </w:pPr>
            <w:r w:rsidRPr="003A6407">
              <w:rPr>
                <w:rFonts w:eastAsia="Times New Roman" w:cs="Calibri"/>
                <w:lang w:eastAsia="pl-PL"/>
              </w:rPr>
              <w:t>•</w:t>
            </w:r>
            <w:r w:rsidRPr="003A6407">
              <w:rPr>
                <w:rFonts w:eastAsia="Times New Roman" w:cs="Calibri"/>
                <w:b/>
                <w:lang w:eastAsia="pl-PL"/>
              </w:rPr>
              <w:t>problemy z zabezpieczeniem</w:t>
            </w:r>
            <w:r w:rsidRPr="003A6407">
              <w:rPr>
                <w:rFonts w:eastAsia="Times New Roman" w:cs="Calibri"/>
                <w:lang w:eastAsia="pl-PL"/>
              </w:rPr>
              <w:t xml:space="preserve"> </w:t>
            </w:r>
            <w:r w:rsidRPr="003A6407">
              <w:rPr>
                <w:rFonts w:eastAsia="Times New Roman" w:cs="Calibri"/>
                <w:b/>
                <w:lang w:eastAsia="pl-PL"/>
              </w:rPr>
              <w:t>wkładu własnego wnioskodawcy</w:t>
            </w:r>
            <w:r w:rsidRPr="003A6407">
              <w:rPr>
                <w:rFonts w:eastAsia="Times New Roman" w:cs="Calibri"/>
                <w:lang w:eastAsia="pl-PL"/>
              </w:rPr>
              <w:t>; (istotność: umiarkowana)</w:t>
            </w:r>
          </w:p>
          <w:p w14:paraId="36C5DAC5" w14:textId="77777777" w:rsidR="00F64240" w:rsidRPr="003A6407" w:rsidRDefault="00F64240" w:rsidP="0005785F">
            <w:pPr>
              <w:spacing w:before="60" w:after="60" w:line="240" w:lineRule="auto"/>
              <w:jc w:val="both"/>
              <w:rPr>
                <w:rFonts w:eastAsia="Times New Roman" w:cs="Calibri"/>
                <w:b/>
                <w:lang w:eastAsia="pl-PL"/>
              </w:rPr>
            </w:pPr>
            <w:r w:rsidRPr="003A6407">
              <w:rPr>
                <w:rFonts w:eastAsia="Times New Roman" w:cs="Calibri"/>
                <w:b/>
                <w:lang w:eastAsia="pl-PL"/>
              </w:rPr>
              <w:t xml:space="preserve">•opóźnienia, </w:t>
            </w:r>
            <w:r w:rsidRPr="003A6407">
              <w:rPr>
                <w:rFonts w:eastAsia="Times New Roman" w:cs="Calibri"/>
                <w:bCs/>
                <w:lang w:eastAsia="pl-PL"/>
              </w:rPr>
              <w:t>bądź niewykonanie projektu związane z uzyskiwaniem pozwoleń i decyzji środowiskowych, procedurami wynikającymi z zamówień publicznych; (istotność: poważna)</w:t>
            </w:r>
          </w:p>
          <w:p w14:paraId="5F66900E" w14:textId="77777777" w:rsidR="00F64240" w:rsidRPr="003A6407" w:rsidRDefault="00F64240" w:rsidP="0005785F">
            <w:pPr>
              <w:spacing w:before="60" w:after="60" w:line="240" w:lineRule="auto"/>
              <w:jc w:val="both"/>
              <w:rPr>
                <w:rFonts w:eastAsia="Times New Roman" w:cs="Calibri"/>
                <w:bCs/>
                <w:lang w:eastAsia="pl-PL"/>
              </w:rPr>
            </w:pPr>
            <w:r w:rsidRPr="003A6407">
              <w:rPr>
                <w:rFonts w:eastAsia="Times New Roman" w:cs="Calibri"/>
                <w:b/>
                <w:lang w:eastAsia="pl-PL"/>
              </w:rPr>
              <w:t xml:space="preserve">•zmiany w uwarunkowaniach prawnych mające wpływ na planowanie i realizację projektu; </w:t>
            </w:r>
            <w:r w:rsidRPr="003A6407">
              <w:rPr>
                <w:rFonts w:eastAsia="Times New Roman" w:cs="Calibri"/>
                <w:bCs/>
                <w:lang w:eastAsia="pl-PL"/>
              </w:rPr>
              <w:t>(istotność: poważna)</w:t>
            </w:r>
          </w:p>
          <w:p w14:paraId="7CB156C7" w14:textId="77777777" w:rsidR="00F64240" w:rsidRPr="00412D9C" w:rsidRDefault="00F64240" w:rsidP="0005785F">
            <w:pPr>
              <w:spacing w:before="60" w:after="60" w:line="240" w:lineRule="auto"/>
              <w:jc w:val="both"/>
              <w:rPr>
                <w:rFonts w:eastAsia="Times New Roman" w:cs="Calibri"/>
                <w:lang w:eastAsia="pl-PL"/>
              </w:rPr>
            </w:pPr>
            <w:r w:rsidRPr="003A6407">
              <w:rPr>
                <w:rFonts w:eastAsia="Times New Roman" w:cs="Calibri"/>
                <w:b/>
                <w:lang w:eastAsia="pl-PL"/>
              </w:rPr>
              <w:t xml:space="preserve">•wpływ pandemii koronawirusa SARS-CoV-2 </w:t>
            </w:r>
            <w:r w:rsidRPr="003A6407">
              <w:rPr>
                <w:rFonts w:eastAsia="Times New Roman" w:cs="Calibri"/>
                <w:bCs/>
                <w:lang w:eastAsia="pl-PL"/>
              </w:rPr>
              <w:t>na możliwość terminowego pozyskiwania zgód i pozwoleń administracyjnych;</w:t>
            </w:r>
            <w:r w:rsidRPr="003A6407" w:rsidDel="00711950">
              <w:rPr>
                <w:rFonts w:eastAsia="Times New Roman" w:cs="Calibri"/>
                <w:bCs/>
                <w:lang w:eastAsia="pl-PL"/>
              </w:rPr>
              <w:t xml:space="preserve"> </w:t>
            </w:r>
            <w:r w:rsidRPr="003A6407">
              <w:rPr>
                <w:rFonts w:eastAsia="Times New Roman" w:cs="Calibri"/>
                <w:bCs/>
                <w:lang w:eastAsia="pl-PL"/>
              </w:rPr>
              <w:t>(istotność: umiarkowana)</w:t>
            </w:r>
          </w:p>
        </w:tc>
      </w:tr>
    </w:tbl>
    <w:p w14:paraId="5221AF0E" w14:textId="77777777" w:rsidR="00F64240" w:rsidRPr="00412D9C" w:rsidRDefault="00F64240" w:rsidP="00270B09">
      <w:pPr>
        <w:spacing w:after="0" w:line="360" w:lineRule="auto"/>
        <w:ind w:left="1440"/>
      </w:pPr>
    </w:p>
    <w:p w14:paraId="0FF6A17A" w14:textId="77777777" w:rsidR="002C7A7F" w:rsidRPr="00412D9C" w:rsidRDefault="002C7A7F" w:rsidP="002C7A7F">
      <w:pPr>
        <w:spacing w:after="0" w:line="360" w:lineRule="auto"/>
        <w:ind w:left="1440"/>
      </w:pPr>
    </w:p>
    <w:p w14:paraId="1720D463" w14:textId="33DB4EDD" w:rsidR="002C7A7F" w:rsidRDefault="00F9226D" w:rsidP="005A3B03">
      <w:pPr>
        <w:pStyle w:val="Nagwek1"/>
      </w:pPr>
      <w:bookmarkStart w:id="467" w:name="_Toc120464553"/>
      <w:r>
        <w:t>Pomoc techniczna EFRR</w:t>
      </w:r>
      <w:bookmarkEnd w:id="467"/>
    </w:p>
    <w:p w14:paraId="4AB844F2" w14:textId="77777777" w:rsidR="00F9226D" w:rsidRDefault="00F9226D" w:rsidP="00F9226D">
      <w:r>
        <w:t>Wskaźniki produktu PT EFRR</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797"/>
        <w:gridCol w:w="837"/>
        <w:gridCol w:w="690"/>
        <w:gridCol w:w="1327"/>
        <w:gridCol w:w="1879"/>
        <w:gridCol w:w="1874"/>
      </w:tblGrid>
      <w:tr w:rsidR="00F9226D" w:rsidRPr="004C1F30" w14:paraId="11F94389" w14:textId="77777777" w:rsidTr="00C25E98">
        <w:trPr>
          <w:trHeight w:val="1279"/>
          <w:jc w:val="right"/>
        </w:trPr>
        <w:tc>
          <w:tcPr>
            <w:tcW w:w="309" w:type="pct"/>
            <w:shd w:val="clear" w:color="auto" w:fill="DBE5F1"/>
            <w:vAlign w:val="center"/>
          </w:tcPr>
          <w:p w14:paraId="1A39D760" w14:textId="77777777" w:rsidR="00F9226D" w:rsidRPr="004C1F30" w:rsidRDefault="00F9226D" w:rsidP="00C25E98">
            <w:pPr>
              <w:spacing w:before="60" w:after="60" w:line="240" w:lineRule="auto"/>
              <w:jc w:val="center"/>
              <w:rPr>
                <w:b/>
                <w:sz w:val="18"/>
                <w:szCs w:val="18"/>
              </w:rPr>
            </w:pPr>
            <w:r w:rsidRPr="004C1F30">
              <w:rPr>
                <w:b/>
                <w:sz w:val="18"/>
                <w:szCs w:val="18"/>
              </w:rPr>
              <w:t>ID</w:t>
            </w:r>
          </w:p>
        </w:tc>
        <w:tc>
          <w:tcPr>
            <w:tcW w:w="1003" w:type="pct"/>
            <w:shd w:val="clear" w:color="auto" w:fill="DBE5F1"/>
            <w:vAlign w:val="center"/>
          </w:tcPr>
          <w:p w14:paraId="38084116" w14:textId="77777777" w:rsidR="00F9226D" w:rsidRPr="004C1F30" w:rsidRDefault="00F9226D" w:rsidP="00C25E98">
            <w:pPr>
              <w:spacing w:before="60" w:after="60" w:line="240" w:lineRule="auto"/>
              <w:jc w:val="center"/>
              <w:rPr>
                <w:b/>
                <w:sz w:val="18"/>
                <w:szCs w:val="18"/>
              </w:rPr>
            </w:pPr>
            <w:r w:rsidRPr="004C1F30">
              <w:rPr>
                <w:b/>
                <w:sz w:val="18"/>
                <w:szCs w:val="18"/>
              </w:rPr>
              <w:t>Wskaźnik</w:t>
            </w:r>
          </w:p>
        </w:tc>
        <w:tc>
          <w:tcPr>
            <w:tcW w:w="467" w:type="pct"/>
            <w:shd w:val="clear" w:color="auto" w:fill="DBE5F1"/>
            <w:vAlign w:val="center"/>
          </w:tcPr>
          <w:p w14:paraId="2FB5C036" w14:textId="77777777" w:rsidR="00F9226D" w:rsidRPr="004C1F30" w:rsidRDefault="00F9226D" w:rsidP="00C25E98">
            <w:pPr>
              <w:spacing w:before="60" w:after="60" w:line="240" w:lineRule="auto"/>
              <w:jc w:val="center"/>
              <w:rPr>
                <w:b/>
                <w:sz w:val="18"/>
                <w:szCs w:val="18"/>
              </w:rPr>
            </w:pPr>
            <w:r w:rsidRPr="004C1F30">
              <w:rPr>
                <w:b/>
                <w:sz w:val="18"/>
                <w:szCs w:val="18"/>
              </w:rPr>
              <w:t>Jednostka pomiaru</w:t>
            </w:r>
          </w:p>
        </w:tc>
        <w:tc>
          <w:tcPr>
            <w:tcW w:w="385" w:type="pct"/>
            <w:shd w:val="clear" w:color="auto" w:fill="DBE5F1"/>
            <w:vAlign w:val="center"/>
          </w:tcPr>
          <w:p w14:paraId="6A9B9B93" w14:textId="77777777" w:rsidR="00F9226D" w:rsidRPr="004C1F30" w:rsidRDefault="00F9226D" w:rsidP="00C25E98">
            <w:pPr>
              <w:spacing w:before="60" w:after="60" w:line="240" w:lineRule="auto"/>
              <w:jc w:val="center"/>
              <w:rPr>
                <w:b/>
                <w:sz w:val="18"/>
                <w:szCs w:val="18"/>
              </w:rPr>
            </w:pPr>
            <w:r w:rsidRPr="004C1F30">
              <w:rPr>
                <w:b/>
                <w:sz w:val="18"/>
                <w:szCs w:val="18"/>
              </w:rPr>
              <w:t>Fundusz</w:t>
            </w:r>
          </w:p>
        </w:tc>
        <w:tc>
          <w:tcPr>
            <w:tcW w:w="741" w:type="pct"/>
            <w:shd w:val="clear" w:color="auto" w:fill="DBE5F1"/>
            <w:vAlign w:val="center"/>
          </w:tcPr>
          <w:p w14:paraId="6EAC4CF0" w14:textId="77777777" w:rsidR="00F9226D" w:rsidRPr="004C1F30" w:rsidRDefault="00F9226D" w:rsidP="00C25E98">
            <w:pPr>
              <w:spacing w:before="60" w:after="60" w:line="240" w:lineRule="auto"/>
              <w:jc w:val="center"/>
              <w:rPr>
                <w:b/>
                <w:sz w:val="18"/>
                <w:szCs w:val="18"/>
              </w:rPr>
            </w:pPr>
            <w:r w:rsidRPr="004C1F30">
              <w:rPr>
                <w:b/>
                <w:sz w:val="18"/>
                <w:szCs w:val="18"/>
              </w:rPr>
              <w:t xml:space="preserve">Kategoria regionu </w:t>
            </w:r>
          </w:p>
          <w:p w14:paraId="63107AA9" w14:textId="77777777" w:rsidR="00F9226D" w:rsidRPr="004C1F30" w:rsidRDefault="00F9226D" w:rsidP="00C25E98">
            <w:pPr>
              <w:spacing w:before="60" w:after="60" w:line="240" w:lineRule="auto"/>
              <w:jc w:val="center"/>
              <w:rPr>
                <w:b/>
                <w:sz w:val="18"/>
                <w:szCs w:val="18"/>
              </w:rPr>
            </w:pPr>
            <w:r w:rsidRPr="004C1F30">
              <w:rPr>
                <w:b/>
                <w:sz w:val="18"/>
                <w:szCs w:val="18"/>
              </w:rPr>
              <w:t>(w stosownych przypadkach)</w:t>
            </w:r>
          </w:p>
        </w:tc>
        <w:tc>
          <w:tcPr>
            <w:tcW w:w="1049" w:type="pct"/>
            <w:shd w:val="clear" w:color="auto" w:fill="DBE5F1"/>
            <w:vAlign w:val="center"/>
          </w:tcPr>
          <w:p w14:paraId="0A3E9FC2" w14:textId="77777777" w:rsidR="00F9226D" w:rsidRPr="004C1F30" w:rsidRDefault="00F9226D" w:rsidP="00C25E98">
            <w:pPr>
              <w:spacing w:before="60" w:after="60" w:line="240" w:lineRule="auto"/>
              <w:jc w:val="center"/>
              <w:rPr>
                <w:b/>
                <w:sz w:val="18"/>
                <w:szCs w:val="18"/>
              </w:rPr>
            </w:pPr>
            <w:r>
              <w:rPr>
                <w:b/>
                <w:sz w:val="18"/>
                <w:szCs w:val="18"/>
              </w:rPr>
              <w:t>Cel pośredni (2024)</w:t>
            </w:r>
          </w:p>
        </w:tc>
        <w:tc>
          <w:tcPr>
            <w:tcW w:w="1046" w:type="pct"/>
            <w:shd w:val="clear" w:color="auto" w:fill="DBE5F1"/>
            <w:vAlign w:val="center"/>
          </w:tcPr>
          <w:p w14:paraId="1F837A58" w14:textId="77777777" w:rsidR="00F9226D" w:rsidRPr="004C1F30" w:rsidRDefault="00F9226D" w:rsidP="00C25E98">
            <w:pPr>
              <w:spacing w:before="60" w:after="60" w:line="240" w:lineRule="auto"/>
              <w:jc w:val="center"/>
              <w:rPr>
                <w:b/>
                <w:sz w:val="18"/>
                <w:szCs w:val="18"/>
              </w:rPr>
            </w:pPr>
            <w:r>
              <w:rPr>
                <w:b/>
                <w:sz w:val="18"/>
                <w:szCs w:val="18"/>
              </w:rPr>
              <w:t>Cel (2029)</w:t>
            </w:r>
          </w:p>
        </w:tc>
      </w:tr>
      <w:tr w:rsidR="00F9226D" w:rsidRPr="004C1F30" w14:paraId="47BB32FB" w14:textId="77777777" w:rsidTr="00C25E98">
        <w:trPr>
          <w:jc w:val="right"/>
        </w:trPr>
        <w:tc>
          <w:tcPr>
            <w:tcW w:w="309" w:type="pct"/>
            <w:vAlign w:val="center"/>
          </w:tcPr>
          <w:p w14:paraId="22A08FC6" w14:textId="77777777" w:rsidR="00F9226D" w:rsidRPr="004C1F30" w:rsidRDefault="00F9226D" w:rsidP="00C25E98">
            <w:pPr>
              <w:spacing w:before="60" w:after="60" w:line="240" w:lineRule="auto"/>
            </w:pPr>
            <w:r w:rsidRPr="004C1F30">
              <w:t>1.</w:t>
            </w:r>
          </w:p>
        </w:tc>
        <w:tc>
          <w:tcPr>
            <w:tcW w:w="1003" w:type="pct"/>
            <w:shd w:val="clear" w:color="auto" w:fill="FFFFFF" w:themeFill="background1"/>
            <w:vAlign w:val="center"/>
          </w:tcPr>
          <w:p w14:paraId="04B870D5" w14:textId="77777777" w:rsidR="00F9226D" w:rsidRPr="004C1F30" w:rsidRDefault="00F9226D" w:rsidP="00C25E98">
            <w:pPr>
              <w:spacing w:before="60" w:after="60" w:line="240" w:lineRule="auto"/>
              <w:rPr>
                <w:b/>
              </w:rPr>
            </w:pPr>
            <w:r w:rsidRPr="004C1F30">
              <w:rPr>
                <w:b/>
              </w:rPr>
              <w:t>Liczba uczestników form szkoleniowych dla instytucji</w:t>
            </w:r>
          </w:p>
        </w:tc>
        <w:tc>
          <w:tcPr>
            <w:tcW w:w="467" w:type="pct"/>
            <w:vAlign w:val="center"/>
          </w:tcPr>
          <w:p w14:paraId="32CD3CF3" w14:textId="77777777" w:rsidR="00F9226D" w:rsidRPr="004C1F30" w:rsidRDefault="00F9226D" w:rsidP="00C25E98">
            <w:pPr>
              <w:spacing w:before="60" w:after="60" w:line="240" w:lineRule="auto"/>
            </w:pPr>
            <w:r w:rsidRPr="004C1F30">
              <w:t xml:space="preserve">Osoba </w:t>
            </w:r>
          </w:p>
        </w:tc>
        <w:tc>
          <w:tcPr>
            <w:tcW w:w="385" w:type="pct"/>
            <w:vAlign w:val="center"/>
          </w:tcPr>
          <w:p w14:paraId="06A7F825" w14:textId="77777777" w:rsidR="00F9226D" w:rsidRPr="004C1F30" w:rsidRDefault="00F9226D" w:rsidP="00C25E98">
            <w:pPr>
              <w:spacing w:before="60" w:after="60" w:line="240" w:lineRule="auto"/>
            </w:pPr>
            <w:r>
              <w:t>EFRR</w:t>
            </w:r>
          </w:p>
        </w:tc>
        <w:tc>
          <w:tcPr>
            <w:tcW w:w="741" w:type="pct"/>
            <w:vAlign w:val="center"/>
          </w:tcPr>
          <w:p w14:paraId="74E749F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680CFD6A" w14:textId="77777777" w:rsidR="00F9226D" w:rsidRPr="004C1F30" w:rsidRDefault="00F9226D" w:rsidP="00C25E98">
            <w:pPr>
              <w:spacing w:before="60" w:after="60" w:line="240" w:lineRule="auto"/>
              <w:jc w:val="center"/>
            </w:pPr>
            <w:r>
              <w:t xml:space="preserve"> 1 452</w:t>
            </w:r>
          </w:p>
        </w:tc>
        <w:tc>
          <w:tcPr>
            <w:tcW w:w="1046" w:type="pct"/>
            <w:vAlign w:val="center"/>
          </w:tcPr>
          <w:p w14:paraId="5562BB60" w14:textId="77777777" w:rsidR="00F9226D" w:rsidRPr="004C1F30" w:rsidRDefault="00F9226D" w:rsidP="00C25E98">
            <w:pPr>
              <w:spacing w:before="60" w:after="60" w:line="240" w:lineRule="auto"/>
              <w:jc w:val="center"/>
            </w:pPr>
            <w:r>
              <w:t>3 267</w:t>
            </w:r>
          </w:p>
        </w:tc>
      </w:tr>
      <w:tr w:rsidR="00F9226D" w:rsidRPr="004C1F30" w14:paraId="52BB71FE" w14:textId="77777777" w:rsidTr="00C25E98">
        <w:trPr>
          <w:jc w:val="right"/>
        </w:trPr>
        <w:tc>
          <w:tcPr>
            <w:tcW w:w="5000" w:type="pct"/>
            <w:gridSpan w:val="7"/>
          </w:tcPr>
          <w:p w14:paraId="739FB09B" w14:textId="77777777" w:rsidR="00F9226D" w:rsidRDefault="00F9226D" w:rsidP="00C25E98">
            <w:pPr>
              <w:spacing w:before="60" w:after="60"/>
              <w:jc w:val="both"/>
              <w:rPr>
                <w:color w:val="404040"/>
              </w:rPr>
            </w:pPr>
            <w:r w:rsidRPr="003A41DD">
              <w:rPr>
                <w:color w:val="404040"/>
              </w:rPr>
              <w:t xml:space="preserve">Obliczając wartość wskaźnika należy zsumować wszystkich uczestników wszystkich form szkoleniowych przeprowadzonych dla pracowników instytucji (tj. szkoleń, warsztatów, seminariów, kursów, studiów, webinariów, itp.) finansowanych ze środków PT. Dana osoba powinna zostać policzona tyle razy, w ilu szkoleniach wzięła udział. Wskaźnik naliczany jest raz w momencie pierwszej płatności za formę szkoleniową.   </w:t>
            </w:r>
            <w:r w:rsidRPr="003A41DD">
              <w:rPr>
                <w:color w:val="404040"/>
              </w:rPr>
              <w:lastRenderedPageBreak/>
              <w:t>Certyfikaty/dyplomy/zaświadczenia lub inne dokumenty potwierdzające indywidualny udział w formie szkoleniowej  (lub ich potwierdzona za zgodność z oryginałem kserokopia) są przechowywane u beneficjenta i udostępniane kontrolerom projektu.   Poprzez „instytucje” rozumiane są instytucje funkcjonujące w systemie wdrażania polityki spójności w latach 2021-2027 w Polsce tj. np. Instytucje Zarządzające, Instytucje Pośredniczące, Instytucja Audytowa.</w:t>
            </w:r>
          </w:p>
          <w:p w14:paraId="504719F3" w14:textId="77777777" w:rsidR="00F9226D" w:rsidRPr="004C1F30" w:rsidRDefault="00F9226D" w:rsidP="00C25E98">
            <w:pPr>
              <w:spacing w:before="60" w:after="60"/>
              <w:jc w:val="both"/>
            </w:pPr>
            <w:r w:rsidRPr="003A41DD">
              <w:rPr>
                <w:color w:val="404040"/>
              </w:rPr>
              <w:t xml:space="preserve">Do wskaźnika nie są wliczane formy szkoleniowe </w:t>
            </w:r>
            <w:proofErr w:type="spellStart"/>
            <w:r w:rsidRPr="003A41DD">
              <w:rPr>
                <w:color w:val="404040"/>
              </w:rPr>
              <w:t>bezkosztowe</w:t>
            </w:r>
            <w:proofErr w:type="spellEnd"/>
            <w:r w:rsidRPr="003A41DD">
              <w:rPr>
                <w:color w:val="404040"/>
              </w:rPr>
              <w:t xml:space="preserve"> przy organizacji których nie są ponoszone żadne wydatki.</w:t>
            </w:r>
          </w:p>
        </w:tc>
      </w:tr>
      <w:tr w:rsidR="00F9226D" w:rsidRPr="004C1F30" w14:paraId="075D6815" w14:textId="77777777" w:rsidTr="00C25E98">
        <w:trPr>
          <w:jc w:val="right"/>
        </w:trPr>
        <w:tc>
          <w:tcPr>
            <w:tcW w:w="309" w:type="pct"/>
            <w:vAlign w:val="center"/>
          </w:tcPr>
          <w:p w14:paraId="7C10FAA1" w14:textId="77777777" w:rsidR="00F9226D" w:rsidRPr="004C1F30" w:rsidRDefault="00F9226D" w:rsidP="00C25E98">
            <w:pPr>
              <w:spacing w:before="60" w:after="60" w:line="240" w:lineRule="auto"/>
            </w:pPr>
            <w:r w:rsidRPr="004C1F30">
              <w:t>2.</w:t>
            </w:r>
          </w:p>
        </w:tc>
        <w:tc>
          <w:tcPr>
            <w:tcW w:w="1003" w:type="pct"/>
            <w:shd w:val="clear" w:color="auto" w:fill="FFFFFF" w:themeFill="background1"/>
            <w:vAlign w:val="center"/>
          </w:tcPr>
          <w:p w14:paraId="326BFF21" w14:textId="77777777" w:rsidR="00F9226D" w:rsidRPr="004C1F30" w:rsidRDefault="00F9226D" w:rsidP="00C25E98">
            <w:pPr>
              <w:spacing w:before="60" w:after="60" w:line="240" w:lineRule="auto"/>
              <w:rPr>
                <w:b/>
              </w:rPr>
            </w:pPr>
            <w:r w:rsidRPr="004C1F30">
              <w:rPr>
                <w:b/>
              </w:rPr>
              <w:t>Liczba posiedzeń komitetów</w:t>
            </w:r>
            <w:r>
              <w:rPr>
                <w:b/>
              </w:rPr>
              <w:t>,</w:t>
            </w:r>
            <w:r w:rsidRPr="004C1F30">
              <w:rPr>
                <w:b/>
              </w:rPr>
              <w:t xml:space="preserve"> sieci grup oraz innych </w:t>
            </w:r>
            <w:r>
              <w:rPr>
                <w:b/>
              </w:rPr>
              <w:t>spotkań w celu wymiany doświadczeń z partnerami</w:t>
            </w:r>
          </w:p>
        </w:tc>
        <w:tc>
          <w:tcPr>
            <w:tcW w:w="467" w:type="pct"/>
            <w:vAlign w:val="center"/>
          </w:tcPr>
          <w:p w14:paraId="74276C94" w14:textId="77777777" w:rsidR="00F9226D" w:rsidRPr="004C1F30" w:rsidRDefault="00F9226D" w:rsidP="00C25E98">
            <w:pPr>
              <w:spacing w:before="60" w:after="60" w:line="240" w:lineRule="auto"/>
            </w:pPr>
            <w:r w:rsidRPr="004C1F30">
              <w:t xml:space="preserve">Sztuka </w:t>
            </w:r>
          </w:p>
        </w:tc>
        <w:tc>
          <w:tcPr>
            <w:tcW w:w="385" w:type="pct"/>
            <w:vAlign w:val="center"/>
          </w:tcPr>
          <w:p w14:paraId="277D5092" w14:textId="77777777" w:rsidR="00F9226D" w:rsidRPr="004C1F30" w:rsidRDefault="00F9226D" w:rsidP="00C25E98">
            <w:pPr>
              <w:spacing w:before="60" w:after="60" w:line="240" w:lineRule="auto"/>
            </w:pPr>
            <w:r>
              <w:t>EFRR</w:t>
            </w:r>
          </w:p>
        </w:tc>
        <w:tc>
          <w:tcPr>
            <w:tcW w:w="741" w:type="pct"/>
            <w:vAlign w:val="center"/>
          </w:tcPr>
          <w:p w14:paraId="0D88AC9C"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4F529FA8" w14:textId="77777777" w:rsidR="00F9226D" w:rsidRPr="00F9226D" w:rsidRDefault="00F9226D" w:rsidP="00C25E98">
            <w:pPr>
              <w:spacing w:before="60" w:after="60" w:line="240" w:lineRule="auto"/>
              <w:jc w:val="center"/>
            </w:pPr>
            <w:r w:rsidRPr="00F9226D">
              <w:t>24</w:t>
            </w:r>
          </w:p>
        </w:tc>
        <w:tc>
          <w:tcPr>
            <w:tcW w:w="1046" w:type="pct"/>
            <w:vAlign w:val="center"/>
          </w:tcPr>
          <w:p w14:paraId="2FC3D8B5" w14:textId="77777777" w:rsidR="00F9226D" w:rsidRPr="00F9226D" w:rsidRDefault="00F9226D" w:rsidP="00C25E98">
            <w:pPr>
              <w:spacing w:before="60" w:after="60" w:line="240" w:lineRule="auto"/>
              <w:jc w:val="center"/>
            </w:pPr>
            <w:r w:rsidRPr="00F9226D">
              <w:t>54</w:t>
            </w:r>
          </w:p>
        </w:tc>
      </w:tr>
      <w:tr w:rsidR="00F9226D" w:rsidRPr="004C1F30" w14:paraId="1E896D1B" w14:textId="77777777" w:rsidTr="00C25E98">
        <w:trPr>
          <w:jc w:val="right"/>
        </w:trPr>
        <w:tc>
          <w:tcPr>
            <w:tcW w:w="5000" w:type="pct"/>
            <w:gridSpan w:val="7"/>
          </w:tcPr>
          <w:p w14:paraId="256E9651" w14:textId="77777777" w:rsidR="00F9226D" w:rsidRPr="004C1F30" w:rsidRDefault="00F9226D" w:rsidP="00C25E98">
            <w:pPr>
              <w:spacing w:before="60" w:after="60"/>
              <w:jc w:val="both"/>
            </w:pPr>
            <w:r w:rsidRPr="003A41DD">
              <w:t>Obliczając wartość wskaźnika należy zsumować liczbę zorganizowanych posiedzeń sieci tematycznych, grup roboczych, komitetów oraz innych ciał angażujących partnerów, które są finansowane z PT danego programu.</w:t>
            </w:r>
          </w:p>
        </w:tc>
      </w:tr>
      <w:tr w:rsidR="00F9226D" w:rsidRPr="004C1F30" w14:paraId="3C910267" w14:textId="77777777" w:rsidTr="00C25E98">
        <w:trPr>
          <w:jc w:val="right"/>
        </w:trPr>
        <w:tc>
          <w:tcPr>
            <w:tcW w:w="309" w:type="pct"/>
            <w:vAlign w:val="center"/>
          </w:tcPr>
          <w:p w14:paraId="192B69D2" w14:textId="77777777" w:rsidR="00F9226D" w:rsidRPr="004C1F30" w:rsidRDefault="00F9226D" w:rsidP="00C25E98">
            <w:pPr>
              <w:spacing w:before="60" w:after="60" w:line="240" w:lineRule="auto"/>
            </w:pPr>
            <w:r w:rsidRPr="004C1F30">
              <w:t xml:space="preserve">3. </w:t>
            </w:r>
          </w:p>
        </w:tc>
        <w:tc>
          <w:tcPr>
            <w:tcW w:w="1003" w:type="pct"/>
            <w:shd w:val="clear" w:color="auto" w:fill="FFFFFF" w:themeFill="background1"/>
            <w:vAlign w:val="center"/>
          </w:tcPr>
          <w:p w14:paraId="31875BEE" w14:textId="77777777" w:rsidR="00F9226D" w:rsidRPr="004C1F30" w:rsidRDefault="00F9226D" w:rsidP="00C25E98">
            <w:pPr>
              <w:spacing w:before="60" w:after="60" w:line="240" w:lineRule="auto"/>
              <w:rPr>
                <w:b/>
              </w:rPr>
            </w:pPr>
            <w:r>
              <w:rPr>
                <w:b/>
              </w:rPr>
              <w:t>Liczba zakupionych komputerów</w:t>
            </w:r>
          </w:p>
        </w:tc>
        <w:tc>
          <w:tcPr>
            <w:tcW w:w="467" w:type="pct"/>
            <w:vAlign w:val="center"/>
          </w:tcPr>
          <w:p w14:paraId="30DE8D9B" w14:textId="77777777" w:rsidR="00F9226D" w:rsidRPr="004C1F30" w:rsidRDefault="00F9226D" w:rsidP="00C25E98">
            <w:pPr>
              <w:spacing w:before="60" w:after="60" w:line="240" w:lineRule="auto"/>
            </w:pPr>
            <w:r w:rsidRPr="004C1F30">
              <w:t xml:space="preserve">Sztuka </w:t>
            </w:r>
          </w:p>
        </w:tc>
        <w:tc>
          <w:tcPr>
            <w:tcW w:w="385" w:type="pct"/>
            <w:vAlign w:val="center"/>
          </w:tcPr>
          <w:p w14:paraId="64EB4C79" w14:textId="77777777" w:rsidR="00F9226D" w:rsidRPr="004C1F30" w:rsidRDefault="00F9226D" w:rsidP="00C25E98">
            <w:pPr>
              <w:spacing w:before="60" w:after="60" w:line="240" w:lineRule="auto"/>
            </w:pPr>
            <w:r>
              <w:t>EFRR</w:t>
            </w:r>
          </w:p>
        </w:tc>
        <w:tc>
          <w:tcPr>
            <w:tcW w:w="741" w:type="pct"/>
            <w:vAlign w:val="center"/>
          </w:tcPr>
          <w:p w14:paraId="31E19DA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376974B2" w14:textId="77777777" w:rsidR="00F9226D" w:rsidRPr="004C1F30" w:rsidRDefault="00F9226D" w:rsidP="00C25E98">
            <w:pPr>
              <w:spacing w:before="60" w:after="60" w:line="240" w:lineRule="auto"/>
              <w:jc w:val="center"/>
            </w:pPr>
            <w:r>
              <w:t>120</w:t>
            </w:r>
          </w:p>
        </w:tc>
        <w:tc>
          <w:tcPr>
            <w:tcW w:w="1046" w:type="pct"/>
            <w:vAlign w:val="center"/>
          </w:tcPr>
          <w:p w14:paraId="63AE9B84" w14:textId="77777777" w:rsidR="00F9226D" w:rsidRPr="004C1F30" w:rsidRDefault="00F9226D" w:rsidP="00C25E98">
            <w:pPr>
              <w:spacing w:before="60" w:after="60" w:line="240" w:lineRule="auto"/>
              <w:jc w:val="center"/>
            </w:pPr>
            <w:r>
              <w:t>270</w:t>
            </w:r>
          </w:p>
        </w:tc>
      </w:tr>
      <w:tr w:rsidR="00F9226D" w:rsidRPr="004C1F30" w14:paraId="3E7FAF91" w14:textId="77777777" w:rsidTr="00C25E98">
        <w:trPr>
          <w:jc w:val="right"/>
        </w:trPr>
        <w:tc>
          <w:tcPr>
            <w:tcW w:w="5000" w:type="pct"/>
            <w:gridSpan w:val="7"/>
            <w:shd w:val="clear" w:color="auto" w:fill="auto"/>
          </w:tcPr>
          <w:p w14:paraId="2215EF07" w14:textId="77777777" w:rsidR="00F9226D" w:rsidRPr="004C1F30" w:rsidRDefault="00F9226D" w:rsidP="00C25E98">
            <w:pPr>
              <w:spacing w:before="60" w:after="60"/>
              <w:jc w:val="both"/>
            </w:pPr>
            <w:r w:rsidRPr="003A41DD">
              <w:t xml:space="preserve">Do wartości wskaźnika wliczane są zakupione komputery stacjonarne (także </w:t>
            </w:r>
            <w:proofErr w:type="spellStart"/>
            <w:r w:rsidRPr="003A41DD">
              <w:t>All</w:t>
            </w:r>
            <w:proofErr w:type="spellEnd"/>
            <w:r w:rsidRPr="003A41DD">
              <w:t>-in-One) oraz laptopy, które zostały sfinansowane ze środków pomocy technicznej.</w:t>
            </w:r>
          </w:p>
        </w:tc>
      </w:tr>
      <w:tr w:rsidR="00F9226D" w:rsidRPr="004C1F30" w14:paraId="37D3F22C" w14:textId="77777777" w:rsidTr="00C25E98">
        <w:trPr>
          <w:jc w:val="right"/>
        </w:trPr>
        <w:tc>
          <w:tcPr>
            <w:tcW w:w="309" w:type="pct"/>
            <w:vAlign w:val="center"/>
          </w:tcPr>
          <w:p w14:paraId="437F2737" w14:textId="77777777" w:rsidR="00F9226D" w:rsidRPr="004C1F30" w:rsidRDefault="00F9226D" w:rsidP="00C25E98">
            <w:pPr>
              <w:spacing w:before="60" w:after="60" w:line="240" w:lineRule="auto"/>
            </w:pPr>
            <w:r w:rsidRPr="004C1F30">
              <w:t xml:space="preserve">4. </w:t>
            </w:r>
          </w:p>
        </w:tc>
        <w:tc>
          <w:tcPr>
            <w:tcW w:w="1003" w:type="pct"/>
            <w:shd w:val="clear" w:color="auto" w:fill="FFFFFF" w:themeFill="background1"/>
            <w:vAlign w:val="center"/>
          </w:tcPr>
          <w:p w14:paraId="00104526" w14:textId="77777777" w:rsidR="00F9226D" w:rsidRPr="004C1F30" w:rsidRDefault="00F9226D" w:rsidP="00C25E98">
            <w:pPr>
              <w:spacing w:before="60" w:after="60" w:line="240" w:lineRule="auto"/>
              <w:rPr>
                <w:b/>
              </w:rPr>
            </w:pPr>
            <w:r w:rsidRPr="004C1F30">
              <w:rPr>
                <w:b/>
              </w:rPr>
              <w:t>Liczba przeprowadzonych ewaluacji</w:t>
            </w:r>
          </w:p>
        </w:tc>
        <w:tc>
          <w:tcPr>
            <w:tcW w:w="467" w:type="pct"/>
            <w:vAlign w:val="center"/>
          </w:tcPr>
          <w:p w14:paraId="0B395FF5" w14:textId="77777777" w:rsidR="00F9226D" w:rsidRPr="004C1F30" w:rsidRDefault="00F9226D" w:rsidP="00C25E98">
            <w:pPr>
              <w:spacing w:before="60" w:after="60" w:line="240" w:lineRule="auto"/>
            </w:pPr>
            <w:r w:rsidRPr="004C1F30">
              <w:t>Sztuka</w:t>
            </w:r>
          </w:p>
        </w:tc>
        <w:tc>
          <w:tcPr>
            <w:tcW w:w="385" w:type="pct"/>
            <w:vAlign w:val="center"/>
          </w:tcPr>
          <w:p w14:paraId="3322E05F" w14:textId="77777777" w:rsidR="00F9226D" w:rsidRPr="004C1F30" w:rsidRDefault="00F9226D" w:rsidP="00C25E98">
            <w:pPr>
              <w:spacing w:before="60" w:after="60" w:line="240" w:lineRule="auto"/>
            </w:pPr>
            <w:r>
              <w:t>EFRR</w:t>
            </w:r>
          </w:p>
        </w:tc>
        <w:tc>
          <w:tcPr>
            <w:tcW w:w="741" w:type="pct"/>
            <w:vAlign w:val="center"/>
          </w:tcPr>
          <w:p w14:paraId="5C065DA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7B434EFE" w14:textId="77777777" w:rsidR="00F9226D" w:rsidRPr="004C1F30" w:rsidRDefault="00F9226D" w:rsidP="00C25E98">
            <w:pPr>
              <w:spacing w:before="60" w:after="60" w:line="240" w:lineRule="auto"/>
              <w:jc w:val="center"/>
            </w:pPr>
            <w:r>
              <w:t>4</w:t>
            </w:r>
          </w:p>
        </w:tc>
        <w:tc>
          <w:tcPr>
            <w:tcW w:w="1046" w:type="pct"/>
            <w:vAlign w:val="center"/>
          </w:tcPr>
          <w:p w14:paraId="603A4E1F" w14:textId="77777777" w:rsidR="00F9226D" w:rsidRPr="004C1F30" w:rsidRDefault="00F9226D" w:rsidP="00C25E98">
            <w:pPr>
              <w:spacing w:before="60" w:after="60" w:line="240" w:lineRule="auto"/>
              <w:jc w:val="center"/>
            </w:pPr>
            <w:r>
              <w:t>9</w:t>
            </w:r>
          </w:p>
        </w:tc>
      </w:tr>
      <w:tr w:rsidR="00F9226D" w:rsidRPr="004C1F30" w14:paraId="32998DDE" w14:textId="77777777" w:rsidTr="00C25E98">
        <w:trPr>
          <w:jc w:val="right"/>
        </w:trPr>
        <w:tc>
          <w:tcPr>
            <w:tcW w:w="5000" w:type="pct"/>
            <w:gridSpan w:val="7"/>
            <w:shd w:val="clear" w:color="auto" w:fill="auto"/>
          </w:tcPr>
          <w:p w14:paraId="58FE65F0" w14:textId="77777777" w:rsidR="00F9226D" w:rsidRPr="004C1F30" w:rsidRDefault="00F9226D" w:rsidP="00C25E98">
            <w:pPr>
              <w:spacing w:before="60" w:after="60"/>
            </w:pPr>
            <w:r w:rsidRPr="003A41DD">
              <w:t xml:space="preserve">Do wartości wskaźnika wliczane są wszystkie badania ewaluacyjne finansowane z PT polegające na analizie i ocenie skuteczności, efektywności, użyteczności, trafności, trwałości lub spójności interwencji publicznych realizowanych w ramach polityki spójności, służące poprawie jakości ich programowania i wdrażania, a także analizy i oceny tzw. wpływu lub wartości dodanej UE.   Ewaluacje realizowane są przez </w:t>
            </w:r>
            <w:proofErr w:type="spellStart"/>
            <w:r w:rsidRPr="003A41DD">
              <w:t>ewaluatorów</w:t>
            </w:r>
            <w:proofErr w:type="spellEnd"/>
            <w:r w:rsidRPr="003A41DD">
              <w:t xml:space="preserve"> zewnętrznych lub wewnętrznych funkcjonalnie niezależnych od podmiotów odpowiedzialnych za realizację programów operacyjnych.</w:t>
            </w:r>
          </w:p>
        </w:tc>
      </w:tr>
      <w:tr w:rsidR="00F9226D" w:rsidRPr="004C1F30" w14:paraId="5D104708" w14:textId="77777777" w:rsidTr="00C25E98">
        <w:trPr>
          <w:jc w:val="right"/>
        </w:trPr>
        <w:tc>
          <w:tcPr>
            <w:tcW w:w="309" w:type="pct"/>
            <w:vAlign w:val="center"/>
          </w:tcPr>
          <w:p w14:paraId="47E443C8" w14:textId="77777777" w:rsidR="00F9226D" w:rsidRPr="004C1F30" w:rsidRDefault="00F9226D" w:rsidP="00C25E98">
            <w:pPr>
              <w:spacing w:before="60" w:after="60" w:line="240" w:lineRule="auto"/>
            </w:pPr>
            <w:r>
              <w:t>5</w:t>
            </w:r>
            <w:r w:rsidRPr="004C1F30">
              <w:t>.</w:t>
            </w:r>
          </w:p>
        </w:tc>
        <w:tc>
          <w:tcPr>
            <w:tcW w:w="1003" w:type="pct"/>
            <w:shd w:val="clear" w:color="auto" w:fill="FFFFFF" w:themeFill="background1"/>
            <w:vAlign w:val="center"/>
          </w:tcPr>
          <w:p w14:paraId="1B092A19" w14:textId="77777777" w:rsidR="00F9226D" w:rsidRPr="004C1F30" w:rsidRDefault="00F9226D" w:rsidP="00C25E98">
            <w:pPr>
              <w:spacing w:before="60" w:after="60" w:line="240" w:lineRule="auto"/>
              <w:rPr>
                <w:b/>
              </w:rPr>
            </w:pPr>
            <w:r w:rsidRPr="003A41DD">
              <w:rPr>
                <w:b/>
              </w:rPr>
              <w:t>Średnioroczna liczba etatów finansowanych z PT</w:t>
            </w:r>
          </w:p>
        </w:tc>
        <w:tc>
          <w:tcPr>
            <w:tcW w:w="467" w:type="pct"/>
            <w:vAlign w:val="center"/>
          </w:tcPr>
          <w:p w14:paraId="49A0BDC6" w14:textId="77777777" w:rsidR="00F9226D" w:rsidRPr="004C1F30" w:rsidRDefault="00F9226D" w:rsidP="00C25E98">
            <w:pPr>
              <w:spacing w:before="60" w:after="60" w:line="240" w:lineRule="auto"/>
            </w:pPr>
            <w:r w:rsidRPr="004C1F30">
              <w:t xml:space="preserve">Sztuka </w:t>
            </w:r>
          </w:p>
        </w:tc>
        <w:tc>
          <w:tcPr>
            <w:tcW w:w="385" w:type="pct"/>
            <w:vAlign w:val="center"/>
          </w:tcPr>
          <w:p w14:paraId="369D33B7" w14:textId="77777777" w:rsidR="00F9226D" w:rsidRPr="004C1F30" w:rsidRDefault="00F9226D" w:rsidP="00C25E98">
            <w:pPr>
              <w:spacing w:before="60" w:after="60" w:line="240" w:lineRule="auto"/>
            </w:pPr>
            <w:r>
              <w:t>EFRR</w:t>
            </w:r>
          </w:p>
        </w:tc>
        <w:tc>
          <w:tcPr>
            <w:tcW w:w="741" w:type="pct"/>
            <w:vAlign w:val="center"/>
          </w:tcPr>
          <w:p w14:paraId="47D5C4B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6EE80355" w14:textId="77777777" w:rsidR="00F9226D" w:rsidRPr="004C1F30" w:rsidRDefault="00F9226D" w:rsidP="00C25E98">
            <w:pPr>
              <w:spacing w:before="60" w:after="60" w:line="240" w:lineRule="auto"/>
              <w:jc w:val="center"/>
            </w:pPr>
            <w:r>
              <w:t>1 452</w:t>
            </w:r>
          </w:p>
        </w:tc>
        <w:tc>
          <w:tcPr>
            <w:tcW w:w="1046" w:type="pct"/>
            <w:vAlign w:val="center"/>
          </w:tcPr>
          <w:p w14:paraId="55D4BAD4" w14:textId="77777777" w:rsidR="00F9226D" w:rsidRPr="004C1F30" w:rsidRDefault="00F9226D" w:rsidP="00C25E98">
            <w:pPr>
              <w:spacing w:before="60" w:after="60" w:line="240" w:lineRule="auto"/>
              <w:jc w:val="center"/>
            </w:pPr>
            <w:r>
              <w:t>3 267</w:t>
            </w:r>
          </w:p>
        </w:tc>
      </w:tr>
      <w:tr w:rsidR="00F9226D" w:rsidRPr="004C1F30" w14:paraId="45F7B5AF" w14:textId="77777777" w:rsidTr="00C25E98">
        <w:trPr>
          <w:jc w:val="right"/>
        </w:trPr>
        <w:tc>
          <w:tcPr>
            <w:tcW w:w="5000" w:type="pct"/>
            <w:gridSpan w:val="7"/>
          </w:tcPr>
          <w:p w14:paraId="5481ECF3" w14:textId="77777777" w:rsidR="00F9226D" w:rsidRDefault="00F9226D" w:rsidP="00C25E98">
            <w:pPr>
              <w:spacing w:before="60" w:after="60"/>
              <w:jc w:val="both"/>
            </w:pPr>
            <w:r w:rsidRPr="00027C97">
              <w:t xml:space="preserve">Wartość wskaźnika liczona jest poprzez zsumowanie liczby pełnych etatów finansowanych z PT w poszczególnych miesiącach i podzieleniu ich przez 12 miesięcy lub odpowiednio mniejszą liczbę miesięcy jeżeli finansowanie nie obejmowało pełnego roku.    </w:t>
            </w:r>
          </w:p>
          <w:p w14:paraId="176C0776" w14:textId="77777777" w:rsidR="00F9226D" w:rsidRDefault="00F9226D" w:rsidP="00C25E98">
            <w:pPr>
              <w:spacing w:before="60" w:after="60"/>
              <w:jc w:val="both"/>
            </w:pPr>
            <w:r w:rsidRPr="00027C97">
              <w:t xml:space="preserve">W = (LE1 + LE2 + ….+ LEN)/ LM   </w:t>
            </w:r>
          </w:p>
          <w:p w14:paraId="266703E6" w14:textId="77777777" w:rsidR="00F9226D" w:rsidRDefault="00F9226D" w:rsidP="00C25E98">
            <w:pPr>
              <w:spacing w:before="60" w:after="60"/>
              <w:jc w:val="both"/>
            </w:pPr>
            <w:r w:rsidRPr="00027C97">
              <w:t xml:space="preserve">W – wartość wskaźnika, </w:t>
            </w:r>
          </w:p>
          <w:p w14:paraId="590D53B6" w14:textId="77777777" w:rsidR="00F9226D" w:rsidRDefault="00F9226D" w:rsidP="00C25E98">
            <w:pPr>
              <w:spacing w:before="60" w:after="60"/>
              <w:jc w:val="both"/>
            </w:pPr>
            <w:r w:rsidRPr="00027C97">
              <w:t xml:space="preserve">LE – liczba pełnych etatów finansowanych w danym miesiącu, </w:t>
            </w:r>
          </w:p>
          <w:p w14:paraId="6F51600E" w14:textId="77777777" w:rsidR="00F9226D" w:rsidRDefault="00F9226D" w:rsidP="00C25E98">
            <w:pPr>
              <w:spacing w:before="60" w:after="60"/>
              <w:jc w:val="both"/>
            </w:pPr>
            <w:r w:rsidRPr="00027C97">
              <w:t>LM – liczba miesięcy finansowania etatów z PT</w:t>
            </w:r>
            <w:r>
              <w:t>.</w:t>
            </w:r>
            <w:r w:rsidRPr="00027C97">
              <w:t xml:space="preserve">   </w:t>
            </w:r>
          </w:p>
          <w:p w14:paraId="1FDEEB5B" w14:textId="77777777" w:rsidR="00F9226D" w:rsidRPr="004C1F30" w:rsidRDefault="00F9226D" w:rsidP="00C25E98">
            <w:pPr>
              <w:spacing w:before="60" w:after="60"/>
              <w:jc w:val="both"/>
            </w:pPr>
            <w:r w:rsidRPr="00027C97">
              <w:t xml:space="preserve">Liczba pełnych etatów finansowanych w danym miesiącu (LE) liczona jest jako suma iloczynów poziomu kwalifikowalności i wymiaru czasu pracy dla każdego stanowiska finansowanego z PT.    LE = PK1*WE1 + PK2*WE2 + … +PKN*WEN   PK – poziom kwalifikowalności, WE – wymiar etatu. Zliczane są wyłącznie etaty w ramach umowy o pracę. W przypadku zmiany poziomu kwalifikowalności lub wymiaru etatu w ciągu </w:t>
            </w:r>
            <w:r w:rsidRPr="00027C97">
              <w:lastRenderedPageBreak/>
              <w:t>miesiąca dla całego miesiąca przyjmowany jest poziom obowiązujący na ostatni dzień tego miesiąca lub ostatni dzień obsadzenia tego stanowiska (w sytuacji gdy pracownik kończy pracę i stanowisko pozostaje nieobsadzone).    Nie ma możliwości dzielenia miesiąca tj. nawet jeśli pracownik przepracował tylko kilka dni w danym miesiącu jest on w całości wliczany do wartości wskaźnika. W tym przypadku wynagrodzenie jest współfinansowane w sposób proporcjonalny. Do wskaźnika nie wliczane są okresy w których nie są ponoszone koszty w związku z płacą zasadniczą.</w:t>
            </w:r>
          </w:p>
        </w:tc>
      </w:tr>
      <w:tr w:rsidR="00F9226D" w:rsidRPr="004C1F30" w14:paraId="545A532E" w14:textId="77777777" w:rsidTr="00C25E98">
        <w:trPr>
          <w:jc w:val="right"/>
        </w:trPr>
        <w:tc>
          <w:tcPr>
            <w:tcW w:w="309" w:type="pct"/>
            <w:vAlign w:val="center"/>
          </w:tcPr>
          <w:p w14:paraId="4B01DA2F" w14:textId="77777777" w:rsidR="00F9226D" w:rsidRPr="004C1F30" w:rsidRDefault="00F9226D" w:rsidP="00C25E98">
            <w:pPr>
              <w:spacing w:before="60" w:after="60" w:line="240" w:lineRule="auto"/>
            </w:pPr>
            <w:r>
              <w:t>6</w:t>
            </w:r>
            <w:r w:rsidRPr="004C1F30">
              <w:t>.</w:t>
            </w:r>
          </w:p>
        </w:tc>
        <w:tc>
          <w:tcPr>
            <w:tcW w:w="1003" w:type="pct"/>
            <w:shd w:val="clear" w:color="auto" w:fill="FFFFFF" w:themeFill="background1"/>
            <w:vAlign w:val="center"/>
          </w:tcPr>
          <w:p w14:paraId="211C0E39" w14:textId="77777777" w:rsidR="00F9226D" w:rsidRPr="004C1F30" w:rsidRDefault="00F9226D" w:rsidP="00C25E98">
            <w:pPr>
              <w:spacing w:before="60" w:after="60" w:line="240" w:lineRule="auto"/>
              <w:rPr>
                <w:b/>
              </w:rPr>
            </w:pPr>
            <w:r w:rsidRPr="004C1F30">
              <w:rPr>
                <w:b/>
              </w:rPr>
              <w:t>Liczba opracowanych ekspertyz</w:t>
            </w:r>
          </w:p>
        </w:tc>
        <w:tc>
          <w:tcPr>
            <w:tcW w:w="467" w:type="pct"/>
            <w:vAlign w:val="center"/>
          </w:tcPr>
          <w:p w14:paraId="4C5A6FAE" w14:textId="77777777" w:rsidR="00F9226D" w:rsidRPr="004C1F30" w:rsidRDefault="00F9226D" w:rsidP="00C25E98">
            <w:pPr>
              <w:spacing w:before="60" w:after="60" w:line="240" w:lineRule="auto"/>
            </w:pPr>
            <w:r w:rsidRPr="004C1F30">
              <w:t>Sztuka</w:t>
            </w:r>
          </w:p>
        </w:tc>
        <w:tc>
          <w:tcPr>
            <w:tcW w:w="385" w:type="pct"/>
            <w:vAlign w:val="center"/>
          </w:tcPr>
          <w:p w14:paraId="447B5149" w14:textId="77777777" w:rsidR="00F9226D" w:rsidRPr="004C1F30" w:rsidRDefault="00F9226D" w:rsidP="00C25E98">
            <w:pPr>
              <w:spacing w:before="60" w:after="60" w:line="240" w:lineRule="auto"/>
            </w:pPr>
            <w:r>
              <w:t>EFRR</w:t>
            </w:r>
          </w:p>
        </w:tc>
        <w:tc>
          <w:tcPr>
            <w:tcW w:w="741" w:type="pct"/>
            <w:vAlign w:val="center"/>
          </w:tcPr>
          <w:p w14:paraId="49EA26A6"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36D992EF" w14:textId="77777777" w:rsidR="00F9226D" w:rsidRPr="004C1F30" w:rsidRDefault="00F9226D" w:rsidP="00C25E98">
            <w:pPr>
              <w:spacing w:before="60" w:after="60" w:line="240" w:lineRule="auto"/>
              <w:jc w:val="center"/>
            </w:pPr>
            <w:r>
              <w:t>40</w:t>
            </w:r>
          </w:p>
        </w:tc>
        <w:tc>
          <w:tcPr>
            <w:tcW w:w="1046" w:type="pct"/>
            <w:vAlign w:val="center"/>
          </w:tcPr>
          <w:p w14:paraId="53E6B27D" w14:textId="77777777" w:rsidR="00F9226D" w:rsidRPr="004C1F30" w:rsidRDefault="00F9226D" w:rsidP="00C25E98">
            <w:pPr>
              <w:spacing w:before="60" w:after="60" w:line="240" w:lineRule="auto"/>
              <w:jc w:val="center"/>
            </w:pPr>
            <w:r>
              <w:t>90</w:t>
            </w:r>
          </w:p>
        </w:tc>
      </w:tr>
      <w:tr w:rsidR="00F9226D" w:rsidRPr="004C1F30" w14:paraId="374C7D0B" w14:textId="77777777" w:rsidTr="00C25E98">
        <w:trPr>
          <w:jc w:val="right"/>
        </w:trPr>
        <w:tc>
          <w:tcPr>
            <w:tcW w:w="5000" w:type="pct"/>
            <w:gridSpan w:val="7"/>
          </w:tcPr>
          <w:p w14:paraId="2835E986" w14:textId="77777777" w:rsidR="00F9226D" w:rsidRPr="004C1F30" w:rsidRDefault="00F9226D" w:rsidP="00C25E98">
            <w:pPr>
              <w:spacing w:before="60" w:after="60"/>
              <w:jc w:val="both"/>
            </w:pPr>
            <w:r w:rsidRPr="003A41DD">
              <w:t>Obliczając wartość wskaźnika należy zsumować wszystkie ekspertyzy (tj. sporządzone opinie, analizy, studia, koncepcje itp.), które zostały zakończone wydaniem stosownego dokumentu i zostały sporządzone na potrzeby instytucji lub partnerów będących członkami sieci tematycznych, grup roboczych lub komitetów, a także innych ciał dialogu angażujących partnerów, których działalność finansowana jest ze środków pomocy technicznej. Do wskaźnika nie wlicza się ewaluacji, które liczone są w ramach wskaźnika „Liczba przeprowadzonych ewaluacji”.</w:t>
            </w:r>
          </w:p>
        </w:tc>
      </w:tr>
      <w:tr w:rsidR="00F9226D" w:rsidRPr="004C1F30" w14:paraId="059B2B60" w14:textId="77777777" w:rsidTr="00C25E98">
        <w:trPr>
          <w:jc w:val="right"/>
        </w:trPr>
        <w:tc>
          <w:tcPr>
            <w:tcW w:w="309" w:type="pct"/>
            <w:vAlign w:val="center"/>
          </w:tcPr>
          <w:p w14:paraId="0C65CDCA" w14:textId="77777777" w:rsidR="00F9226D" w:rsidRPr="004C1F30" w:rsidRDefault="00F9226D" w:rsidP="00C25E98">
            <w:pPr>
              <w:spacing w:before="60" w:after="60" w:line="240" w:lineRule="auto"/>
            </w:pPr>
            <w:r>
              <w:t>7</w:t>
            </w:r>
            <w:r w:rsidRPr="004C1F30">
              <w:t>.</w:t>
            </w:r>
          </w:p>
        </w:tc>
        <w:tc>
          <w:tcPr>
            <w:tcW w:w="1003" w:type="pct"/>
            <w:shd w:val="clear" w:color="auto" w:fill="FFFFFF" w:themeFill="background1"/>
            <w:vAlign w:val="center"/>
          </w:tcPr>
          <w:p w14:paraId="38947A1A" w14:textId="77777777" w:rsidR="00F9226D" w:rsidRPr="004C1F30" w:rsidRDefault="00F9226D" w:rsidP="00C25E98">
            <w:pPr>
              <w:spacing w:before="60" w:after="60" w:line="240" w:lineRule="auto"/>
              <w:rPr>
                <w:b/>
              </w:rPr>
            </w:pPr>
            <w:r w:rsidRPr="004C1F30">
              <w:rPr>
                <w:b/>
              </w:rPr>
              <w:t xml:space="preserve">Liczba uczestników form szkoleniowych dla beneficjentów </w:t>
            </w:r>
          </w:p>
        </w:tc>
        <w:tc>
          <w:tcPr>
            <w:tcW w:w="467" w:type="pct"/>
            <w:vAlign w:val="center"/>
          </w:tcPr>
          <w:p w14:paraId="331D085E" w14:textId="77777777" w:rsidR="00F9226D" w:rsidRPr="004C1F30" w:rsidRDefault="00F9226D" w:rsidP="00C25E98">
            <w:pPr>
              <w:spacing w:before="60" w:after="60" w:line="240" w:lineRule="auto"/>
            </w:pPr>
            <w:r w:rsidRPr="004C1F30">
              <w:t xml:space="preserve">Osoba </w:t>
            </w:r>
          </w:p>
        </w:tc>
        <w:tc>
          <w:tcPr>
            <w:tcW w:w="385" w:type="pct"/>
            <w:vAlign w:val="center"/>
          </w:tcPr>
          <w:p w14:paraId="7BD6DE94" w14:textId="77777777" w:rsidR="00F9226D" w:rsidRPr="004C1F30" w:rsidRDefault="00F9226D" w:rsidP="00C25E98">
            <w:pPr>
              <w:spacing w:before="60" w:after="60" w:line="240" w:lineRule="auto"/>
            </w:pPr>
            <w:r>
              <w:t>EFRR</w:t>
            </w:r>
          </w:p>
        </w:tc>
        <w:tc>
          <w:tcPr>
            <w:tcW w:w="741" w:type="pct"/>
            <w:vAlign w:val="center"/>
          </w:tcPr>
          <w:p w14:paraId="7D25CB33"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2DF1520C" w14:textId="77777777" w:rsidR="00F9226D" w:rsidRPr="004C1F30" w:rsidRDefault="00F9226D" w:rsidP="00C25E98">
            <w:pPr>
              <w:spacing w:before="60" w:after="60" w:line="240" w:lineRule="auto"/>
              <w:jc w:val="center"/>
            </w:pPr>
            <w:r>
              <w:t>2 000</w:t>
            </w:r>
          </w:p>
        </w:tc>
        <w:tc>
          <w:tcPr>
            <w:tcW w:w="1046" w:type="pct"/>
            <w:vAlign w:val="center"/>
          </w:tcPr>
          <w:p w14:paraId="1DE56D34" w14:textId="77777777" w:rsidR="00F9226D" w:rsidRPr="004C1F30" w:rsidRDefault="00F9226D" w:rsidP="00C25E98">
            <w:pPr>
              <w:spacing w:before="60" w:after="60" w:line="240" w:lineRule="auto"/>
              <w:jc w:val="center"/>
            </w:pPr>
            <w:r>
              <w:t>4 500</w:t>
            </w:r>
          </w:p>
        </w:tc>
      </w:tr>
      <w:tr w:rsidR="00F9226D" w:rsidRPr="004C1F30" w14:paraId="3787C693" w14:textId="77777777" w:rsidTr="00C25E98">
        <w:trPr>
          <w:jc w:val="right"/>
        </w:trPr>
        <w:tc>
          <w:tcPr>
            <w:tcW w:w="5000" w:type="pct"/>
            <w:gridSpan w:val="7"/>
          </w:tcPr>
          <w:p w14:paraId="2CDBC04B" w14:textId="77777777" w:rsidR="00F9226D" w:rsidRDefault="00F9226D" w:rsidP="00C25E98">
            <w:pPr>
              <w:spacing w:before="60" w:after="60"/>
              <w:jc w:val="both"/>
            </w:pPr>
            <w:r w:rsidRPr="003A41DD">
              <w:t xml:space="preserve">Obliczając wartość wskaźnika należy zsumować wszystkich uczestników wszystkich form szkoleniowych dla beneficjentów lub potencjalnych beneficjentów (tj. szkoleń, warsztatów, seminariów, kursów, webinariów, itp.) finansowanych z PT. </w:t>
            </w:r>
            <w:r>
              <w:t xml:space="preserve"> </w:t>
            </w:r>
          </w:p>
          <w:p w14:paraId="056CBC7D" w14:textId="77777777" w:rsidR="00F9226D" w:rsidRPr="004C1F30" w:rsidRDefault="00F9226D" w:rsidP="00C25E98">
            <w:pPr>
              <w:spacing w:before="60" w:after="60"/>
              <w:jc w:val="both"/>
            </w:pPr>
            <w:r w:rsidRPr="003A41DD">
              <w:t xml:space="preserve">Do wskaźnika nie są wliczane formy szkoleniowe </w:t>
            </w:r>
            <w:proofErr w:type="spellStart"/>
            <w:r w:rsidRPr="003A41DD">
              <w:t>bezkosztowe</w:t>
            </w:r>
            <w:proofErr w:type="spellEnd"/>
            <w:r w:rsidRPr="003A41DD">
              <w:t>, przy organizacji których nie są ponoszone żadne wydatki.</w:t>
            </w:r>
          </w:p>
        </w:tc>
      </w:tr>
      <w:tr w:rsidR="00F9226D" w:rsidRPr="004C1F30" w14:paraId="7704208D" w14:textId="77777777" w:rsidTr="00C25E98">
        <w:trPr>
          <w:jc w:val="right"/>
        </w:trPr>
        <w:tc>
          <w:tcPr>
            <w:tcW w:w="309" w:type="pct"/>
            <w:vAlign w:val="center"/>
          </w:tcPr>
          <w:p w14:paraId="6ED9D3F6" w14:textId="77777777" w:rsidR="00F9226D" w:rsidRPr="004C1F30" w:rsidRDefault="00F9226D" w:rsidP="00C25E98">
            <w:pPr>
              <w:spacing w:before="60" w:after="60" w:line="240" w:lineRule="auto"/>
            </w:pPr>
            <w:r>
              <w:t>8</w:t>
            </w:r>
            <w:r w:rsidRPr="004C1F30">
              <w:t>.</w:t>
            </w:r>
          </w:p>
        </w:tc>
        <w:tc>
          <w:tcPr>
            <w:tcW w:w="1003" w:type="pct"/>
            <w:shd w:val="clear" w:color="auto" w:fill="FFFFFF" w:themeFill="background1"/>
            <w:vAlign w:val="center"/>
          </w:tcPr>
          <w:p w14:paraId="35A5670C" w14:textId="77777777" w:rsidR="00F9226D" w:rsidRPr="004C1F30" w:rsidRDefault="00F9226D" w:rsidP="00C25E98">
            <w:pPr>
              <w:spacing w:before="60" w:after="60" w:line="240" w:lineRule="auto"/>
              <w:rPr>
                <w:b/>
              </w:rPr>
            </w:pPr>
            <w:r w:rsidRPr="00027C97">
              <w:rPr>
                <w:b/>
              </w:rPr>
              <w:t>Liczba działań informacyjno-promocyjnych o szerokim zasięgu</w:t>
            </w:r>
          </w:p>
        </w:tc>
        <w:tc>
          <w:tcPr>
            <w:tcW w:w="467" w:type="pct"/>
            <w:vAlign w:val="center"/>
          </w:tcPr>
          <w:p w14:paraId="256F19BE" w14:textId="77777777" w:rsidR="00F9226D" w:rsidRPr="004C1F30" w:rsidRDefault="00F9226D" w:rsidP="00C25E98">
            <w:pPr>
              <w:spacing w:before="60" w:after="60" w:line="240" w:lineRule="auto"/>
            </w:pPr>
            <w:r w:rsidRPr="004C1F30">
              <w:t>Sztuka</w:t>
            </w:r>
          </w:p>
        </w:tc>
        <w:tc>
          <w:tcPr>
            <w:tcW w:w="385" w:type="pct"/>
            <w:vAlign w:val="center"/>
          </w:tcPr>
          <w:p w14:paraId="323B5475" w14:textId="77777777" w:rsidR="00F9226D" w:rsidRPr="004C1F30" w:rsidRDefault="00F9226D" w:rsidP="00C25E98">
            <w:pPr>
              <w:spacing w:before="60" w:after="60" w:line="240" w:lineRule="auto"/>
            </w:pPr>
            <w:r>
              <w:t>EFRR</w:t>
            </w:r>
          </w:p>
        </w:tc>
        <w:tc>
          <w:tcPr>
            <w:tcW w:w="741" w:type="pct"/>
            <w:vAlign w:val="center"/>
          </w:tcPr>
          <w:p w14:paraId="2923DC7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5FCD20B6" w14:textId="77777777" w:rsidR="00F9226D" w:rsidRPr="004C1F30" w:rsidRDefault="00F9226D" w:rsidP="00C25E98">
            <w:pPr>
              <w:spacing w:before="60" w:after="60" w:line="240" w:lineRule="auto"/>
              <w:jc w:val="center"/>
            </w:pPr>
            <w:r>
              <w:t>4</w:t>
            </w:r>
          </w:p>
        </w:tc>
        <w:tc>
          <w:tcPr>
            <w:tcW w:w="1046" w:type="pct"/>
            <w:vAlign w:val="center"/>
          </w:tcPr>
          <w:p w14:paraId="5B6CC666" w14:textId="77777777" w:rsidR="00F9226D" w:rsidRPr="004C1F30" w:rsidRDefault="00F9226D" w:rsidP="00C25E98">
            <w:pPr>
              <w:spacing w:before="60" w:after="60" w:line="240" w:lineRule="auto"/>
              <w:jc w:val="center"/>
            </w:pPr>
            <w:r>
              <w:t>9</w:t>
            </w:r>
          </w:p>
        </w:tc>
      </w:tr>
      <w:tr w:rsidR="00F9226D" w:rsidRPr="004C1F30" w14:paraId="63D654E5" w14:textId="77777777" w:rsidTr="00C25E98">
        <w:trPr>
          <w:jc w:val="right"/>
        </w:trPr>
        <w:tc>
          <w:tcPr>
            <w:tcW w:w="5000" w:type="pct"/>
            <w:gridSpan w:val="7"/>
          </w:tcPr>
          <w:p w14:paraId="7461B7D5" w14:textId="77777777" w:rsidR="00F9226D" w:rsidRPr="004C1F30" w:rsidRDefault="00F9226D" w:rsidP="00C25E98">
            <w:pPr>
              <w:spacing w:before="60" w:after="60"/>
              <w:jc w:val="both"/>
            </w:pPr>
            <w:r w:rsidRPr="00027C97">
              <w:t>Liczba zrealizowanych kampanii  informacyjno-promocyjnych o szerokim zasięgu promujących Fundusze Europejskie, tj. skierowanych do minimum 2 grup docelowych (w tym opinii publicznej) i wykorzystujących minimum 4 narzędzia komunikacji, przy czym wszystkie działania w ramach kampanii są spójne i realizowane pod wspólnym komunikatem.</w:t>
            </w:r>
          </w:p>
        </w:tc>
      </w:tr>
      <w:tr w:rsidR="00F9226D" w:rsidRPr="004C1F30" w14:paraId="28A7D4D8" w14:textId="77777777" w:rsidTr="00C25E98">
        <w:trPr>
          <w:jc w:val="right"/>
        </w:trPr>
        <w:tc>
          <w:tcPr>
            <w:tcW w:w="309" w:type="pct"/>
            <w:vAlign w:val="center"/>
          </w:tcPr>
          <w:p w14:paraId="3083D266" w14:textId="77777777" w:rsidR="00F9226D" w:rsidRPr="004C1F30" w:rsidRDefault="00F9226D" w:rsidP="00C25E98">
            <w:pPr>
              <w:spacing w:before="60" w:after="60" w:line="240" w:lineRule="auto"/>
            </w:pPr>
            <w:r>
              <w:t>9.</w:t>
            </w:r>
          </w:p>
        </w:tc>
        <w:tc>
          <w:tcPr>
            <w:tcW w:w="1003" w:type="pct"/>
            <w:vAlign w:val="center"/>
          </w:tcPr>
          <w:p w14:paraId="4C2B5A89" w14:textId="77777777" w:rsidR="00F9226D" w:rsidRPr="004C1F30" w:rsidRDefault="00F9226D" w:rsidP="00C25E98">
            <w:pPr>
              <w:spacing w:before="60" w:after="60" w:line="240" w:lineRule="auto"/>
              <w:rPr>
                <w:b/>
              </w:rPr>
            </w:pPr>
            <w:r w:rsidRPr="00027C97">
              <w:rPr>
                <w:b/>
              </w:rPr>
              <w:t>Liczba użytkowników CST</w:t>
            </w:r>
          </w:p>
        </w:tc>
        <w:tc>
          <w:tcPr>
            <w:tcW w:w="467" w:type="pct"/>
            <w:vAlign w:val="center"/>
          </w:tcPr>
          <w:p w14:paraId="363D1E8D" w14:textId="77777777" w:rsidR="00F9226D" w:rsidRPr="004C1F30" w:rsidRDefault="00F9226D" w:rsidP="00C25E98">
            <w:pPr>
              <w:spacing w:before="60" w:after="60" w:line="240" w:lineRule="auto"/>
            </w:pPr>
            <w:r w:rsidRPr="004C1F30">
              <w:t>Sztuka</w:t>
            </w:r>
          </w:p>
        </w:tc>
        <w:tc>
          <w:tcPr>
            <w:tcW w:w="385" w:type="pct"/>
            <w:vAlign w:val="center"/>
          </w:tcPr>
          <w:p w14:paraId="61C9C676" w14:textId="77777777" w:rsidR="00F9226D" w:rsidRPr="004C1F30" w:rsidRDefault="00F9226D" w:rsidP="00C25E98">
            <w:pPr>
              <w:spacing w:before="60" w:after="60" w:line="240" w:lineRule="auto"/>
            </w:pPr>
            <w:r>
              <w:t>EFRR</w:t>
            </w:r>
          </w:p>
        </w:tc>
        <w:tc>
          <w:tcPr>
            <w:tcW w:w="741" w:type="pct"/>
            <w:vAlign w:val="center"/>
          </w:tcPr>
          <w:p w14:paraId="14CF8266"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77CA3B3F" w14:textId="77777777" w:rsidR="00F9226D" w:rsidRPr="004C1F30" w:rsidRDefault="00F9226D" w:rsidP="00C25E98">
            <w:pPr>
              <w:spacing w:before="60" w:after="60" w:line="240" w:lineRule="auto"/>
              <w:jc w:val="center"/>
            </w:pPr>
            <w:r>
              <w:t>1 452</w:t>
            </w:r>
          </w:p>
        </w:tc>
        <w:tc>
          <w:tcPr>
            <w:tcW w:w="1046" w:type="pct"/>
            <w:vAlign w:val="center"/>
          </w:tcPr>
          <w:p w14:paraId="244FE8EF" w14:textId="77777777" w:rsidR="00F9226D" w:rsidRPr="004C1F30" w:rsidRDefault="00F9226D" w:rsidP="00C25E98">
            <w:pPr>
              <w:spacing w:before="60" w:after="60" w:line="240" w:lineRule="auto"/>
              <w:jc w:val="center"/>
            </w:pPr>
            <w:r>
              <w:t>3 267</w:t>
            </w:r>
          </w:p>
        </w:tc>
      </w:tr>
      <w:tr w:rsidR="00F9226D" w:rsidRPr="004C1F30" w14:paraId="2D36F5DE" w14:textId="77777777" w:rsidTr="00C25E98">
        <w:trPr>
          <w:jc w:val="right"/>
        </w:trPr>
        <w:tc>
          <w:tcPr>
            <w:tcW w:w="5000" w:type="pct"/>
            <w:gridSpan w:val="7"/>
          </w:tcPr>
          <w:p w14:paraId="499D28E7" w14:textId="77777777" w:rsidR="00F9226D" w:rsidRPr="004C1F30" w:rsidRDefault="00F9226D" w:rsidP="00C25E98">
            <w:pPr>
              <w:spacing w:before="60" w:after="60"/>
            </w:pPr>
            <w:r w:rsidRPr="00027C97">
              <w:t>Obliczając wartość wskaźnika należy zsumować liczbę wszystkich użytkowników posiadających uprawnienia do Centralnego Systemu Teleinformatycznego finansowanego ze środków programu Pomoc Techniczna dla Funduszy Europejskich, niezależnie od poziomu tych uprawnień.</w:t>
            </w:r>
          </w:p>
        </w:tc>
      </w:tr>
    </w:tbl>
    <w:p w14:paraId="30831838" w14:textId="77777777" w:rsidR="00F9226D" w:rsidRDefault="00F9226D" w:rsidP="00F9226D"/>
    <w:p w14:paraId="71E1A5FB" w14:textId="0316538E" w:rsidR="00F9226D" w:rsidRDefault="00F9226D" w:rsidP="005A3B03">
      <w:pPr>
        <w:pStyle w:val="Nagwek1"/>
      </w:pPr>
      <w:bookmarkStart w:id="468" w:name="_Toc120464554"/>
      <w:r>
        <w:t>Pomoc techniczna EFS+</w:t>
      </w:r>
      <w:bookmarkEnd w:id="468"/>
    </w:p>
    <w:p w14:paraId="530408B2" w14:textId="77777777" w:rsidR="00F9226D" w:rsidRDefault="00F9226D" w:rsidP="00F9226D">
      <w:r>
        <w:t>Wskaźniki produktu PT EFS+</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797"/>
        <w:gridCol w:w="837"/>
        <w:gridCol w:w="690"/>
        <w:gridCol w:w="1327"/>
        <w:gridCol w:w="1879"/>
        <w:gridCol w:w="1874"/>
      </w:tblGrid>
      <w:tr w:rsidR="00F9226D" w:rsidRPr="004C1F30" w14:paraId="02B5016E" w14:textId="77777777" w:rsidTr="00C25E98">
        <w:trPr>
          <w:trHeight w:val="1279"/>
          <w:jc w:val="right"/>
        </w:trPr>
        <w:tc>
          <w:tcPr>
            <w:tcW w:w="309" w:type="pct"/>
            <w:shd w:val="clear" w:color="auto" w:fill="DBE5F1"/>
            <w:vAlign w:val="center"/>
          </w:tcPr>
          <w:p w14:paraId="5CCE6EA7" w14:textId="77777777" w:rsidR="00F9226D" w:rsidRPr="004C1F30" w:rsidRDefault="00F9226D" w:rsidP="00C25E98">
            <w:pPr>
              <w:spacing w:before="60" w:after="60" w:line="240" w:lineRule="auto"/>
              <w:jc w:val="center"/>
              <w:rPr>
                <w:b/>
                <w:sz w:val="18"/>
                <w:szCs w:val="18"/>
              </w:rPr>
            </w:pPr>
            <w:r w:rsidRPr="004C1F30">
              <w:rPr>
                <w:b/>
                <w:sz w:val="18"/>
                <w:szCs w:val="18"/>
              </w:rPr>
              <w:lastRenderedPageBreak/>
              <w:t>ID</w:t>
            </w:r>
          </w:p>
        </w:tc>
        <w:tc>
          <w:tcPr>
            <w:tcW w:w="1003" w:type="pct"/>
            <w:shd w:val="clear" w:color="auto" w:fill="DBE5F1"/>
            <w:vAlign w:val="center"/>
          </w:tcPr>
          <w:p w14:paraId="7677DC46" w14:textId="77777777" w:rsidR="00F9226D" w:rsidRPr="004C1F30" w:rsidRDefault="00F9226D" w:rsidP="00C25E98">
            <w:pPr>
              <w:spacing w:before="60" w:after="60" w:line="240" w:lineRule="auto"/>
              <w:jc w:val="center"/>
              <w:rPr>
                <w:b/>
                <w:sz w:val="18"/>
                <w:szCs w:val="18"/>
              </w:rPr>
            </w:pPr>
            <w:r w:rsidRPr="004C1F30">
              <w:rPr>
                <w:b/>
                <w:sz w:val="18"/>
                <w:szCs w:val="18"/>
              </w:rPr>
              <w:t>Wskaźnik</w:t>
            </w:r>
          </w:p>
        </w:tc>
        <w:tc>
          <w:tcPr>
            <w:tcW w:w="467" w:type="pct"/>
            <w:shd w:val="clear" w:color="auto" w:fill="DBE5F1"/>
            <w:vAlign w:val="center"/>
          </w:tcPr>
          <w:p w14:paraId="6F4A60F0" w14:textId="77777777" w:rsidR="00F9226D" w:rsidRPr="004C1F30" w:rsidRDefault="00F9226D" w:rsidP="00C25E98">
            <w:pPr>
              <w:spacing w:before="60" w:after="60" w:line="240" w:lineRule="auto"/>
              <w:jc w:val="center"/>
              <w:rPr>
                <w:b/>
                <w:sz w:val="18"/>
                <w:szCs w:val="18"/>
              </w:rPr>
            </w:pPr>
            <w:r w:rsidRPr="004C1F30">
              <w:rPr>
                <w:b/>
                <w:sz w:val="18"/>
                <w:szCs w:val="18"/>
              </w:rPr>
              <w:t>Jednostka pomiaru</w:t>
            </w:r>
          </w:p>
        </w:tc>
        <w:tc>
          <w:tcPr>
            <w:tcW w:w="385" w:type="pct"/>
            <w:shd w:val="clear" w:color="auto" w:fill="DBE5F1"/>
            <w:vAlign w:val="center"/>
          </w:tcPr>
          <w:p w14:paraId="1375CC9A" w14:textId="77777777" w:rsidR="00F9226D" w:rsidRPr="004C1F30" w:rsidRDefault="00F9226D" w:rsidP="00C25E98">
            <w:pPr>
              <w:spacing w:before="60" w:after="60" w:line="240" w:lineRule="auto"/>
              <w:jc w:val="center"/>
              <w:rPr>
                <w:b/>
                <w:sz w:val="18"/>
                <w:szCs w:val="18"/>
              </w:rPr>
            </w:pPr>
            <w:r w:rsidRPr="004C1F30">
              <w:rPr>
                <w:b/>
                <w:sz w:val="18"/>
                <w:szCs w:val="18"/>
              </w:rPr>
              <w:t>Fundusz</w:t>
            </w:r>
          </w:p>
        </w:tc>
        <w:tc>
          <w:tcPr>
            <w:tcW w:w="741" w:type="pct"/>
            <w:shd w:val="clear" w:color="auto" w:fill="DBE5F1"/>
            <w:vAlign w:val="center"/>
          </w:tcPr>
          <w:p w14:paraId="2936FBB3" w14:textId="77777777" w:rsidR="00F9226D" w:rsidRPr="004C1F30" w:rsidRDefault="00F9226D" w:rsidP="00C25E98">
            <w:pPr>
              <w:spacing w:before="60" w:after="60" w:line="240" w:lineRule="auto"/>
              <w:jc w:val="center"/>
              <w:rPr>
                <w:b/>
                <w:sz w:val="18"/>
                <w:szCs w:val="18"/>
              </w:rPr>
            </w:pPr>
            <w:r w:rsidRPr="004C1F30">
              <w:rPr>
                <w:b/>
                <w:sz w:val="18"/>
                <w:szCs w:val="18"/>
              </w:rPr>
              <w:t xml:space="preserve">Kategoria regionu </w:t>
            </w:r>
          </w:p>
          <w:p w14:paraId="3D62CE01" w14:textId="77777777" w:rsidR="00F9226D" w:rsidRPr="004C1F30" w:rsidRDefault="00F9226D" w:rsidP="00C25E98">
            <w:pPr>
              <w:spacing w:before="60" w:after="60" w:line="240" w:lineRule="auto"/>
              <w:jc w:val="center"/>
              <w:rPr>
                <w:b/>
                <w:sz w:val="18"/>
                <w:szCs w:val="18"/>
              </w:rPr>
            </w:pPr>
            <w:r w:rsidRPr="004C1F30">
              <w:rPr>
                <w:b/>
                <w:sz w:val="18"/>
                <w:szCs w:val="18"/>
              </w:rPr>
              <w:t>(w stosownych przypadkach)</w:t>
            </w:r>
          </w:p>
        </w:tc>
        <w:tc>
          <w:tcPr>
            <w:tcW w:w="1049" w:type="pct"/>
            <w:shd w:val="clear" w:color="auto" w:fill="DBE5F1"/>
            <w:vAlign w:val="center"/>
          </w:tcPr>
          <w:p w14:paraId="1285DD40" w14:textId="77777777" w:rsidR="00F9226D" w:rsidRPr="004C1F30" w:rsidRDefault="00F9226D" w:rsidP="00C25E98">
            <w:pPr>
              <w:spacing w:before="60" w:after="60" w:line="240" w:lineRule="auto"/>
              <w:jc w:val="center"/>
              <w:rPr>
                <w:b/>
                <w:sz w:val="18"/>
                <w:szCs w:val="18"/>
              </w:rPr>
            </w:pPr>
            <w:r>
              <w:rPr>
                <w:b/>
                <w:sz w:val="18"/>
                <w:szCs w:val="18"/>
              </w:rPr>
              <w:t>Cel pośredni (2024)</w:t>
            </w:r>
          </w:p>
        </w:tc>
        <w:tc>
          <w:tcPr>
            <w:tcW w:w="1046" w:type="pct"/>
            <w:shd w:val="clear" w:color="auto" w:fill="DBE5F1"/>
            <w:vAlign w:val="center"/>
          </w:tcPr>
          <w:p w14:paraId="34858E68" w14:textId="77777777" w:rsidR="00F9226D" w:rsidRPr="004C1F30" w:rsidRDefault="00F9226D" w:rsidP="00C25E98">
            <w:pPr>
              <w:spacing w:before="60" w:after="60" w:line="240" w:lineRule="auto"/>
              <w:jc w:val="center"/>
              <w:rPr>
                <w:b/>
                <w:sz w:val="18"/>
                <w:szCs w:val="18"/>
              </w:rPr>
            </w:pPr>
            <w:r>
              <w:rPr>
                <w:b/>
                <w:sz w:val="18"/>
                <w:szCs w:val="18"/>
              </w:rPr>
              <w:t>Cel (2029)</w:t>
            </w:r>
          </w:p>
        </w:tc>
      </w:tr>
      <w:tr w:rsidR="00F9226D" w:rsidRPr="004C1F30" w14:paraId="12386D06" w14:textId="77777777" w:rsidTr="00C25E98">
        <w:trPr>
          <w:jc w:val="right"/>
        </w:trPr>
        <w:tc>
          <w:tcPr>
            <w:tcW w:w="309" w:type="pct"/>
            <w:vAlign w:val="center"/>
          </w:tcPr>
          <w:p w14:paraId="75047DAC" w14:textId="77777777" w:rsidR="00F9226D" w:rsidRPr="004C1F30" w:rsidRDefault="00F9226D" w:rsidP="00C25E98">
            <w:pPr>
              <w:spacing w:before="60" w:after="60" w:line="240" w:lineRule="auto"/>
            </w:pPr>
            <w:r w:rsidRPr="004C1F30">
              <w:t>1.</w:t>
            </w:r>
          </w:p>
        </w:tc>
        <w:tc>
          <w:tcPr>
            <w:tcW w:w="1003" w:type="pct"/>
            <w:shd w:val="clear" w:color="auto" w:fill="FFFFFF" w:themeFill="background1"/>
            <w:vAlign w:val="center"/>
          </w:tcPr>
          <w:p w14:paraId="48562FD7" w14:textId="77777777" w:rsidR="00F9226D" w:rsidRPr="004C1F30" w:rsidRDefault="00F9226D" w:rsidP="00C25E98">
            <w:pPr>
              <w:spacing w:before="60" w:after="60" w:line="240" w:lineRule="auto"/>
              <w:rPr>
                <w:b/>
              </w:rPr>
            </w:pPr>
            <w:r w:rsidRPr="004C1F30">
              <w:rPr>
                <w:b/>
              </w:rPr>
              <w:t>Liczba uczestników form szkoleniowych dla instytucji</w:t>
            </w:r>
          </w:p>
        </w:tc>
        <w:tc>
          <w:tcPr>
            <w:tcW w:w="467" w:type="pct"/>
            <w:vAlign w:val="center"/>
          </w:tcPr>
          <w:p w14:paraId="2D761B5B" w14:textId="77777777" w:rsidR="00F9226D" w:rsidRPr="004C1F30" w:rsidRDefault="00F9226D" w:rsidP="00C25E98">
            <w:pPr>
              <w:spacing w:before="60" w:after="60" w:line="240" w:lineRule="auto"/>
            </w:pPr>
            <w:r w:rsidRPr="004C1F30">
              <w:t xml:space="preserve">Osoba </w:t>
            </w:r>
          </w:p>
        </w:tc>
        <w:tc>
          <w:tcPr>
            <w:tcW w:w="385" w:type="pct"/>
            <w:vAlign w:val="center"/>
          </w:tcPr>
          <w:p w14:paraId="27043A24" w14:textId="77777777" w:rsidR="00F9226D" w:rsidRPr="004C1F30" w:rsidRDefault="00F9226D" w:rsidP="00C25E98">
            <w:pPr>
              <w:spacing w:before="60" w:after="60" w:line="240" w:lineRule="auto"/>
            </w:pPr>
            <w:r>
              <w:t>EFS+</w:t>
            </w:r>
          </w:p>
        </w:tc>
        <w:tc>
          <w:tcPr>
            <w:tcW w:w="741" w:type="pct"/>
            <w:vAlign w:val="center"/>
          </w:tcPr>
          <w:p w14:paraId="683746E0"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2BA6EA60" w14:textId="77777777" w:rsidR="00F9226D" w:rsidRPr="004C1F30" w:rsidRDefault="00F9226D" w:rsidP="00C25E98">
            <w:pPr>
              <w:spacing w:before="60" w:after="60" w:line="240" w:lineRule="auto"/>
              <w:jc w:val="center"/>
            </w:pPr>
            <w:r>
              <w:t>320</w:t>
            </w:r>
          </w:p>
        </w:tc>
        <w:tc>
          <w:tcPr>
            <w:tcW w:w="1046" w:type="pct"/>
            <w:vAlign w:val="center"/>
          </w:tcPr>
          <w:p w14:paraId="3D7A270A" w14:textId="77777777" w:rsidR="00F9226D" w:rsidRPr="004C1F30" w:rsidRDefault="00F9226D" w:rsidP="00C25E98">
            <w:pPr>
              <w:spacing w:before="60" w:after="60" w:line="240" w:lineRule="auto"/>
              <w:jc w:val="center"/>
            </w:pPr>
            <w:r>
              <w:t>720</w:t>
            </w:r>
          </w:p>
        </w:tc>
      </w:tr>
      <w:tr w:rsidR="00F9226D" w:rsidRPr="004C1F30" w14:paraId="2C334A80" w14:textId="77777777" w:rsidTr="00C25E98">
        <w:trPr>
          <w:jc w:val="right"/>
        </w:trPr>
        <w:tc>
          <w:tcPr>
            <w:tcW w:w="5000" w:type="pct"/>
            <w:gridSpan w:val="7"/>
          </w:tcPr>
          <w:p w14:paraId="19BB301C" w14:textId="77777777" w:rsidR="00F9226D" w:rsidRDefault="00F9226D" w:rsidP="00C25E98">
            <w:pPr>
              <w:spacing w:before="60" w:after="60"/>
              <w:jc w:val="both"/>
              <w:rPr>
                <w:color w:val="404040"/>
              </w:rPr>
            </w:pPr>
            <w:r w:rsidRPr="003A41DD">
              <w:rPr>
                <w:color w:val="404040"/>
              </w:rPr>
              <w:t>Obliczając wartość wskaźnika należy zsumować wszystkich uczestników wszystkich form szkoleniowych przeprowadzonych dla pracowników instytucji (tj. szkoleń, warsztatów, seminariów, kursów, studiów, webinariów, itp.) finansowanych ze środków PT. Dana osoba powinna zostać policzona tyle razy, w ilu szkoleniach wzięła udział. Wskaźnik naliczany jest raz w momencie pierwszej płatności za formę szkoleniową.   Certyfikaty/dyplomy/zaświadczenia lub inne dokumenty potwierdzające indywidualny udział w formie szkoleniowej  (lub ich potwierdzona za zgodność z oryginałem kserokopia) są przechowywane u beneficjenta i udostępniane kontrolerom projektu.   Poprzez „instytucje” rozumiane są instytucje funkcjonujące w systemie wdrażania polityki spójności w latach 2021-2027 w Polsce tj. np. Instytucje Zarządzające, Instytucje Pośredniczące, Instytucja Audytowa.</w:t>
            </w:r>
          </w:p>
          <w:p w14:paraId="3D316D1A" w14:textId="77777777" w:rsidR="00F9226D" w:rsidRPr="004C1F30" w:rsidRDefault="00F9226D" w:rsidP="00C25E98">
            <w:pPr>
              <w:spacing w:before="60" w:after="60"/>
              <w:jc w:val="both"/>
            </w:pPr>
            <w:r w:rsidRPr="003A41DD">
              <w:rPr>
                <w:color w:val="404040"/>
              </w:rPr>
              <w:t xml:space="preserve">Do wskaźnika nie są wliczane formy szkoleniowe </w:t>
            </w:r>
            <w:proofErr w:type="spellStart"/>
            <w:r w:rsidRPr="003A41DD">
              <w:rPr>
                <w:color w:val="404040"/>
              </w:rPr>
              <w:t>bezkosztowe</w:t>
            </w:r>
            <w:proofErr w:type="spellEnd"/>
            <w:r w:rsidRPr="003A41DD">
              <w:rPr>
                <w:color w:val="404040"/>
              </w:rPr>
              <w:t xml:space="preserve"> przy organizacji których nie są ponoszone żadne wydatki.</w:t>
            </w:r>
          </w:p>
        </w:tc>
      </w:tr>
      <w:tr w:rsidR="00F9226D" w:rsidRPr="004C1F30" w14:paraId="12719768" w14:textId="77777777" w:rsidTr="00C25E98">
        <w:trPr>
          <w:jc w:val="right"/>
        </w:trPr>
        <w:tc>
          <w:tcPr>
            <w:tcW w:w="309" w:type="pct"/>
            <w:vAlign w:val="center"/>
          </w:tcPr>
          <w:p w14:paraId="46BDD1FD" w14:textId="77777777" w:rsidR="00F9226D" w:rsidRPr="004C1F30" w:rsidRDefault="00F9226D" w:rsidP="00C25E98">
            <w:pPr>
              <w:spacing w:before="60" w:after="60" w:line="240" w:lineRule="auto"/>
            </w:pPr>
            <w:r w:rsidRPr="004C1F30">
              <w:t>2.</w:t>
            </w:r>
          </w:p>
        </w:tc>
        <w:tc>
          <w:tcPr>
            <w:tcW w:w="1003" w:type="pct"/>
            <w:shd w:val="clear" w:color="auto" w:fill="FFFFFF" w:themeFill="background1"/>
            <w:vAlign w:val="center"/>
          </w:tcPr>
          <w:p w14:paraId="7B2DA74E" w14:textId="77777777" w:rsidR="00F9226D" w:rsidRPr="004C1F30" w:rsidRDefault="00F9226D" w:rsidP="00C25E98">
            <w:pPr>
              <w:spacing w:before="60" w:after="60" w:line="240" w:lineRule="auto"/>
              <w:rPr>
                <w:b/>
              </w:rPr>
            </w:pPr>
            <w:r w:rsidRPr="004C1F30">
              <w:rPr>
                <w:b/>
              </w:rPr>
              <w:t>Liczba posiedzeń komitetów</w:t>
            </w:r>
            <w:r>
              <w:rPr>
                <w:b/>
              </w:rPr>
              <w:t>,</w:t>
            </w:r>
            <w:r w:rsidRPr="004C1F30">
              <w:rPr>
                <w:b/>
              </w:rPr>
              <w:t xml:space="preserve"> sieci grup oraz innych </w:t>
            </w:r>
            <w:r>
              <w:rPr>
                <w:b/>
              </w:rPr>
              <w:t>spotkań w celu wymiany doświadczeń z partnerami</w:t>
            </w:r>
          </w:p>
        </w:tc>
        <w:tc>
          <w:tcPr>
            <w:tcW w:w="467" w:type="pct"/>
            <w:vAlign w:val="center"/>
          </w:tcPr>
          <w:p w14:paraId="217857B8" w14:textId="77777777" w:rsidR="00F9226D" w:rsidRPr="004C1F30" w:rsidRDefault="00F9226D" w:rsidP="00C25E98">
            <w:pPr>
              <w:spacing w:before="60" w:after="60" w:line="240" w:lineRule="auto"/>
            </w:pPr>
            <w:r w:rsidRPr="004C1F30">
              <w:t xml:space="preserve">Sztuka </w:t>
            </w:r>
          </w:p>
        </w:tc>
        <w:tc>
          <w:tcPr>
            <w:tcW w:w="385" w:type="pct"/>
            <w:vAlign w:val="center"/>
          </w:tcPr>
          <w:p w14:paraId="20C9F567" w14:textId="77777777" w:rsidR="00F9226D" w:rsidRPr="004C1F30" w:rsidRDefault="00F9226D" w:rsidP="00C25E98">
            <w:pPr>
              <w:spacing w:before="60" w:after="60" w:line="240" w:lineRule="auto"/>
            </w:pPr>
            <w:r>
              <w:t>EFS+</w:t>
            </w:r>
          </w:p>
        </w:tc>
        <w:tc>
          <w:tcPr>
            <w:tcW w:w="741" w:type="pct"/>
            <w:vAlign w:val="center"/>
          </w:tcPr>
          <w:p w14:paraId="7ED835CC"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4794DAF4" w14:textId="77777777" w:rsidR="00F9226D" w:rsidRPr="00F9226D" w:rsidRDefault="00F9226D" w:rsidP="00C25E98">
            <w:pPr>
              <w:spacing w:before="60" w:after="60" w:line="240" w:lineRule="auto"/>
              <w:jc w:val="center"/>
            </w:pPr>
            <w:r w:rsidRPr="00F9226D">
              <w:t>12</w:t>
            </w:r>
          </w:p>
        </w:tc>
        <w:tc>
          <w:tcPr>
            <w:tcW w:w="1046" w:type="pct"/>
            <w:vAlign w:val="center"/>
          </w:tcPr>
          <w:p w14:paraId="34A0A89E" w14:textId="77777777" w:rsidR="00F9226D" w:rsidRPr="00F9226D" w:rsidRDefault="00F9226D" w:rsidP="00C25E98">
            <w:pPr>
              <w:spacing w:before="60" w:after="60" w:line="240" w:lineRule="auto"/>
              <w:jc w:val="center"/>
            </w:pPr>
            <w:r w:rsidRPr="00F9226D">
              <w:t>27</w:t>
            </w:r>
          </w:p>
        </w:tc>
      </w:tr>
      <w:tr w:rsidR="00F9226D" w:rsidRPr="004C1F30" w14:paraId="2B3C22DA" w14:textId="77777777" w:rsidTr="00C25E98">
        <w:trPr>
          <w:jc w:val="right"/>
        </w:trPr>
        <w:tc>
          <w:tcPr>
            <w:tcW w:w="5000" w:type="pct"/>
            <w:gridSpan w:val="7"/>
          </w:tcPr>
          <w:p w14:paraId="2ACA3ABD" w14:textId="77777777" w:rsidR="00F9226D" w:rsidRPr="004C1F30" w:rsidRDefault="00F9226D" w:rsidP="00C25E98">
            <w:pPr>
              <w:spacing w:before="60" w:after="60"/>
              <w:jc w:val="both"/>
            </w:pPr>
            <w:r w:rsidRPr="003A41DD">
              <w:t>Obliczając wartość wskaźnika należy zsumować liczbę zorganizowanych posiedzeń sieci tematycznych, grup roboczych, komitetów oraz innych ciał angażujących partnerów, które są finansowane z PT danego programu.</w:t>
            </w:r>
          </w:p>
        </w:tc>
      </w:tr>
      <w:tr w:rsidR="00F9226D" w:rsidRPr="004C1F30" w14:paraId="5554AB54" w14:textId="77777777" w:rsidTr="00C25E98">
        <w:trPr>
          <w:jc w:val="right"/>
        </w:trPr>
        <w:tc>
          <w:tcPr>
            <w:tcW w:w="309" w:type="pct"/>
            <w:vAlign w:val="center"/>
          </w:tcPr>
          <w:p w14:paraId="3D11D5E5" w14:textId="77777777" w:rsidR="00F9226D" w:rsidRPr="004C1F30" w:rsidRDefault="00F9226D" w:rsidP="00C25E98">
            <w:pPr>
              <w:spacing w:before="60" w:after="60" w:line="240" w:lineRule="auto"/>
            </w:pPr>
            <w:r w:rsidRPr="004C1F30">
              <w:t xml:space="preserve">3. </w:t>
            </w:r>
          </w:p>
        </w:tc>
        <w:tc>
          <w:tcPr>
            <w:tcW w:w="1003" w:type="pct"/>
            <w:shd w:val="clear" w:color="auto" w:fill="FFFFFF" w:themeFill="background1"/>
            <w:vAlign w:val="center"/>
          </w:tcPr>
          <w:p w14:paraId="70477DB7" w14:textId="77777777" w:rsidR="00F9226D" w:rsidRPr="004C1F30" w:rsidRDefault="00F9226D" w:rsidP="00C25E98">
            <w:pPr>
              <w:spacing w:before="60" w:after="60" w:line="240" w:lineRule="auto"/>
              <w:rPr>
                <w:b/>
              </w:rPr>
            </w:pPr>
            <w:r>
              <w:rPr>
                <w:b/>
              </w:rPr>
              <w:t>Liczba zakupionych komputerów</w:t>
            </w:r>
          </w:p>
        </w:tc>
        <w:tc>
          <w:tcPr>
            <w:tcW w:w="467" w:type="pct"/>
            <w:vAlign w:val="center"/>
          </w:tcPr>
          <w:p w14:paraId="01AED949" w14:textId="77777777" w:rsidR="00F9226D" w:rsidRPr="004C1F30" w:rsidRDefault="00F9226D" w:rsidP="00C25E98">
            <w:pPr>
              <w:spacing w:before="60" w:after="60" w:line="240" w:lineRule="auto"/>
            </w:pPr>
            <w:r w:rsidRPr="004C1F30">
              <w:t xml:space="preserve">Sztuka </w:t>
            </w:r>
          </w:p>
        </w:tc>
        <w:tc>
          <w:tcPr>
            <w:tcW w:w="385" w:type="pct"/>
            <w:vAlign w:val="center"/>
          </w:tcPr>
          <w:p w14:paraId="2BD2661D" w14:textId="77777777" w:rsidR="00F9226D" w:rsidRPr="004C1F30" w:rsidRDefault="00F9226D" w:rsidP="00C25E98">
            <w:pPr>
              <w:spacing w:before="60" w:after="60" w:line="240" w:lineRule="auto"/>
            </w:pPr>
            <w:r>
              <w:t>EFS+</w:t>
            </w:r>
          </w:p>
        </w:tc>
        <w:tc>
          <w:tcPr>
            <w:tcW w:w="741" w:type="pct"/>
            <w:vAlign w:val="center"/>
          </w:tcPr>
          <w:p w14:paraId="41A440E7"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555AAAA5" w14:textId="77777777" w:rsidR="00F9226D" w:rsidRPr="004C1F30" w:rsidRDefault="00F9226D" w:rsidP="00C25E98">
            <w:pPr>
              <w:spacing w:before="60" w:after="60" w:line="240" w:lineRule="auto"/>
              <w:jc w:val="center"/>
            </w:pPr>
            <w:r>
              <w:t>80</w:t>
            </w:r>
          </w:p>
        </w:tc>
        <w:tc>
          <w:tcPr>
            <w:tcW w:w="1046" w:type="pct"/>
            <w:vAlign w:val="center"/>
          </w:tcPr>
          <w:p w14:paraId="125155C9" w14:textId="77777777" w:rsidR="00F9226D" w:rsidRPr="004C1F30" w:rsidRDefault="00F9226D" w:rsidP="00C25E98">
            <w:pPr>
              <w:spacing w:before="60" w:after="60" w:line="240" w:lineRule="auto"/>
              <w:jc w:val="center"/>
            </w:pPr>
            <w:r>
              <w:t>180</w:t>
            </w:r>
          </w:p>
        </w:tc>
      </w:tr>
      <w:tr w:rsidR="00F9226D" w:rsidRPr="004C1F30" w14:paraId="50A02881" w14:textId="77777777" w:rsidTr="00C25E98">
        <w:trPr>
          <w:jc w:val="right"/>
        </w:trPr>
        <w:tc>
          <w:tcPr>
            <w:tcW w:w="5000" w:type="pct"/>
            <w:gridSpan w:val="7"/>
            <w:shd w:val="clear" w:color="auto" w:fill="auto"/>
          </w:tcPr>
          <w:p w14:paraId="2C3D8EE8" w14:textId="77777777" w:rsidR="00F9226D" w:rsidRPr="004C1F30" w:rsidRDefault="00F9226D" w:rsidP="00C25E98">
            <w:pPr>
              <w:spacing w:before="60" w:after="60"/>
              <w:jc w:val="both"/>
            </w:pPr>
            <w:r w:rsidRPr="003A41DD">
              <w:t xml:space="preserve">Do wartości wskaźnika wliczane są zakupione komputery stacjonarne (także </w:t>
            </w:r>
            <w:proofErr w:type="spellStart"/>
            <w:r w:rsidRPr="003A41DD">
              <w:t>All</w:t>
            </w:r>
            <w:proofErr w:type="spellEnd"/>
            <w:r w:rsidRPr="003A41DD">
              <w:t>-in-One) oraz laptopy, które zostały sfinansowane ze środków pomocy technicznej.</w:t>
            </w:r>
          </w:p>
        </w:tc>
      </w:tr>
      <w:tr w:rsidR="00F9226D" w:rsidRPr="004C1F30" w14:paraId="6E4D9154" w14:textId="77777777" w:rsidTr="00C25E98">
        <w:trPr>
          <w:jc w:val="right"/>
        </w:trPr>
        <w:tc>
          <w:tcPr>
            <w:tcW w:w="309" w:type="pct"/>
            <w:vAlign w:val="center"/>
          </w:tcPr>
          <w:p w14:paraId="2B3ECEFB" w14:textId="77777777" w:rsidR="00F9226D" w:rsidRPr="004C1F30" w:rsidRDefault="00F9226D" w:rsidP="00C25E98">
            <w:pPr>
              <w:spacing w:before="60" w:after="60" w:line="240" w:lineRule="auto"/>
            </w:pPr>
            <w:r w:rsidRPr="004C1F30">
              <w:t xml:space="preserve">4. </w:t>
            </w:r>
          </w:p>
        </w:tc>
        <w:tc>
          <w:tcPr>
            <w:tcW w:w="1003" w:type="pct"/>
            <w:shd w:val="clear" w:color="auto" w:fill="FFFFFF" w:themeFill="background1"/>
            <w:vAlign w:val="center"/>
          </w:tcPr>
          <w:p w14:paraId="23973F2A" w14:textId="77777777" w:rsidR="00F9226D" w:rsidRPr="004C1F30" w:rsidRDefault="00F9226D" w:rsidP="00C25E98">
            <w:pPr>
              <w:spacing w:before="60" w:after="60" w:line="240" w:lineRule="auto"/>
              <w:rPr>
                <w:b/>
              </w:rPr>
            </w:pPr>
            <w:r w:rsidRPr="004C1F30">
              <w:rPr>
                <w:b/>
              </w:rPr>
              <w:t>Liczba przeprowadzonych ewaluacji</w:t>
            </w:r>
          </w:p>
        </w:tc>
        <w:tc>
          <w:tcPr>
            <w:tcW w:w="467" w:type="pct"/>
            <w:vAlign w:val="center"/>
          </w:tcPr>
          <w:p w14:paraId="7C5EE8C6" w14:textId="77777777" w:rsidR="00F9226D" w:rsidRPr="004C1F30" w:rsidRDefault="00F9226D" w:rsidP="00C25E98">
            <w:pPr>
              <w:spacing w:before="60" w:after="60" w:line="240" w:lineRule="auto"/>
            </w:pPr>
            <w:r w:rsidRPr="004C1F30">
              <w:t>Sztuka</w:t>
            </w:r>
          </w:p>
        </w:tc>
        <w:tc>
          <w:tcPr>
            <w:tcW w:w="385" w:type="pct"/>
            <w:vAlign w:val="center"/>
          </w:tcPr>
          <w:p w14:paraId="6014EECF" w14:textId="77777777" w:rsidR="00F9226D" w:rsidRPr="004C1F30" w:rsidRDefault="00F9226D" w:rsidP="00C25E98">
            <w:pPr>
              <w:spacing w:before="60" w:after="60" w:line="240" w:lineRule="auto"/>
            </w:pPr>
            <w:r>
              <w:t>EFS+</w:t>
            </w:r>
          </w:p>
        </w:tc>
        <w:tc>
          <w:tcPr>
            <w:tcW w:w="741" w:type="pct"/>
            <w:vAlign w:val="center"/>
          </w:tcPr>
          <w:p w14:paraId="1E1A7735"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785BF754" w14:textId="77777777" w:rsidR="00F9226D" w:rsidRPr="00F9226D" w:rsidRDefault="00F9226D" w:rsidP="00C25E98">
            <w:pPr>
              <w:spacing w:before="60" w:after="60" w:line="240" w:lineRule="auto"/>
              <w:jc w:val="center"/>
            </w:pPr>
            <w:r w:rsidRPr="00F9226D">
              <w:t>4</w:t>
            </w:r>
          </w:p>
        </w:tc>
        <w:tc>
          <w:tcPr>
            <w:tcW w:w="1046" w:type="pct"/>
            <w:vAlign w:val="center"/>
          </w:tcPr>
          <w:p w14:paraId="7B2C51DD" w14:textId="77777777" w:rsidR="00F9226D" w:rsidRPr="00F9226D" w:rsidRDefault="00F9226D" w:rsidP="00C25E98">
            <w:pPr>
              <w:spacing w:before="60" w:after="60" w:line="240" w:lineRule="auto"/>
              <w:jc w:val="center"/>
            </w:pPr>
            <w:r w:rsidRPr="00F9226D">
              <w:t>9</w:t>
            </w:r>
          </w:p>
        </w:tc>
      </w:tr>
      <w:tr w:rsidR="00F9226D" w:rsidRPr="004C1F30" w14:paraId="4D6C7E6F" w14:textId="77777777" w:rsidTr="00C25E98">
        <w:trPr>
          <w:jc w:val="right"/>
        </w:trPr>
        <w:tc>
          <w:tcPr>
            <w:tcW w:w="5000" w:type="pct"/>
            <w:gridSpan w:val="7"/>
            <w:shd w:val="clear" w:color="auto" w:fill="auto"/>
          </w:tcPr>
          <w:p w14:paraId="30CD4212" w14:textId="77777777" w:rsidR="00F9226D" w:rsidRPr="004C1F30" w:rsidRDefault="00F9226D" w:rsidP="00C25E98">
            <w:pPr>
              <w:spacing w:before="60" w:after="60"/>
            </w:pPr>
            <w:r w:rsidRPr="003A41DD">
              <w:t xml:space="preserve">Do wartości wskaźnika wliczane są wszystkie badania ewaluacyjne finansowane z PT polegające na analizie i ocenie skuteczności, efektywności, użyteczności, trafności, trwałości lub spójności interwencji publicznych realizowanych w ramach polityki spójności, służące poprawie jakości ich programowania i wdrażania, a także analizy i oceny tzw. wpływu lub wartości dodanej UE.   Ewaluacje realizowane są przez </w:t>
            </w:r>
            <w:proofErr w:type="spellStart"/>
            <w:r w:rsidRPr="003A41DD">
              <w:t>ewaluatorów</w:t>
            </w:r>
            <w:proofErr w:type="spellEnd"/>
            <w:r w:rsidRPr="003A41DD">
              <w:t xml:space="preserve"> zewnętrznych lub wewnętrznych funkcjonalnie niezależnych od podmiotów odpowiedzialnych za realizację programów operacyjnych.</w:t>
            </w:r>
          </w:p>
        </w:tc>
      </w:tr>
      <w:tr w:rsidR="00F9226D" w:rsidRPr="004C1F30" w14:paraId="10EEF8DD" w14:textId="77777777" w:rsidTr="00C25E98">
        <w:trPr>
          <w:jc w:val="right"/>
        </w:trPr>
        <w:tc>
          <w:tcPr>
            <w:tcW w:w="309" w:type="pct"/>
            <w:vAlign w:val="center"/>
          </w:tcPr>
          <w:p w14:paraId="563B569E" w14:textId="77777777" w:rsidR="00F9226D" w:rsidRPr="004C1F30" w:rsidRDefault="00F9226D" w:rsidP="00C25E98">
            <w:pPr>
              <w:spacing w:before="60" w:after="60" w:line="240" w:lineRule="auto"/>
            </w:pPr>
            <w:r>
              <w:t>5</w:t>
            </w:r>
            <w:r w:rsidRPr="004C1F30">
              <w:t>.</w:t>
            </w:r>
          </w:p>
        </w:tc>
        <w:tc>
          <w:tcPr>
            <w:tcW w:w="1003" w:type="pct"/>
            <w:shd w:val="clear" w:color="auto" w:fill="FFFFFF" w:themeFill="background1"/>
            <w:vAlign w:val="center"/>
          </w:tcPr>
          <w:p w14:paraId="3D76D3A0" w14:textId="77777777" w:rsidR="00F9226D" w:rsidRPr="004C1F30" w:rsidRDefault="00F9226D" w:rsidP="00C25E98">
            <w:pPr>
              <w:spacing w:before="60" w:after="60" w:line="240" w:lineRule="auto"/>
              <w:rPr>
                <w:b/>
              </w:rPr>
            </w:pPr>
            <w:r w:rsidRPr="003A41DD">
              <w:rPr>
                <w:b/>
              </w:rPr>
              <w:t xml:space="preserve">Średnioroczna liczba etatów </w:t>
            </w:r>
            <w:r w:rsidRPr="003A41DD">
              <w:rPr>
                <w:b/>
              </w:rPr>
              <w:lastRenderedPageBreak/>
              <w:t>finansowanych z PT</w:t>
            </w:r>
          </w:p>
        </w:tc>
        <w:tc>
          <w:tcPr>
            <w:tcW w:w="467" w:type="pct"/>
            <w:vAlign w:val="center"/>
          </w:tcPr>
          <w:p w14:paraId="12A16E01" w14:textId="77777777" w:rsidR="00F9226D" w:rsidRPr="004C1F30" w:rsidRDefault="00F9226D" w:rsidP="00C25E98">
            <w:pPr>
              <w:spacing w:before="60" w:after="60" w:line="240" w:lineRule="auto"/>
            </w:pPr>
            <w:r w:rsidRPr="004C1F30">
              <w:lastRenderedPageBreak/>
              <w:t xml:space="preserve">Sztuka </w:t>
            </w:r>
          </w:p>
        </w:tc>
        <w:tc>
          <w:tcPr>
            <w:tcW w:w="385" w:type="pct"/>
            <w:vAlign w:val="center"/>
          </w:tcPr>
          <w:p w14:paraId="5605DDC6" w14:textId="77777777" w:rsidR="00F9226D" w:rsidRPr="004C1F30" w:rsidRDefault="00F9226D" w:rsidP="00C25E98">
            <w:pPr>
              <w:spacing w:before="60" w:after="60" w:line="240" w:lineRule="auto"/>
            </w:pPr>
            <w:r>
              <w:t>EFS+</w:t>
            </w:r>
          </w:p>
        </w:tc>
        <w:tc>
          <w:tcPr>
            <w:tcW w:w="741" w:type="pct"/>
            <w:vAlign w:val="center"/>
          </w:tcPr>
          <w:p w14:paraId="3A19E4B9"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0E686759" w14:textId="77777777" w:rsidR="00F9226D" w:rsidRPr="004C1F30" w:rsidRDefault="00F9226D" w:rsidP="00C25E98">
            <w:pPr>
              <w:spacing w:before="60" w:after="60" w:line="240" w:lineRule="auto"/>
              <w:jc w:val="center"/>
            </w:pPr>
            <w:r>
              <w:t>336</w:t>
            </w:r>
          </w:p>
        </w:tc>
        <w:tc>
          <w:tcPr>
            <w:tcW w:w="1046" w:type="pct"/>
            <w:vAlign w:val="center"/>
          </w:tcPr>
          <w:p w14:paraId="56518883" w14:textId="77777777" w:rsidR="00F9226D" w:rsidRPr="004C1F30" w:rsidRDefault="00F9226D" w:rsidP="00C25E98">
            <w:pPr>
              <w:spacing w:before="60" w:after="60" w:line="240" w:lineRule="auto"/>
              <w:jc w:val="center"/>
            </w:pPr>
            <w:r>
              <w:t>756</w:t>
            </w:r>
          </w:p>
        </w:tc>
      </w:tr>
      <w:tr w:rsidR="00F9226D" w:rsidRPr="004C1F30" w14:paraId="263AF770" w14:textId="77777777" w:rsidTr="00C25E98">
        <w:trPr>
          <w:jc w:val="right"/>
        </w:trPr>
        <w:tc>
          <w:tcPr>
            <w:tcW w:w="5000" w:type="pct"/>
            <w:gridSpan w:val="7"/>
          </w:tcPr>
          <w:p w14:paraId="3ACDDFA5" w14:textId="77777777" w:rsidR="00F9226D" w:rsidRDefault="00F9226D" w:rsidP="00C25E98">
            <w:pPr>
              <w:spacing w:before="60" w:after="60"/>
              <w:jc w:val="both"/>
            </w:pPr>
            <w:r w:rsidRPr="00027C97">
              <w:t xml:space="preserve">Wartość wskaźnika liczona jest poprzez zsumowanie liczby pełnych etatów finansowanych z PT w poszczególnych miesiącach i podzieleniu ich przez 12 miesięcy lub odpowiednio mniejszą liczbę miesięcy jeżeli finansowanie nie obejmowało pełnego roku.    </w:t>
            </w:r>
          </w:p>
          <w:p w14:paraId="0709A0F9" w14:textId="77777777" w:rsidR="00F9226D" w:rsidRDefault="00F9226D" w:rsidP="00C25E98">
            <w:pPr>
              <w:spacing w:before="60" w:after="60"/>
              <w:jc w:val="both"/>
            </w:pPr>
            <w:r w:rsidRPr="00027C97">
              <w:t xml:space="preserve">W = (LE1 + LE2 + ….+ LEN)/ LM   </w:t>
            </w:r>
          </w:p>
          <w:p w14:paraId="177136BE" w14:textId="77777777" w:rsidR="00F9226D" w:rsidRDefault="00F9226D" w:rsidP="00C25E98">
            <w:pPr>
              <w:spacing w:before="60" w:after="60"/>
              <w:jc w:val="both"/>
            </w:pPr>
            <w:r w:rsidRPr="00027C97">
              <w:t xml:space="preserve">W – wartość wskaźnika, </w:t>
            </w:r>
          </w:p>
          <w:p w14:paraId="6D4DD908" w14:textId="77777777" w:rsidR="00F9226D" w:rsidRDefault="00F9226D" w:rsidP="00C25E98">
            <w:pPr>
              <w:spacing w:before="60" w:after="60"/>
              <w:jc w:val="both"/>
            </w:pPr>
            <w:r w:rsidRPr="00027C97">
              <w:t xml:space="preserve">LE – liczba pełnych etatów finansowanych w danym miesiącu, </w:t>
            </w:r>
          </w:p>
          <w:p w14:paraId="5E8C0915" w14:textId="77777777" w:rsidR="00F9226D" w:rsidRDefault="00F9226D" w:rsidP="00C25E98">
            <w:pPr>
              <w:spacing w:before="60" w:after="60"/>
              <w:jc w:val="both"/>
            </w:pPr>
            <w:r w:rsidRPr="00027C97">
              <w:t>LM – liczba miesięcy finansowania etatów z PT</w:t>
            </w:r>
            <w:r>
              <w:t>.</w:t>
            </w:r>
            <w:r w:rsidRPr="00027C97">
              <w:t xml:space="preserve">   </w:t>
            </w:r>
          </w:p>
          <w:p w14:paraId="3D454A2A" w14:textId="77777777" w:rsidR="00F9226D" w:rsidRPr="004C1F30" w:rsidRDefault="00F9226D" w:rsidP="00C25E98">
            <w:pPr>
              <w:spacing w:before="60" w:after="60"/>
              <w:jc w:val="both"/>
            </w:pPr>
            <w:r w:rsidRPr="00027C97">
              <w:t>Liczba pełnych etatów finansowanych w danym miesiącu (LE) liczona jest jako suma iloczynów poziomu kwalifikowalności i wymiaru czasu pracy dla każdego stanowiska finansowanego z PT.    LE = PK1*WE1 + PK2*WE2 + … +PKN*WEN   PK – poziom kwalifikowalności, WE – wymiar etatu. Zliczane są wyłącznie etaty w ramach umowy o pracę. W przypadku zmiany poziomu kwalifikowalności lub wymiaru etatu w ciągu miesiąca dla całego miesiąca przyjmowany jest poziom obowiązujący na ostatni dzień tego miesiąca lub ostatni dzień obsadzenia tego stanowiska (w sytuacji gdy pracownik kończy pracę i stanowisko pozostaje nieobsadzone).    Nie ma możliwości dzielenia miesiąca tj. nawet jeśli pracownik przepracował tylko kilka dni w danym miesiącu jest on w całości wliczany do wartości wskaźnika. W tym przypadku wynagrodzenie jest współfinansowane w sposób proporcjonalny. Do wskaźnika nie wliczane są okresy w których nie są ponoszone koszty w związku z płacą zasadniczą.</w:t>
            </w:r>
          </w:p>
        </w:tc>
      </w:tr>
      <w:tr w:rsidR="00F9226D" w:rsidRPr="004C1F30" w14:paraId="5047214A" w14:textId="77777777" w:rsidTr="00C25E98">
        <w:trPr>
          <w:jc w:val="right"/>
        </w:trPr>
        <w:tc>
          <w:tcPr>
            <w:tcW w:w="309" w:type="pct"/>
            <w:vAlign w:val="center"/>
          </w:tcPr>
          <w:p w14:paraId="3F3356C9" w14:textId="77777777" w:rsidR="00F9226D" w:rsidRPr="004C1F30" w:rsidRDefault="00F9226D" w:rsidP="00C25E98">
            <w:pPr>
              <w:spacing w:before="60" w:after="60" w:line="240" w:lineRule="auto"/>
            </w:pPr>
            <w:r>
              <w:t>6</w:t>
            </w:r>
            <w:r w:rsidRPr="004C1F30">
              <w:t>.</w:t>
            </w:r>
          </w:p>
        </w:tc>
        <w:tc>
          <w:tcPr>
            <w:tcW w:w="1003" w:type="pct"/>
            <w:shd w:val="clear" w:color="auto" w:fill="FFFFFF" w:themeFill="background1"/>
            <w:vAlign w:val="center"/>
          </w:tcPr>
          <w:p w14:paraId="2F95215B" w14:textId="77777777" w:rsidR="00F9226D" w:rsidRPr="004C1F30" w:rsidRDefault="00F9226D" w:rsidP="00C25E98">
            <w:pPr>
              <w:spacing w:before="60" w:after="60" w:line="240" w:lineRule="auto"/>
              <w:rPr>
                <w:b/>
              </w:rPr>
            </w:pPr>
            <w:r w:rsidRPr="004C1F30">
              <w:rPr>
                <w:b/>
              </w:rPr>
              <w:t>Liczba opracowanych ekspertyz</w:t>
            </w:r>
          </w:p>
        </w:tc>
        <w:tc>
          <w:tcPr>
            <w:tcW w:w="467" w:type="pct"/>
            <w:vAlign w:val="center"/>
          </w:tcPr>
          <w:p w14:paraId="072D6CB7" w14:textId="77777777" w:rsidR="00F9226D" w:rsidRPr="004C1F30" w:rsidRDefault="00F9226D" w:rsidP="00C25E98">
            <w:pPr>
              <w:spacing w:before="60" w:after="60" w:line="240" w:lineRule="auto"/>
            </w:pPr>
            <w:r w:rsidRPr="004C1F30">
              <w:t>Sztuka</w:t>
            </w:r>
          </w:p>
        </w:tc>
        <w:tc>
          <w:tcPr>
            <w:tcW w:w="385" w:type="pct"/>
            <w:vAlign w:val="center"/>
          </w:tcPr>
          <w:p w14:paraId="74B054FC" w14:textId="77777777" w:rsidR="00F9226D" w:rsidRPr="004C1F30" w:rsidRDefault="00F9226D" w:rsidP="00C25E98">
            <w:pPr>
              <w:spacing w:before="60" w:after="60" w:line="240" w:lineRule="auto"/>
            </w:pPr>
            <w:r>
              <w:t>EFS+</w:t>
            </w:r>
          </w:p>
        </w:tc>
        <w:tc>
          <w:tcPr>
            <w:tcW w:w="741" w:type="pct"/>
            <w:vAlign w:val="center"/>
          </w:tcPr>
          <w:p w14:paraId="2BB943B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7D67297A" w14:textId="77777777" w:rsidR="00F9226D" w:rsidRPr="004C1F30" w:rsidRDefault="00F9226D" w:rsidP="00C25E98">
            <w:pPr>
              <w:spacing w:before="60" w:after="60" w:line="240" w:lineRule="auto"/>
              <w:jc w:val="center"/>
            </w:pPr>
            <w:r>
              <w:t>12</w:t>
            </w:r>
          </w:p>
        </w:tc>
        <w:tc>
          <w:tcPr>
            <w:tcW w:w="1046" w:type="pct"/>
            <w:vAlign w:val="center"/>
          </w:tcPr>
          <w:p w14:paraId="79AF2C65" w14:textId="77777777" w:rsidR="00F9226D" w:rsidRPr="004C1F30" w:rsidRDefault="00F9226D" w:rsidP="00C25E98">
            <w:pPr>
              <w:spacing w:before="60" w:after="60" w:line="240" w:lineRule="auto"/>
              <w:jc w:val="center"/>
            </w:pPr>
            <w:r>
              <w:t>27</w:t>
            </w:r>
          </w:p>
        </w:tc>
      </w:tr>
      <w:tr w:rsidR="00F9226D" w:rsidRPr="004C1F30" w14:paraId="2E25FC0C" w14:textId="77777777" w:rsidTr="00C25E98">
        <w:trPr>
          <w:jc w:val="right"/>
        </w:trPr>
        <w:tc>
          <w:tcPr>
            <w:tcW w:w="5000" w:type="pct"/>
            <w:gridSpan w:val="7"/>
          </w:tcPr>
          <w:p w14:paraId="53D504CD" w14:textId="77777777" w:rsidR="00F9226D" w:rsidRPr="004C1F30" w:rsidRDefault="00F9226D" w:rsidP="00C25E98">
            <w:pPr>
              <w:spacing w:before="60" w:after="60"/>
              <w:jc w:val="both"/>
            </w:pPr>
            <w:r w:rsidRPr="003A41DD">
              <w:t>Obliczając wartość wskaźnika należy zsumować wszystkie ekspertyzy (tj. sporządzone opinie, analizy, studia, koncepcje itp.), które zostały zakończone wydaniem stosownego dokumentu i zostały sporządzone na potrzeby instytucji lub partnerów będących członkami sieci tematycznych, grup roboczych lub komitetów, a także innych ciał dialogu angażujących partnerów, których działalność finansowana jest ze środków pomocy technicznej. Do wskaźnika nie wlicza się ewaluacji, które liczone są w ramach wskaźnika „Liczba przeprowadzonych ewaluacji”.</w:t>
            </w:r>
          </w:p>
        </w:tc>
      </w:tr>
      <w:tr w:rsidR="00F9226D" w:rsidRPr="004C1F30" w14:paraId="544388DD" w14:textId="77777777" w:rsidTr="00C25E98">
        <w:trPr>
          <w:jc w:val="right"/>
        </w:trPr>
        <w:tc>
          <w:tcPr>
            <w:tcW w:w="309" w:type="pct"/>
            <w:vAlign w:val="center"/>
          </w:tcPr>
          <w:p w14:paraId="02432E75" w14:textId="77777777" w:rsidR="00F9226D" w:rsidRPr="004C1F30" w:rsidRDefault="00F9226D" w:rsidP="00C25E98">
            <w:pPr>
              <w:spacing w:before="60" w:after="60" w:line="240" w:lineRule="auto"/>
            </w:pPr>
            <w:r>
              <w:t>7</w:t>
            </w:r>
            <w:r w:rsidRPr="004C1F30">
              <w:t>.</w:t>
            </w:r>
          </w:p>
        </w:tc>
        <w:tc>
          <w:tcPr>
            <w:tcW w:w="1003" w:type="pct"/>
            <w:shd w:val="clear" w:color="auto" w:fill="FFFFFF" w:themeFill="background1"/>
            <w:vAlign w:val="center"/>
          </w:tcPr>
          <w:p w14:paraId="6659E6AA" w14:textId="77777777" w:rsidR="00F9226D" w:rsidRPr="004C1F30" w:rsidRDefault="00F9226D" w:rsidP="00C25E98">
            <w:pPr>
              <w:spacing w:before="60" w:after="60" w:line="240" w:lineRule="auto"/>
              <w:rPr>
                <w:b/>
              </w:rPr>
            </w:pPr>
            <w:r w:rsidRPr="004C1F30">
              <w:rPr>
                <w:b/>
              </w:rPr>
              <w:t xml:space="preserve">Liczba uczestników form szkoleniowych dla beneficjentów </w:t>
            </w:r>
          </w:p>
        </w:tc>
        <w:tc>
          <w:tcPr>
            <w:tcW w:w="467" w:type="pct"/>
            <w:vAlign w:val="center"/>
          </w:tcPr>
          <w:p w14:paraId="21F2EF63" w14:textId="77777777" w:rsidR="00F9226D" w:rsidRPr="004C1F30" w:rsidRDefault="00F9226D" w:rsidP="00C25E98">
            <w:pPr>
              <w:spacing w:before="60" w:after="60" w:line="240" w:lineRule="auto"/>
            </w:pPr>
            <w:r w:rsidRPr="004C1F30">
              <w:t xml:space="preserve">Osoba </w:t>
            </w:r>
          </w:p>
        </w:tc>
        <w:tc>
          <w:tcPr>
            <w:tcW w:w="385" w:type="pct"/>
            <w:vAlign w:val="center"/>
          </w:tcPr>
          <w:p w14:paraId="7FD67B75" w14:textId="77777777" w:rsidR="00F9226D" w:rsidRPr="004C1F30" w:rsidRDefault="00F9226D" w:rsidP="00C25E98">
            <w:pPr>
              <w:spacing w:before="60" w:after="60" w:line="240" w:lineRule="auto"/>
            </w:pPr>
            <w:r>
              <w:t>EFS+</w:t>
            </w:r>
          </w:p>
        </w:tc>
        <w:tc>
          <w:tcPr>
            <w:tcW w:w="741" w:type="pct"/>
            <w:vAlign w:val="center"/>
          </w:tcPr>
          <w:p w14:paraId="624B372E"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7A90CD54" w14:textId="77777777" w:rsidR="00F9226D" w:rsidRPr="00F9226D" w:rsidRDefault="00F9226D" w:rsidP="00C25E98">
            <w:pPr>
              <w:spacing w:before="60" w:after="60" w:line="240" w:lineRule="auto"/>
              <w:jc w:val="center"/>
            </w:pPr>
            <w:r w:rsidRPr="00F9226D">
              <w:t>1 040</w:t>
            </w:r>
          </w:p>
        </w:tc>
        <w:tc>
          <w:tcPr>
            <w:tcW w:w="1046" w:type="pct"/>
            <w:vAlign w:val="center"/>
          </w:tcPr>
          <w:p w14:paraId="202205C1" w14:textId="77777777" w:rsidR="00F9226D" w:rsidRPr="00F9226D" w:rsidRDefault="00F9226D" w:rsidP="00C25E98">
            <w:pPr>
              <w:spacing w:before="60" w:after="60" w:line="240" w:lineRule="auto"/>
              <w:jc w:val="center"/>
            </w:pPr>
            <w:r w:rsidRPr="00F9226D">
              <w:t>2 340</w:t>
            </w:r>
          </w:p>
        </w:tc>
      </w:tr>
      <w:tr w:rsidR="00F9226D" w:rsidRPr="004C1F30" w14:paraId="387EE83F" w14:textId="77777777" w:rsidTr="00C25E98">
        <w:trPr>
          <w:jc w:val="right"/>
        </w:trPr>
        <w:tc>
          <w:tcPr>
            <w:tcW w:w="5000" w:type="pct"/>
            <w:gridSpan w:val="7"/>
          </w:tcPr>
          <w:p w14:paraId="3DE678A0" w14:textId="77777777" w:rsidR="00F9226D" w:rsidRPr="00F9226D" w:rsidRDefault="00F9226D" w:rsidP="00C25E98">
            <w:pPr>
              <w:spacing w:before="60" w:after="60"/>
              <w:jc w:val="both"/>
            </w:pPr>
            <w:r w:rsidRPr="00F9226D">
              <w:t xml:space="preserve">Obliczając wartość wskaźnika należy zsumować wszystkich uczestników wszystkich form szkoleniowych dla beneficjentów lub potencjalnych beneficjentów (tj. szkoleń, warsztatów, seminariów, kursów, webinariów, itp.) finansowanych z PT.  </w:t>
            </w:r>
          </w:p>
          <w:p w14:paraId="4DAE7302" w14:textId="77777777" w:rsidR="00F9226D" w:rsidRPr="00F9226D" w:rsidRDefault="00F9226D" w:rsidP="00C25E98">
            <w:pPr>
              <w:spacing w:before="60" w:after="60"/>
              <w:jc w:val="both"/>
            </w:pPr>
            <w:r w:rsidRPr="00F9226D">
              <w:t xml:space="preserve">Do wskaźnika nie są wliczane formy szkoleniowe </w:t>
            </w:r>
            <w:proofErr w:type="spellStart"/>
            <w:r w:rsidRPr="00F9226D">
              <w:t>bezkosztowe</w:t>
            </w:r>
            <w:proofErr w:type="spellEnd"/>
            <w:r w:rsidRPr="00F9226D">
              <w:t>, przy organizacji których nie są ponoszone żadne wydatki.</w:t>
            </w:r>
          </w:p>
        </w:tc>
      </w:tr>
      <w:tr w:rsidR="00F9226D" w:rsidRPr="004C1F30" w14:paraId="03C24EC9" w14:textId="77777777" w:rsidTr="00C25E98">
        <w:trPr>
          <w:jc w:val="right"/>
        </w:trPr>
        <w:tc>
          <w:tcPr>
            <w:tcW w:w="309" w:type="pct"/>
            <w:vAlign w:val="center"/>
          </w:tcPr>
          <w:p w14:paraId="77A08E87" w14:textId="77777777" w:rsidR="00F9226D" w:rsidRPr="004C1F30" w:rsidRDefault="00F9226D" w:rsidP="00C25E98">
            <w:pPr>
              <w:spacing w:before="60" w:after="60" w:line="240" w:lineRule="auto"/>
            </w:pPr>
            <w:r>
              <w:t>8</w:t>
            </w:r>
            <w:r w:rsidRPr="004C1F30">
              <w:t>.</w:t>
            </w:r>
          </w:p>
        </w:tc>
        <w:tc>
          <w:tcPr>
            <w:tcW w:w="1003" w:type="pct"/>
            <w:shd w:val="clear" w:color="auto" w:fill="FFFFFF" w:themeFill="background1"/>
            <w:vAlign w:val="center"/>
          </w:tcPr>
          <w:p w14:paraId="6588C27C" w14:textId="77777777" w:rsidR="00F9226D" w:rsidRPr="004C1F30" w:rsidRDefault="00F9226D" w:rsidP="00C25E98">
            <w:pPr>
              <w:spacing w:before="60" w:after="60" w:line="240" w:lineRule="auto"/>
              <w:rPr>
                <w:b/>
              </w:rPr>
            </w:pPr>
            <w:r w:rsidRPr="00027C97">
              <w:rPr>
                <w:b/>
              </w:rPr>
              <w:t>Liczba działań informacyjno-promocyjnych o szerokim zasięgu</w:t>
            </w:r>
          </w:p>
        </w:tc>
        <w:tc>
          <w:tcPr>
            <w:tcW w:w="467" w:type="pct"/>
            <w:vAlign w:val="center"/>
          </w:tcPr>
          <w:p w14:paraId="4A99E92F" w14:textId="77777777" w:rsidR="00F9226D" w:rsidRPr="004C1F30" w:rsidRDefault="00F9226D" w:rsidP="00C25E98">
            <w:pPr>
              <w:spacing w:before="60" w:after="60" w:line="240" w:lineRule="auto"/>
            </w:pPr>
            <w:r w:rsidRPr="004C1F30">
              <w:t>Sztuka</w:t>
            </w:r>
          </w:p>
        </w:tc>
        <w:tc>
          <w:tcPr>
            <w:tcW w:w="385" w:type="pct"/>
            <w:vAlign w:val="center"/>
          </w:tcPr>
          <w:p w14:paraId="0D939D9F" w14:textId="77777777" w:rsidR="00F9226D" w:rsidRPr="004C1F30" w:rsidRDefault="00F9226D" w:rsidP="00C25E98">
            <w:pPr>
              <w:spacing w:before="60" w:after="60" w:line="240" w:lineRule="auto"/>
            </w:pPr>
            <w:r>
              <w:t>EFS+</w:t>
            </w:r>
          </w:p>
        </w:tc>
        <w:tc>
          <w:tcPr>
            <w:tcW w:w="741" w:type="pct"/>
            <w:vAlign w:val="center"/>
          </w:tcPr>
          <w:p w14:paraId="7312A5AA"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2D6A60D9" w14:textId="77777777" w:rsidR="00F9226D" w:rsidRPr="00F9226D" w:rsidRDefault="00F9226D" w:rsidP="00C25E98">
            <w:pPr>
              <w:spacing w:before="60" w:after="60" w:line="240" w:lineRule="auto"/>
              <w:jc w:val="center"/>
            </w:pPr>
            <w:r w:rsidRPr="00F9226D">
              <w:t>4</w:t>
            </w:r>
          </w:p>
        </w:tc>
        <w:tc>
          <w:tcPr>
            <w:tcW w:w="1046" w:type="pct"/>
            <w:vAlign w:val="center"/>
          </w:tcPr>
          <w:p w14:paraId="6512227F" w14:textId="77777777" w:rsidR="00F9226D" w:rsidRPr="00F9226D" w:rsidRDefault="00F9226D" w:rsidP="00C25E98">
            <w:pPr>
              <w:spacing w:before="60" w:after="60" w:line="240" w:lineRule="auto"/>
              <w:jc w:val="center"/>
            </w:pPr>
            <w:r w:rsidRPr="00F9226D">
              <w:t>9</w:t>
            </w:r>
          </w:p>
        </w:tc>
      </w:tr>
      <w:tr w:rsidR="00F9226D" w:rsidRPr="004C1F30" w14:paraId="702D08B7" w14:textId="77777777" w:rsidTr="00C25E98">
        <w:trPr>
          <w:jc w:val="right"/>
        </w:trPr>
        <w:tc>
          <w:tcPr>
            <w:tcW w:w="5000" w:type="pct"/>
            <w:gridSpan w:val="7"/>
          </w:tcPr>
          <w:p w14:paraId="50553708" w14:textId="77777777" w:rsidR="00F9226D" w:rsidRPr="004C1F30" w:rsidRDefault="00F9226D" w:rsidP="00C25E98">
            <w:pPr>
              <w:spacing w:before="60" w:after="60"/>
              <w:jc w:val="both"/>
            </w:pPr>
            <w:r w:rsidRPr="00027C97">
              <w:t>Liczba zrealizowanych kampanii  informacyjno-promocyjnych o szerokim zasięgu promujących Fundusze Europejskie, tj. skierowanych do minimum 2 grup docelowych (w tym opinii publicznej) i wykorzystujących minimum 4 narzędzia komunikacji, przy czym wszystkie działania w ramach kampanii są spójne i realizowane pod wspólnym komunikatem.</w:t>
            </w:r>
          </w:p>
        </w:tc>
      </w:tr>
      <w:tr w:rsidR="00F9226D" w:rsidRPr="004C1F30" w14:paraId="03193713" w14:textId="77777777" w:rsidTr="00C25E98">
        <w:trPr>
          <w:jc w:val="right"/>
        </w:trPr>
        <w:tc>
          <w:tcPr>
            <w:tcW w:w="309" w:type="pct"/>
            <w:vAlign w:val="center"/>
          </w:tcPr>
          <w:p w14:paraId="0AB45A62" w14:textId="77777777" w:rsidR="00F9226D" w:rsidRPr="004C1F30" w:rsidRDefault="00F9226D" w:rsidP="00C25E98">
            <w:pPr>
              <w:spacing w:before="60" w:after="60" w:line="240" w:lineRule="auto"/>
            </w:pPr>
            <w:r>
              <w:lastRenderedPageBreak/>
              <w:t>9.</w:t>
            </w:r>
          </w:p>
        </w:tc>
        <w:tc>
          <w:tcPr>
            <w:tcW w:w="1003" w:type="pct"/>
            <w:vAlign w:val="center"/>
          </w:tcPr>
          <w:p w14:paraId="43FC057E" w14:textId="77777777" w:rsidR="00F9226D" w:rsidRPr="004C1F30" w:rsidRDefault="00F9226D" w:rsidP="00C25E98">
            <w:pPr>
              <w:spacing w:before="60" w:after="60" w:line="240" w:lineRule="auto"/>
              <w:rPr>
                <w:b/>
              </w:rPr>
            </w:pPr>
            <w:r w:rsidRPr="00027C97">
              <w:rPr>
                <w:b/>
              </w:rPr>
              <w:t>Liczba użytkowników CST</w:t>
            </w:r>
          </w:p>
        </w:tc>
        <w:tc>
          <w:tcPr>
            <w:tcW w:w="467" w:type="pct"/>
            <w:vAlign w:val="center"/>
          </w:tcPr>
          <w:p w14:paraId="366B8CD7" w14:textId="77777777" w:rsidR="00F9226D" w:rsidRPr="004C1F30" w:rsidRDefault="00F9226D" w:rsidP="00C25E98">
            <w:pPr>
              <w:spacing w:before="60" w:after="60" w:line="240" w:lineRule="auto"/>
            </w:pPr>
            <w:r w:rsidRPr="004C1F30">
              <w:t>Sztuka</w:t>
            </w:r>
          </w:p>
        </w:tc>
        <w:tc>
          <w:tcPr>
            <w:tcW w:w="385" w:type="pct"/>
            <w:vAlign w:val="center"/>
          </w:tcPr>
          <w:p w14:paraId="5706D451" w14:textId="77777777" w:rsidR="00F9226D" w:rsidRPr="004C1F30" w:rsidRDefault="00F9226D" w:rsidP="00C25E98">
            <w:pPr>
              <w:spacing w:before="60" w:after="60" w:line="240" w:lineRule="auto"/>
            </w:pPr>
            <w:r>
              <w:t>EFS+</w:t>
            </w:r>
          </w:p>
        </w:tc>
        <w:tc>
          <w:tcPr>
            <w:tcW w:w="741" w:type="pct"/>
            <w:vAlign w:val="center"/>
          </w:tcPr>
          <w:p w14:paraId="3C0C1AD1"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376D9347" w14:textId="77777777" w:rsidR="00F9226D" w:rsidRPr="004C1F30" w:rsidRDefault="00F9226D" w:rsidP="00C25E98">
            <w:pPr>
              <w:spacing w:before="60" w:after="60" w:line="240" w:lineRule="auto"/>
              <w:jc w:val="center"/>
            </w:pPr>
            <w:r>
              <w:t>336</w:t>
            </w:r>
          </w:p>
        </w:tc>
        <w:tc>
          <w:tcPr>
            <w:tcW w:w="1046" w:type="pct"/>
            <w:vAlign w:val="center"/>
          </w:tcPr>
          <w:p w14:paraId="01B7CBFC" w14:textId="77777777" w:rsidR="00F9226D" w:rsidRPr="004C1F30" w:rsidRDefault="00F9226D" w:rsidP="00C25E98">
            <w:pPr>
              <w:spacing w:before="60" w:after="60" w:line="240" w:lineRule="auto"/>
              <w:jc w:val="center"/>
            </w:pPr>
            <w:r>
              <w:t>756</w:t>
            </w:r>
          </w:p>
        </w:tc>
      </w:tr>
      <w:tr w:rsidR="00F9226D" w:rsidRPr="004C1F30" w14:paraId="55D6470D" w14:textId="77777777" w:rsidTr="00C25E98">
        <w:trPr>
          <w:jc w:val="right"/>
        </w:trPr>
        <w:tc>
          <w:tcPr>
            <w:tcW w:w="5000" w:type="pct"/>
            <w:gridSpan w:val="7"/>
          </w:tcPr>
          <w:p w14:paraId="7962940A" w14:textId="77777777" w:rsidR="00F9226D" w:rsidRPr="004C1F30" w:rsidRDefault="00F9226D" w:rsidP="00C25E98">
            <w:pPr>
              <w:spacing w:before="60" w:after="60"/>
            </w:pPr>
            <w:r w:rsidRPr="00027C97">
              <w:t>Obliczając wartość wskaźnika należy zsumować liczbę wszystkich użytkowników posiadających uprawnienia do Centralnego Systemu Teleinformatycznego finansowanego ze środków programu Pomoc Techniczna dla Funduszy Europejskich, niezależnie od poziomu tych uprawnień.</w:t>
            </w:r>
          </w:p>
        </w:tc>
      </w:tr>
    </w:tbl>
    <w:p w14:paraId="1870A700" w14:textId="77777777" w:rsidR="00F9226D" w:rsidRDefault="00F9226D" w:rsidP="00F9226D"/>
    <w:p w14:paraId="737EE776" w14:textId="45F43981" w:rsidR="00F9226D" w:rsidRPr="00412D9C" w:rsidRDefault="00F9226D" w:rsidP="005A3B03">
      <w:pPr>
        <w:pStyle w:val="Nagwek1"/>
        <w:rPr>
          <w:rFonts w:eastAsia="Calibri"/>
        </w:rPr>
      </w:pPr>
      <w:bookmarkStart w:id="469" w:name="_Toc120464555"/>
      <w:r>
        <w:t>Pomoc techniczna FST</w:t>
      </w:r>
      <w:bookmarkEnd w:id="469"/>
    </w:p>
    <w:p w14:paraId="1743F9CC" w14:textId="77777777" w:rsidR="00F9226D" w:rsidRDefault="00F9226D" w:rsidP="00F9226D">
      <w:r>
        <w:t>Wskaźniki produktu PT FST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797"/>
        <w:gridCol w:w="837"/>
        <w:gridCol w:w="690"/>
        <w:gridCol w:w="1327"/>
        <w:gridCol w:w="1879"/>
        <w:gridCol w:w="1874"/>
      </w:tblGrid>
      <w:tr w:rsidR="00F9226D" w:rsidRPr="004C1F30" w14:paraId="1275DB47" w14:textId="77777777" w:rsidTr="00C25E98">
        <w:trPr>
          <w:trHeight w:val="1279"/>
          <w:jc w:val="right"/>
        </w:trPr>
        <w:tc>
          <w:tcPr>
            <w:tcW w:w="309" w:type="pct"/>
            <w:shd w:val="clear" w:color="auto" w:fill="DBE5F1"/>
            <w:vAlign w:val="center"/>
          </w:tcPr>
          <w:p w14:paraId="25D2CB85" w14:textId="77777777" w:rsidR="00F9226D" w:rsidRPr="004C1F30" w:rsidRDefault="00F9226D" w:rsidP="00C25E98">
            <w:pPr>
              <w:spacing w:before="60" w:after="60" w:line="240" w:lineRule="auto"/>
              <w:jc w:val="center"/>
              <w:rPr>
                <w:b/>
                <w:sz w:val="18"/>
                <w:szCs w:val="18"/>
              </w:rPr>
            </w:pPr>
            <w:r w:rsidRPr="004C1F30">
              <w:rPr>
                <w:b/>
                <w:sz w:val="18"/>
                <w:szCs w:val="18"/>
              </w:rPr>
              <w:t>ID</w:t>
            </w:r>
          </w:p>
        </w:tc>
        <w:tc>
          <w:tcPr>
            <w:tcW w:w="1003" w:type="pct"/>
            <w:shd w:val="clear" w:color="auto" w:fill="DBE5F1"/>
            <w:vAlign w:val="center"/>
          </w:tcPr>
          <w:p w14:paraId="22D680F0" w14:textId="77777777" w:rsidR="00F9226D" w:rsidRPr="004C1F30" w:rsidRDefault="00F9226D" w:rsidP="00C25E98">
            <w:pPr>
              <w:spacing w:before="60" w:after="60" w:line="240" w:lineRule="auto"/>
              <w:jc w:val="center"/>
              <w:rPr>
                <w:b/>
                <w:sz w:val="18"/>
                <w:szCs w:val="18"/>
              </w:rPr>
            </w:pPr>
            <w:r w:rsidRPr="004C1F30">
              <w:rPr>
                <w:b/>
                <w:sz w:val="18"/>
                <w:szCs w:val="18"/>
              </w:rPr>
              <w:t>Wskaźnik</w:t>
            </w:r>
          </w:p>
        </w:tc>
        <w:tc>
          <w:tcPr>
            <w:tcW w:w="467" w:type="pct"/>
            <w:shd w:val="clear" w:color="auto" w:fill="DBE5F1"/>
            <w:vAlign w:val="center"/>
          </w:tcPr>
          <w:p w14:paraId="1A1D45F1" w14:textId="77777777" w:rsidR="00F9226D" w:rsidRPr="004C1F30" w:rsidRDefault="00F9226D" w:rsidP="00C25E98">
            <w:pPr>
              <w:spacing w:before="60" w:after="60" w:line="240" w:lineRule="auto"/>
              <w:jc w:val="center"/>
              <w:rPr>
                <w:b/>
                <w:sz w:val="18"/>
                <w:szCs w:val="18"/>
              </w:rPr>
            </w:pPr>
            <w:r w:rsidRPr="004C1F30">
              <w:rPr>
                <w:b/>
                <w:sz w:val="18"/>
                <w:szCs w:val="18"/>
              </w:rPr>
              <w:t>Jednostka pomiaru</w:t>
            </w:r>
          </w:p>
        </w:tc>
        <w:tc>
          <w:tcPr>
            <w:tcW w:w="385" w:type="pct"/>
            <w:shd w:val="clear" w:color="auto" w:fill="DBE5F1"/>
            <w:vAlign w:val="center"/>
          </w:tcPr>
          <w:p w14:paraId="7010DE5A" w14:textId="77777777" w:rsidR="00F9226D" w:rsidRPr="004C1F30" w:rsidRDefault="00F9226D" w:rsidP="00C25E98">
            <w:pPr>
              <w:spacing w:before="60" w:after="60" w:line="240" w:lineRule="auto"/>
              <w:jc w:val="center"/>
              <w:rPr>
                <w:b/>
                <w:sz w:val="18"/>
                <w:szCs w:val="18"/>
              </w:rPr>
            </w:pPr>
            <w:r w:rsidRPr="004C1F30">
              <w:rPr>
                <w:b/>
                <w:sz w:val="18"/>
                <w:szCs w:val="18"/>
              </w:rPr>
              <w:t>Fundusz</w:t>
            </w:r>
          </w:p>
        </w:tc>
        <w:tc>
          <w:tcPr>
            <w:tcW w:w="741" w:type="pct"/>
            <w:shd w:val="clear" w:color="auto" w:fill="DBE5F1"/>
            <w:vAlign w:val="center"/>
          </w:tcPr>
          <w:p w14:paraId="522F1E8D" w14:textId="77777777" w:rsidR="00F9226D" w:rsidRPr="004C1F30" w:rsidRDefault="00F9226D" w:rsidP="00C25E98">
            <w:pPr>
              <w:spacing w:before="60" w:after="60" w:line="240" w:lineRule="auto"/>
              <w:jc w:val="center"/>
              <w:rPr>
                <w:b/>
                <w:sz w:val="18"/>
                <w:szCs w:val="18"/>
              </w:rPr>
            </w:pPr>
            <w:r w:rsidRPr="004C1F30">
              <w:rPr>
                <w:b/>
                <w:sz w:val="18"/>
                <w:szCs w:val="18"/>
              </w:rPr>
              <w:t xml:space="preserve">Kategoria regionu </w:t>
            </w:r>
          </w:p>
          <w:p w14:paraId="74B3EACD" w14:textId="77777777" w:rsidR="00F9226D" w:rsidRPr="004C1F30" w:rsidRDefault="00F9226D" w:rsidP="00C25E98">
            <w:pPr>
              <w:spacing w:before="60" w:after="60" w:line="240" w:lineRule="auto"/>
              <w:jc w:val="center"/>
              <w:rPr>
                <w:b/>
                <w:sz w:val="18"/>
                <w:szCs w:val="18"/>
              </w:rPr>
            </w:pPr>
            <w:r w:rsidRPr="004C1F30">
              <w:rPr>
                <w:b/>
                <w:sz w:val="18"/>
                <w:szCs w:val="18"/>
              </w:rPr>
              <w:t>(w stosownych przypadkach)</w:t>
            </w:r>
          </w:p>
        </w:tc>
        <w:tc>
          <w:tcPr>
            <w:tcW w:w="1049" w:type="pct"/>
            <w:shd w:val="clear" w:color="auto" w:fill="DBE5F1"/>
            <w:vAlign w:val="center"/>
          </w:tcPr>
          <w:p w14:paraId="3543A3AC" w14:textId="77777777" w:rsidR="00F9226D" w:rsidRPr="004C1F30" w:rsidRDefault="00F9226D" w:rsidP="00C25E98">
            <w:pPr>
              <w:spacing w:before="60" w:after="60" w:line="240" w:lineRule="auto"/>
              <w:jc w:val="center"/>
              <w:rPr>
                <w:b/>
                <w:sz w:val="18"/>
                <w:szCs w:val="18"/>
              </w:rPr>
            </w:pPr>
            <w:r>
              <w:rPr>
                <w:b/>
                <w:sz w:val="18"/>
                <w:szCs w:val="18"/>
              </w:rPr>
              <w:t>Cel pośredni (2024)</w:t>
            </w:r>
          </w:p>
        </w:tc>
        <w:tc>
          <w:tcPr>
            <w:tcW w:w="1046" w:type="pct"/>
            <w:shd w:val="clear" w:color="auto" w:fill="DBE5F1"/>
            <w:vAlign w:val="center"/>
          </w:tcPr>
          <w:p w14:paraId="7EEAD838" w14:textId="77777777" w:rsidR="00F9226D" w:rsidRPr="004C1F30" w:rsidRDefault="00F9226D" w:rsidP="00C25E98">
            <w:pPr>
              <w:spacing w:before="60" w:after="60" w:line="240" w:lineRule="auto"/>
              <w:jc w:val="center"/>
              <w:rPr>
                <w:b/>
                <w:sz w:val="18"/>
                <w:szCs w:val="18"/>
              </w:rPr>
            </w:pPr>
            <w:r>
              <w:rPr>
                <w:b/>
                <w:sz w:val="18"/>
                <w:szCs w:val="18"/>
              </w:rPr>
              <w:t>Cel (2029)</w:t>
            </w:r>
          </w:p>
        </w:tc>
      </w:tr>
      <w:tr w:rsidR="00F9226D" w:rsidRPr="004C1F30" w14:paraId="14E0AFC2" w14:textId="77777777" w:rsidTr="00C25E98">
        <w:trPr>
          <w:jc w:val="right"/>
        </w:trPr>
        <w:tc>
          <w:tcPr>
            <w:tcW w:w="309" w:type="pct"/>
            <w:vAlign w:val="center"/>
          </w:tcPr>
          <w:p w14:paraId="4E69DAE1" w14:textId="77777777" w:rsidR="00F9226D" w:rsidRPr="004C1F30" w:rsidRDefault="00F9226D" w:rsidP="00C25E98">
            <w:pPr>
              <w:spacing w:before="60" w:after="60" w:line="240" w:lineRule="auto"/>
            </w:pPr>
            <w:r w:rsidRPr="004C1F30">
              <w:t>1.</w:t>
            </w:r>
          </w:p>
        </w:tc>
        <w:tc>
          <w:tcPr>
            <w:tcW w:w="1003" w:type="pct"/>
            <w:shd w:val="clear" w:color="auto" w:fill="FFFFFF" w:themeFill="background1"/>
            <w:vAlign w:val="center"/>
          </w:tcPr>
          <w:p w14:paraId="4DFECA65" w14:textId="77777777" w:rsidR="00F9226D" w:rsidRPr="004C1F30" w:rsidRDefault="00F9226D" w:rsidP="00C25E98">
            <w:pPr>
              <w:spacing w:before="60" w:after="60" w:line="240" w:lineRule="auto"/>
              <w:rPr>
                <w:b/>
              </w:rPr>
            </w:pPr>
            <w:r w:rsidRPr="004C1F30">
              <w:rPr>
                <w:b/>
              </w:rPr>
              <w:t>Liczba uczestników form szkoleniowych dla instytucji</w:t>
            </w:r>
          </w:p>
        </w:tc>
        <w:tc>
          <w:tcPr>
            <w:tcW w:w="467" w:type="pct"/>
            <w:vAlign w:val="center"/>
          </w:tcPr>
          <w:p w14:paraId="42A76AAB" w14:textId="77777777" w:rsidR="00F9226D" w:rsidRPr="004C1F30" w:rsidRDefault="00F9226D" w:rsidP="00C25E98">
            <w:pPr>
              <w:spacing w:before="60" w:after="60" w:line="240" w:lineRule="auto"/>
            </w:pPr>
            <w:r w:rsidRPr="004C1F30">
              <w:t xml:space="preserve">Osoba </w:t>
            </w:r>
          </w:p>
        </w:tc>
        <w:tc>
          <w:tcPr>
            <w:tcW w:w="385" w:type="pct"/>
            <w:vAlign w:val="center"/>
          </w:tcPr>
          <w:p w14:paraId="2BB40421" w14:textId="77777777" w:rsidR="00F9226D" w:rsidRPr="004C1F30" w:rsidRDefault="00F9226D" w:rsidP="00C25E98">
            <w:pPr>
              <w:spacing w:before="60" w:after="60" w:line="240" w:lineRule="auto"/>
            </w:pPr>
            <w:r>
              <w:t>FST</w:t>
            </w:r>
          </w:p>
        </w:tc>
        <w:tc>
          <w:tcPr>
            <w:tcW w:w="741" w:type="pct"/>
            <w:vAlign w:val="center"/>
          </w:tcPr>
          <w:p w14:paraId="340F2FF2"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45AF151B" w14:textId="77777777" w:rsidR="00F9226D" w:rsidRPr="004C1F30" w:rsidRDefault="00F9226D" w:rsidP="00C25E98">
            <w:pPr>
              <w:spacing w:before="60" w:after="60" w:line="240" w:lineRule="auto"/>
              <w:jc w:val="center"/>
            </w:pPr>
            <w:r>
              <w:t>400</w:t>
            </w:r>
          </w:p>
        </w:tc>
        <w:tc>
          <w:tcPr>
            <w:tcW w:w="1046" w:type="pct"/>
            <w:vAlign w:val="center"/>
          </w:tcPr>
          <w:p w14:paraId="68C97D81" w14:textId="77777777" w:rsidR="00F9226D" w:rsidRPr="004C1F30" w:rsidRDefault="00F9226D" w:rsidP="00C25E98">
            <w:pPr>
              <w:spacing w:before="60" w:after="60" w:line="240" w:lineRule="auto"/>
              <w:jc w:val="center"/>
            </w:pPr>
            <w:r>
              <w:t>900</w:t>
            </w:r>
          </w:p>
        </w:tc>
      </w:tr>
      <w:tr w:rsidR="00F9226D" w:rsidRPr="004C1F30" w14:paraId="51216334" w14:textId="77777777" w:rsidTr="00C25E98">
        <w:trPr>
          <w:jc w:val="right"/>
        </w:trPr>
        <w:tc>
          <w:tcPr>
            <w:tcW w:w="5000" w:type="pct"/>
            <w:gridSpan w:val="7"/>
          </w:tcPr>
          <w:p w14:paraId="0AC35C8D" w14:textId="77777777" w:rsidR="00F9226D" w:rsidRDefault="00F9226D" w:rsidP="00C25E98">
            <w:pPr>
              <w:spacing w:before="60" w:after="60"/>
              <w:jc w:val="both"/>
              <w:rPr>
                <w:color w:val="404040"/>
              </w:rPr>
            </w:pPr>
            <w:r w:rsidRPr="003A41DD">
              <w:rPr>
                <w:color w:val="404040"/>
              </w:rPr>
              <w:t>Obliczając wartość wskaźnika należy zsumować wszystkich uczestników wszystkich form szkoleniowych przeprowadzonych dla pracowników instytucji (tj. szkoleń, warsztatów, seminariów, kursów, studiów, webinariów, itp.) finansowanych ze środków PT. Dana osoba powinna zostać policzona tyle razy, w ilu szkoleniach wzięła udział. Wskaźnik naliczany jest raz w momencie pierwszej płatności za formę szkoleniową.   Certyfikaty/dyplomy/zaświadczenia lub inne dokumenty potwierdzające indywidualny udział w formie szkoleniowej  (lub ich potwierdzona za zgodność z oryginałem kserokopia) są przechowywane u beneficjenta i udostępniane kontrolerom projektu.   Poprzez „instytucje” rozumiane są instytucje funkcjonujące w systemie wdrażania polityki spójności w latach 2021-2027 w Polsce tj. np. Instytucje Zarządzające, Instytucje Pośredniczące, Instytucja Audytowa.</w:t>
            </w:r>
          </w:p>
          <w:p w14:paraId="03C2541C" w14:textId="77777777" w:rsidR="00F9226D" w:rsidRPr="004C1F30" w:rsidRDefault="00F9226D" w:rsidP="00C25E98">
            <w:pPr>
              <w:spacing w:before="60" w:after="60"/>
              <w:jc w:val="both"/>
            </w:pPr>
            <w:r w:rsidRPr="003A41DD">
              <w:rPr>
                <w:color w:val="404040"/>
              </w:rPr>
              <w:t xml:space="preserve">Do wskaźnika nie są wliczane formy szkoleniowe </w:t>
            </w:r>
            <w:proofErr w:type="spellStart"/>
            <w:r w:rsidRPr="003A41DD">
              <w:rPr>
                <w:color w:val="404040"/>
              </w:rPr>
              <w:t>bezkosztowe</w:t>
            </w:r>
            <w:proofErr w:type="spellEnd"/>
            <w:r w:rsidRPr="003A41DD">
              <w:rPr>
                <w:color w:val="404040"/>
              </w:rPr>
              <w:t xml:space="preserve"> przy organizacji których nie są ponoszone żadne wydatki.</w:t>
            </w:r>
          </w:p>
        </w:tc>
      </w:tr>
      <w:tr w:rsidR="00F9226D" w:rsidRPr="004C1F30" w14:paraId="4AB31336" w14:textId="77777777" w:rsidTr="00C25E98">
        <w:trPr>
          <w:jc w:val="right"/>
        </w:trPr>
        <w:tc>
          <w:tcPr>
            <w:tcW w:w="309" w:type="pct"/>
            <w:vAlign w:val="center"/>
          </w:tcPr>
          <w:p w14:paraId="08E7A21A" w14:textId="77777777" w:rsidR="00F9226D" w:rsidRPr="004C1F30" w:rsidRDefault="00F9226D" w:rsidP="00C25E98">
            <w:pPr>
              <w:spacing w:before="60" w:after="60" w:line="240" w:lineRule="auto"/>
            </w:pPr>
            <w:r w:rsidRPr="004C1F30">
              <w:t>2.</w:t>
            </w:r>
          </w:p>
        </w:tc>
        <w:tc>
          <w:tcPr>
            <w:tcW w:w="1003" w:type="pct"/>
            <w:shd w:val="clear" w:color="auto" w:fill="FFFFFF" w:themeFill="background1"/>
            <w:vAlign w:val="center"/>
          </w:tcPr>
          <w:p w14:paraId="39427B9D" w14:textId="77777777" w:rsidR="00F9226D" w:rsidRPr="004C1F30" w:rsidRDefault="00F9226D" w:rsidP="00C25E98">
            <w:pPr>
              <w:spacing w:before="60" w:after="60" w:line="240" w:lineRule="auto"/>
              <w:rPr>
                <w:b/>
              </w:rPr>
            </w:pPr>
            <w:r w:rsidRPr="004C1F30">
              <w:rPr>
                <w:b/>
              </w:rPr>
              <w:t>Liczba posiedzeń komitetów</w:t>
            </w:r>
            <w:r>
              <w:rPr>
                <w:b/>
              </w:rPr>
              <w:t>,</w:t>
            </w:r>
            <w:r w:rsidRPr="004C1F30">
              <w:rPr>
                <w:b/>
              </w:rPr>
              <w:t xml:space="preserve"> sieci grup oraz innych </w:t>
            </w:r>
            <w:r>
              <w:rPr>
                <w:b/>
              </w:rPr>
              <w:t>spotkań w celu wymiany doświadczeń z partnerami</w:t>
            </w:r>
          </w:p>
        </w:tc>
        <w:tc>
          <w:tcPr>
            <w:tcW w:w="467" w:type="pct"/>
            <w:vAlign w:val="center"/>
          </w:tcPr>
          <w:p w14:paraId="468D0A68" w14:textId="77777777" w:rsidR="00F9226D" w:rsidRPr="004C1F30" w:rsidRDefault="00F9226D" w:rsidP="00C25E98">
            <w:pPr>
              <w:spacing w:before="60" w:after="60" w:line="240" w:lineRule="auto"/>
            </w:pPr>
            <w:r w:rsidRPr="004C1F30">
              <w:t xml:space="preserve">Sztuka </w:t>
            </w:r>
          </w:p>
        </w:tc>
        <w:tc>
          <w:tcPr>
            <w:tcW w:w="385" w:type="pct"/>
            <w:vAlign w:val="center"/>
          </w:tcPr>
          <w:p w14:paraId="2BD4FF7D" w14:textId="77777777" w:rsidR="00F9226D" w:rsidRPr="004C1F30" w:rsidRDefault="00F9226D" w:rsidP="00C25E98">
            <w:pPr>
              <w:spacing w:before="60" w:after="60" w:line="240" w:lineRule="auto"/>
            </w:pPr>
            <w:r>
              <w:t>FST</w:t>
            </w:r>
          </w:p>
        </w:tc>
        <w:tc>
          <w:tcPr>
            <w:tcW w:w="741" w:type="pct"/>
            <w:vAlign w:val="center"/>
          </w:tcPr>
          <w:p w14:paraId="255A31BB"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1032AC2D" w14:textId="77777777" w:rsidR="00F9226D" w:rsidRPr="00F9226D" w:rsidRDefault="00F9226D" w:rsidP="00C25E98">
            <w:pPr>
              <w:spacing w:before="60" w:after="60" w:line="240" w:lineRule="auto"/>
              <w:jc w:val="center"/>
            </w:pPr>
            <w:r w:rsidRPr="00F9226D">
              <w:t>4</w:t>
            </w:r>
          </w:p>
        </w:tc>
        <w:tc>
          <w:tcPr>
            <w:tcW w:w="1046" w:type="pct"/>
            <w:vAlign w:val="center"/>
          </w:tcPr>
          <w:p w14:paraId="0303FAA4" w14:textId="77777777" w:rsidR="00F9226D" w:rsidRPr="00F9226D" w:rsidRDefault="00F9226D" w:rsidP="00C25E98">
            <w:pPr>
              <w:spacing w:before="60" w:after="60" w:line="240" w:lineRule="auto"/>
              <w:jc w:val="center"/>
            </w:pPr>
            <w:r w:rsidRPr="00F9226D">
              <w:t>9</w:t>
            </w:r>
          </w:p>
        </w:tc>
      </w:tr>
      <w:tr w:rsidR="00F9226D" w:rsidRPr="004C1F30" w14:paraId="13F06266" w14:textId="77777777" w:rsidTr="00C25E98">
        <w:trPr>
          <w:jc w:val="right"/>
        </w:trPr>
        <w:tc>
          <w:tcPr>
            <w:tcW w:w="5000" w:type="pct"/>
            <w:gridSpan w:val="7"/>
          </w:tcPr>
          <w:p w14:paraId="52F4C9D9" w14:textId="77777777" w:rsidR="00F9226D" w:rsidRPr="004C1F30" w:rsidRDefault="00F9226D" w:rsidP="00C25E98">
            <w:pPr>
              <w:spacing w:before="60" w:after="60"/>
              <w:jc w:val="both"/>
            </w:pPr>
            <w:r w:rsidRPr="003A41DD">
              <w:t>Obliczając wartość wskaźnika należy zsumować liczbę zorganizowanych posiedzeń sieci tematycznych, grup roboczych, komitetów oraz innych ciał angażujących partnerów, które są finansowane z PT danego programu.</w:t>
            </w:r>
          </w:p>
        </w:tc>
      </w:tr>
      <w:tr w:rsidR="00F9226D" w:rsidRPr="004C1F30" w14:paraId="28F35109" w14:textId="77777777" w:rsidTr="00C25E98">
        <w:trPr>
          <w:jc w:val="right"/>
        </w:trPr>
        <w:tc>
          <w:tcPr>
            <w:tcW w:w="309" w:type="pct"/>
            <w:vAlign w:val="center"/>
          </w:tcPr>
          <w:p w14:paraId="07FBB15C" w14:textId="77777777" w:rsidR="00F9226D" w:rsidRPr="004C1F30" w:rsidRDefault="00F9226D" w:rsidP="00C25E98">
            <w:pPr>
              <w:spacing w:before="60" w:after="60" w:line="240" w:lineRule="auto"/>
            </w:pPr>
            <w:r w:rsidRPr="004C1F30">
              <w:t xml:space="preserve">3. </w:t>
            </w:r>
          </w:p>
        </w:tc>
        <w:tc>
          <w:tcPr>
            <w:tcW w:w="1003" w:type="pct"/>
            <w:shd w:val="clear" w:color="auto" w:fill="FFFFFF" w:themeFill="background1"/>
            <w:vAlign w:val="center"/>
          </w:tcPr>
          <w:p w14:paraId="5DCFC2C7" w14:textId="77777777" w:rsidR="00F9226D" w:rsidRPr="004C1F30" w:rsidRDefault="00F9226D" w:rsidP="00C25E98">
            <w:pPr>
              <w:spacing w:before="60" w:after="60" w:line="240" w:lineRule="auto"/>
              <w:rPr>
                <w:b/>
              </w:rPr>
            </w:pPr>
            <w:r>
              <w:rPr>
                <w:b/>
              </w:rPr>
              <w:t>Liczba zakupionych komputerów</w:t>
            </w:r>
          </w:p>
        </w:tc>
        <w:tc>
          <w:tcPr>
            <w:tcW w:w="467" w:type="pct"/>
            <w:vAlign w:val="center"/>
          </w:tcPr>
          <w:p w14:paraId="06703A84" w14:textId="77777777" w:rsidR="00F9226D" w:rsidRPr="004C1F30" w:rsidRDefault="00F9226D" w:rsidP="00C25E98">
            <w:pPr>
              <w:spacing w:before="60" w:after="60" w:line="240" w:lineRule="auto"/>
            </w:pPr>
            <w:r w:rsidRPr="004C1F30">
              <w:t xml:space="preserve">Sztuka </w:t>
            </w:r>
          </w:p>
        </w:tc>
        <w:tc>
          <w:tcPr>
            <w:tcW w:w="385" w:type="pct"/>
            <w:vAlign w:val="center"/>
          </w:tcPr>
          <w:p w14:paraId="1A8194D9" w14:textId="77777777" w:rsidR="00F9226D" w:rsidRPr="004C1F30" w:rsidRDefault="00F9226D" w:rsidP="00C25E98">
            <w:pPr>
              <w:spacing w:before="60" w:after="60" w:line="240" w:lineRule="auto"/>
            </w:pPr>
            <w:r>
              <w:t>FST</w:t>
            </w:r>
          </w:p>
        </w:tc>
        <w:tc>
          <w:tcPr>
            <w:tcW w:w="741" w:type="pct"/>
            <w:vAlign w:val="center"/>
          </w:tcPr>
          <w:p w14:paraId="783819D4"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1B43C16B" w14:textId="77777777" w:rsidR="00F9226D" w:rsidRPr="004C1F30" w:rsidRDefault="00F9226D" w:rsidP="00C25E98">
            <w:pPr>
              <w:spacing w:before="60" w:after="60" w:line="240" w:lineRule="auto"/>
              <w:jc w:val="center"/>
            </w:pPr>
            <w:r>
              <w:t>40</w:t>
            </w:r>
          </w:p>
        </w:tc>
        <w:tc>
          <w:tcPr>
            <w:tcW w:w="1046" w:type="pct"/>
            <w:vAlign w:val="center"/>
          </w:tcPr>
          <w:p w14:paraId="115FF2D3" w14:textId="77777777" w:rsidR="00F9226D" w:rsidRPr="004C1F30" w:rsidRDefault="00F9226D" w:rsidP="00C25E98">
            <w:pPr>
              <w:spacing w:before="60" w:after="60" w:line="240" w:lineRule="auto"/>
              <w:jc w:val="center"/>
            </w:pPr>
            <w:r>
              <w:t>90</w:t>
            </w:r>
          </w:p>
        </w:tc>
      </w:tr>
      <w:tr w:rsidR="00F9226D" w:rsidRPr="004C1F30" w14:paraId="408F8747" w14:textId="77777777" w:rsidTr="00C25E98">
        <w:trPr>
          <w:jc w:val="right"/>
        </w:trPr>
        <w:tc>
          <w:tcPr>
            <w:tcW w:w="5000" w:type="pct"/>
            <w:gridSpan w:val="7"/>
            <w:shd w:val="clear" w:color="auto" w:fill="auto"/>
          </w:tcPr>
          <w:p w14:paraId="19788B95" w14:textId="77777777" w:rsidR="00F9226D" w:rsidRPr="004C1F30" w:rsidRDefault="00F9226D" w:rsidP="00C25E98">
            <w:pPr>
              <w:spacing w:before="60" w:after="60"/>
              <w:jc w:val="both"/>
            </w:pPr>
            <w:r w:rsidRPr="003A41DD">
              <w:t xml:space="preserve">Do wartości wskaźnika wliczane są zakupione komputery stacjonarne (także </w:t>
            </w:r>
            <w:proofErr w:type="spellStart"/>
            <w:r w:rsidRPr="003A41DD">
              <w:t>All</w:t>
            </w:r>
            <w:proofErr w:type="spellEnd"/>
            <w:r w:rsidRPr="003A41DD">
              <w:t>-in-One) oraz laptopy, które zostały sfinansowane ze środków pomocy technicznej.</w:t>
            </w:r>
          </w:p>
        </w:tc>
      </w:tr>
      <w:tr w:rsidR="00F9226D" w:rsidRPr="004C1F30" w14:paraId="7C5191D8" w14:textId="77777777" w:rsidTr="00C25E98">
        <w:trPr>
          <w:jc w:val="right"/>
        </w:trPr>
        <w:tc>
          <w:tcPr>
            <w:tcW w:w="309" w:type="pct"/>
            <w:vAlign w:val="center"/>
          </w:tcPr>
          <w:p w14:paraId="5D4598D1" w14:textId="77777777" w:rsidR="00F9226D" w:rsidRPr="004C1F30" w:rsidRDefault="00F9226D" w:rsidP="00C25E98">
            <w:pPr>
              <w:spacing w:before="60" w:after="60" w:line="240" w:lineRule="auto"/>
            </w:pPr>
            <w:r w:rsidRPr="004C1F30">
              <w:lastRenderedPageBreak/>
              <w:t xml:space="preserve">4. </w:t>
            </w:r>
          </w:p>
        </w:tc>
        <w:tc>
          <w:tcPr>
            <w:tcW w:w="1003" w:type="pct"/>
            <w:shd w:val="clear" w:color="auto" w:fill="FFFFFF" w:themeFill="background1"/>
            <w:vAlign w:val="center"/>
          </w:tcPr>
          <w:p w14:paraId="52046497" w14:textId="77777777" w:rsidR="00F9226D" w:rsidRPr="004C1F30" w:rsidRDefault="00F9226D" w:rsidP="00C25E98">
            <w:pPr>
              <w:spacing w:before="60" w:after="60" w:line="240" w:lineRule="auto"/>
              <w:rPr>
                <w:b/>
              </w:rPr>
            </w:pPr>
            <w:r w:rsidRPr="004C1F30">
              <w:rPr>
                <w:b/>
              </w:rPr>
              <w:t>Liczba przeprowadzonych ewaluacji</w:t>
            </w:r>
          </w:p>
        </w:tc>
        <w:tc>
          <w:tcPr>
            <w:tcW w:w="467" w:type="pct"/>
            <w:vAlign w:val="center"/>
          </w:tcPr>
          <w:p w14:paraId="0D93C675" w14:textId="77777777" w:rsidR="00F9226D" w:rsidRPr="004C1F30" w:rsidRDefault="00F9226D" w:rsidP="00C25E98">
            <w:pPr>
              <w:spacing w:before="60" w:after="60" w:line="240" w:lineRule="auto"/>
            </w:pPr>
            <w:r w:rsidRPr="004C1F30">
              <w:t>Sztuka</w:t>
            </w:r>
          </w:p>
        </w:tc>
        <w:tc>
          <w:tcPr>
            <w:tcW w:w="385" w:type="pct"/>
            <w:vAlign w:val="center"/>
          </w:tcPr>
          <w:p w14:paraId="7931228F" w14:textId="77777777" w:rsidR="00F9226D" w:rsidRPr="004C1F30" w:rsidRDefault="00F9226D" w:rsidP="00C25E98">
            <w:pPr>
              <w:spacing w:before="60" w:after="60" w:line="240" w:lineRule="auto"/>
            </w:pPr>
            <w:r>
              <w:t>FST</w:t>
            </w:r>
          </w:p>
        </w:tc>
        <w:tc>
          <w:tcPr>
            <w:tcW w:w="741" w:type="pct"/>
            <w:vAlign w:val="center"/>
          </w:tcPr>
          <w:p w14:paraId="6D07C0A8"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5D76DED9" w14:textId="77777777" w:rsidR="00F9226D" w:rsidRPr="004C1F30" w:rsidRDefault="00F9226D" w:rsidP="00C25E98">
            <w:pPr>
              <w:spacing w:before="60" w:after="60" w:line="240" w:lineRule="auto"/>
              <w:jc w:val="center"/>
            </w:pPr>
            <w:r>
              <w:t>4</w:t>
            </w:r>
          </w:p>
        </w:tc>
        <w:tc>
          <w:tcPr>
            <w:tcW w:w="1046" w:type="pct"/>
            <w:vAlign w:val="center"/>
          </w:tcPr>
          <w:p w14:paraId="34500160" w14:textId="77777777" w:rsidR="00F9226D" w:rsidRPr="004C1F30" w:rsidRDefault="00F9226D" w:rsidP="00C25E98">
            <w:pPr>
              <w:spacing w:before="60" w:after="60" w:line="240" w:lineRule="auto"/>
              <w:jc w:val="center"/>
            </w:pPr>
            <w:r>
              <w:t>9</w:t>
            </w:r>
          </w:p>
        </w:tc>
      </w:tr>
      <w:tr w:rsidR="00F9226D" w:rsidRPr="004C1F30" w14:paraId="3809EA1D" w14:textId="77777777" w:rsidTr="00C25E98">
        <w:trPr>
          <w:jc w:val="right"/>
        </w:trPr>
        <w:tc>
          <w:tcPr>
            <w:tcW w:w="5000" w:type="pct"/>
            <w:gridSpan w:val="7"/>
            <w:shd w:val="clear" w:color="auto" w:fill="auto"/>
          </w:tcPr>
          <w:p w14:paraId="605500BB" w14:textId="77777777" w:rsidR="00F9226D" w:rsidRPr="004C1F30" w:rsidRDefault="00F9226D" w:rsidP="00C25E98">
            <w:pPr>
              <w:spacing w:before="60" w:after="60"/>
            </w:pPr>
            <w:r w:rsidRPr="003A41DD">
              <w:t xml:space="preserve">Do wartości wskaźnika wliczane są wszystkie badania ewaluacyjne finansowane z PT polegające na analizie i ocenie skuteczności, efektywności, użyteczności, trafności, trwałości lub spójności interwencji publicznych realizowanych w ramach polityki spójności, służące poprawie jakości ich programowania i wdrażania, a także analizy i oceny tzw. wpływu lub wartości dodanej UE.   Ewaluacje realizowane są przez </w:t>
            </w:r>
            <w:proofErr w:type="spellStart"/>
            <w:r w:rsidRPr="003A41DD">
              <w:t>ewaluatorów</w:t>
            </w:r>
            <w:proofErr w:type="spellEnd"/>
            <w:r w:rsidRPr="003A41DD">
              <w:t xml:space="preserve"> zewnętrznych lub wewnętrznych funkcjonalnie niezależnych od podmiotów odpowiedzialnych za realizację programów operacyjnych.</w:t>
            </w:r>
          </w:p>
        </w:tc>
      </w:tr>
      <w:tr w:rsidR="00F9226D" w:rsidRPr="004C1F30" w14:paraId="315FB2F5" w14:textId="77777777" w:rsidTr="00C25E98">
        <w:trPr>
          <w:jc w:val="right"/>
        </w:trPr>
        <w:tc>
          <w:tcPr>
            <w:tcW w:w="309" w:type="pct"/>
            <w:vAlign w:val="center"/>
          </w:tcPr>
          <w:p w14:paraId="6F672EC1" w14:textId="77777777" w:rsidR="00F9226D" w:rsidRPr="004C1F30" w:rsidRDefault="00F9226D" w:rsidP="00C25E98">
            <w:pPr>
              <w:spacing w:before="60" w:after="60" w:line="240" w:lineRule="auto"/>
            </w:pPr>
            <w:r>
              <w:t>5</w:t>
            </w:r>
            <w:r w:rsidRPr="004C1F30">
              <w:t>.</w:t>
            </w:r>
          </w:p>
        </w:tc>
        <w:tc>
          <w:tcPr>
            <w:tcW w:w="1003" w:type="pct"/>
            <w:shd w:val="clear" w:color="auto" w:fill="FFFFFF" w:themeFill="background1"/>
            <w:vAlign w:val="center"/>
          </w:tcPr>
          <w:p w14:paraId="6479823F" w14:textId="77777777" w:rsidR="00F9226D" w:rsidRPr="004C1F30" w:rsidRDefault="00F9226D" w:rsidP="00C25E98">
            <w:pPr>
              <w:spacing w:before="60" w:after="60" w:line="240" w:lineRule="auto"/>
              <w:rPr>
                <w:b/>
              </w:rPr>
            </w:pPr>
            <w:r w:rsidRPr="003A41DD">
              <w:rPr>
                <w:b/>
              </w:rPr>
              <w:t>Średnioroczna liczba etatów finansowanych z PT</w:t>
            </w:r>
          </w:p>
        </w:tc>
        <w:tc>
          <w:tcPr>
            <w:tcW w:w="467" w:type="pct"/>
            <w:vAlign w:val="center"/>
          </w:tcPr>
          <w:p w14:paraId="24868687" w14:textId="77777777" w:rsidR="00F9226D" w:rsidRPr="004C1F30" w:rsidRDefault="00F9226D" w:rsidP="00C25E98">
            <w:pPr>
              <w:spacing w:before="60" w:after="60" w:line="240" w:lineRule="auto"/>
            </w:pPr>
            <w:r w:rsidRPr="004C1F30">
              <w:t xml:space="preserve">Sztuka </w:t>
            </w:r>
          </w:p>
        </w:tc>
        <w:tc>
          <w:tcPr>
            <w:tcW w:w="385" w:type="pct"/>
            <w:vAlign w:val="center"/>
          </w:tcPr>
          <w:p w14:paraId="57E3A223" w14:textId="77777777" w:rsidR="00F9226D" w:rsidRPr="004C1F30" w:rsidRDefault="00F9226D" w:rsidP="00C25E98">
            <w:pPr>
              <w:spacing w:before="60" w:after="60" w:line="240" w:lineRule="auto"/>
            </w:pPr>
            <w:r>
              <w:t>FST</w:t>
            </w:r>
          </w:p>
        </w:tc>
        <w:tc>
          <w:tcPr>
            <w:tcW w:w="741" w:type="pct"/>
            <w:vAlign w:val="center"/>
          </w:tcPr>
          <w:p w14:paraId="52D0024A"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10F4A81A" w14:textId="77777777" w:rsidR="00F9226D" w:rsidRPr="004C1F30" w:rsidRDefault="00F9226D" w:rsidP="00C25E98">
            <w:pPr>
              <w:spacing w:before="60" w:after="60" w:line="240" w:lineRule="auto"/>
              <w:jc w:val="center"/>
            </w:pPr>
            <w:r>
              <w:t>412</w:t>
            </w:r>
          </w:p>
        </w:tc>
        <w:tc>
          <w:tcPr>
            <w:tcW w:w="1046" w:type="pct"/>
            <w:vAlign w:val="center"/>
          </w:tcPr>
          <w:p w14:paraId="14E1B169" w14:textId="77777777" w:rsidR="00F9226D" w:rsidRPr="004C1F30" w:rsidRDefault="00F9226D" w:rsidP="00C25E98">
            <w:pPr>
              <w:spacing w:before="60" w:after="60" w:line="240" w:lineRule="auto"/>
              <w:jc w:val="center"/>
            </w:pPr>
            <w:r>
              <w:t>927</w:t>
            </w:r>
          </w:p>
        </w:tc>
      </w:tr>
      <w:tr w:rsidR="00F9226D" w:rsidRPr="004C1F30" w14:paraId="6599945E" w14:textId="77777777" w:rsidTr="00C25E98">
        <w:trPr>
          <w:jc w:val="right"/>
        </w:trPr>
        <w:tc>
          <w:tcPr>
            <w:tcW w:w="5000" w:type="pct"/>
            <w:gridSpan w:val="7"/>
          </w:tcPr>
          <w:p w14:paraId="3F61221E" w14:textId="77777777" w:rsidR="00F9226D" w:rsidRDefault="00F9226D" w:rsidP="00C25E98">
            <w:pPr>
              <w:spacing w:before="60" w:after="60"/>
              <w:jc w:val="both"/>
            </w:pPr>
            <w:r w:rsidRPr="00027C97">
              <w:t xml:space="preserve">Wartość wskaźnika liczona jest poprzez zsumowanie liczby pełnych etatów finansowanych z PT w poszczególnych miesiącach i podzieleniu ich przez 12 miesięcy lub odpowiednio mniejszą liczbę miesięcy jeżeli finansowanie nie obejmowało pełnego roku.    </w:t>
            </w:r>
          </w:p>
          <w:p w14:paraId="0C66ACD2" w14:textId="77777777" w:rsidR="00F9226D" w:rsidRDefault="00F9226D" w:rsidP="00C25E98">
            <w:pPr>
              <w:spacing w:before="60" w:after="60"/>
              <w:jc w:val="both"/>
            </w:pPr>
            <w:r w:rsidRPr="00027C97">
              <w:t xml:space="preserve">W = (LE1 + LE2 + ….+ LEN)/ LM   </w:t>
            </w:r>
          </w:p>
          <w:p w14:paraId="5A00B88C" w14:textId="77777777" w:rsidR="00F9226D" w:rsidRDefault="00F9226D" w:rsidP="00C25E98">
            <w:pPr>
              <w:spacing w:before="60" w:after="60"/>
              <w:jc w:val="both"/>
            </w:pPr>
            <w:r w:rsidRPr="00027C97">
              <w:t xml:space="preserve">W – wartość wskaźnika, </w:t>
            </w:r>
          </w:p>
          <w:p w14:paraId="68B4BEE7" w14:textId="77777777" w:rsidR="00F9226D" w:rsidRDefault="00F9226D" w:rsidP="00C25E98">
            <w:pPr>
              <w:spacing w:before="60" w:after="60"/>
              <w:jc w:val="both"/>
            </w:pPr>
            <w:r w:rsidRPr="00027C97">
              <w:t xml:space="preserve">LE – liczba pełnych etatów finansowanych w danym miesiącu, </w:t>
            </w:r>
          </w:p>
          <w:p w14:paraId="790CA145" w14:textId="77777777" w:rsidR="00F9226D" w:rsidRDefault="00F9226D" w:rsidP="00C25E98">
            <w:pPr>
              <w:spacing w:before="60" w:after="60"/>
              <w:jc w:val="both"/>
            </w:pPr>
            <w:r w:rsidRPr="00027C97">
              <w:t>LM – liczba miesięcy finansowania etatów z PT</w:t>
            </w:r>
            <w:r>
              <w:t>.</w:t>
            </w:r>
            <w:r w:rsidRPr="00027C97">
              <w:t xml:space="preserve">   </w:t>
            </w:r>
          </w:p>
          <w:p w14:paraId="7493CFD8" w14:textId="77777777" w:rsidR="00F9226D" w:rsidRPr="004C1F30" w:rsidRDefault="00F9226D" w:rsidP="00C25E98">
            <w:pPr>
              <w:spacing w:before="60" w:after="60"/>
              <w:jc w:val="both"/>
            </w:pPr>
            <w:r w:rsidRPr="00027C97">
              <w:t>Liczba pełnych etatów finansowanych w danym miesiącu (LE) liczona jest jako suma iloczynów poziomu kwalifikowalności i wymiaru czasu pracy dla każdego stanowiska finansowanego z PT.    LE = PK1*WE1 + PK2*WE2 + … +PKN*WEN   PK – poziom kwalifikowalności, WE – wymiar etatu. Zliczane są wyłącznie etaty w ramach umowy o pracę. W przypadku zmiany poziomu kwalifikowalności lub wymiaru etatu w ciągu miesiąca dla całego miesiąca przyjmowany jest poziom obowiązujący na ostatni dzień tego miesiąca lub ostatni dzień obsadzenia tego stanowiska (w sytuacji gdy pracownik kończy pracę i stanowisko pozostaje nieobsadzone).    Nie ma możliwości dzielenia miesiąca tj. nawet jeśli pracownik przepracował tylko kilka dni w danym miesiącu jest on w całości wliczany do wartości wskaźnika. W tym przypadku wynagrodzenie jest współfinansowane w sposób proporcjonalny. Do wskaźnika nie wliczane są okresy w których nie są ponoszone koszty w związku z płacą zasadniczą.</w:t>
            </w:r>
          </w:p>
        </w:tc>
      </w:tr>
      <w:tr w:rsidR="00F9226D" w:rsidRPr="004C1F30" w14:paraId="05BAE923" w14:textId="77777777" w:rsidTr="00C25E98">
        <w:trPr>
          <w:jc w:val="right"/>
        </w:trPr>
        <w:tc>
          <w:tcPr>
            <w:tcW w:w="309" w:type="pct"/>
            <w:vAlign w:val="center"/>
          </w:tcPr>
          <w:p w14:paraId="4FDDC093" w14:textId="77777777" w:rsidR="00F9226D" w:rsidRPr="004C1F30" w:rsidRDefault="00F9226D" w:rsidP="00C25E98">
            <w:pPr>
              <w:spacing w:before="60" w:after="60" w:line="240" w:lineRule="auto"/>
            </w:pPr>
            <w:r>
              <w:t>6</w:t>
            </w:r>
            <w:r w:rsidRPr="004C1F30">
              <w:t>.</w:t>
            </w:r>
          </w:p>
        </w:tc>
        <w:tc>
          <w:tcPr>
            <w:tcW w:w="1003" w:type="pct"/>
            <w:shd w:val="clear" w:color="auto" w:fill="FFFFFF" w:themeFill="background1"/>
            <w:vAlign w:val="center"/>
          </w:tcPr>
          <w:p w14:paraId="0931ACDC" w14:textId="77777777" w:rsidR="00F9226D" w:rsidRPr="004C1F30" w:rsidRDefault="00F9226D" w:rsidP="00C25E98">
            <w:pPr>
              <w:spacing w:before="60" w:after="60" w:line="240" w:lineRule="auto"/>
              <w:rPr>
                <w:b/>
              </w:rPr>
            </w:pPr>
            <w:r w:rsidRPr="004C1F30">
              <w:rPr>
                <w:b/>
              </w:rPr>
              <w:t>Liczba opracowanych ekspertyz</w:t>
            </w:r>
          </w:p>
        </w:tc>
        <w:tc>
          <w:tcPr>
            <w:tcW w:w="467" w:type="pct"/>
            <w:vAlign w:val="center"/>
          </w:tcPr>
          <w:p w14:paraId="51C12526" w14:textId="77777777" w:rsidR="00F9226D" w:rsidRPr="004C1F30" w:rsidRDefault="00F9226D" w:rsidP="00C25E98">
            <w:pPr>
              <w:spacing w:before="60" w:after="60" w:line="240" w:lineRule="auto"/>
            </w:pPr>
            <w:r w:rsidRPr="004C1F30">
              <w:t>Sztuka</w:t>
            </w:r>
          </w:p>
        </w:tc>
        <w:tc>
          <w:tcPr>
            <w:tcW w:w="385" w:type="pct"/>
            <w:vAlign w:val="center"/>
          </w:tcPr>
          <w:p w14:paraId="79BB099A" w14:textId="77777777" w:rsidR="00F9226D" w:rsidRPr="004C1F30" w:rsidRDefault="00F9226D" w:rsidP="00C25E98">
            <w:pPr>
              <w:spacing w:before="60" w:after="60" w:line="240" w:lineRule="auto"/>
            </w:pPr>
            <w:r>
              <w:t>FST</w:t>
            </w:r>
          </w:p>
        </w:tc>
        <w:tc>
          <w:tcPr>
            <w:tcW w:w="741" w:type="pct"/>
            <w:vAlign w:val="center"/>
          </w:tcPr>
          <w:p w14:paraId="176C613E"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33DB4A96" w14:textId="77777777" w:rsidR="00F9226D" w:rsidRPr="004C1F30" w:rsidRDefault="00F9226D" w:rsidP="00C25E98">
            <w:pPr>
              <w:spacing w:before="60" w:after="60" w:line="240" w:lineRule="auto"/>
              <w:jc w:val="center"/>
            </w:pPr>
            <w:r>
              <w:t>8</w:t>
            </w:r>
          </w:p>
        </w:tc>
        <w:tc>
          <w:tcPr>
            <w:tcW w:w="1046" w:type="pct"/>
            <w:vAlign w:val="center"/>
          </w:tcPr>
          <w:p w14:paraId="7EC925C5" w14:textId="77777777" w:rsidR="00F9226D" w:rsidRPr="004C1F30" w:rsidRDefault="00F9226D" w:rsidP="00C25E98">
            <w:pPr>
              <w:spacing w:before="60" w:after="60" w:line="240" w:lineRule="auto"/>
              <w:jc w:val="center"/>
            </w:pPr>
            <w:r>
              <w:t>18</w:t>
            </w:r>
          </w:p>
        </w:tc>
      </w:tr>
      <w:tr w:rsidR="00F9226D" w:rsidRPr="004C1F30" w14:paraId="6DBE5651" w14:textId="77777777" w:rsidTr="00C25E98">
        <w:trPr>
          <w:jc w:val="right"/>
        </w:trPr>
        <w:tc>
          <w:tcPr>
            <w:tcW w:w="5000" w:type="pct"/>
            <w:gridSpan w:val="7"/>
          </w:tcPr>
          <w:p w14:paraId="6E8E8CD9" w14:textId="77777777" w:rsidR="00F9226D" w:rsidRPr="004C1F30" w:rsidRDefault="00F9226D" w:rsidP="00C25E98">
            <w:pPr>
              <w:spacing w:before="60" w:after="60"/>
              <w:jc w:val="both"/>
            </w:pPr>
            <w:r w:rsidRPr="003A41DD">
              <w:t>Obliczając wartość wskaźnika należy zsumować wszystkie ekspertyzy (tj. sporządzone opinie, analizy, studia, koncepcje itp.), które zostały zakończone wydaniem stosownego dokumentu i zostały sporządzone na potrzeby instytucji lub partnerów będących członkami sieci tematycznych, grup roboczych lub komitetów, a także innych ciał dialogu angażujących partnerów, których działalność finansowana jest ze środków pomocy technicznej. Do wskaźnika nie wlicza się ewaluacji, które liczone są w ramach wskaźnika „Liczba przeprowadzonych ewaluacji”.</w:t>
            </w:r>
          </w:p>
        </w:tc>
      </w:tr>
      <w:tr w:rsidR="00F9226D" w:rsidRPr="004C1F30" w14:paraId="46F6C64D" w14:textId="77777777" w:rsidTr="00C25E98">
        <w:trPr>
          <w:jc w:val="right"/>
        </w:trPr>
        <w:tc>
          <w:tcPr>
            <w:tcW w:w="309" w:type="pct"/>
            <w:vAlign w:val="center"/>
          </w:tcPr>
          <w:p w14:paraId="3A025A70" w14:textId="77777777" w:rsidR="00F9226D" w:rsidRPr="004C1F30" w:rsidRDefault="00F9226D" w:rsidP="00C25E98">
            <w:pPr>
              <w:spacing w:before="60" w:after="60" w:line="240" w:lineRule="auto"/>
            </w:pPr>
            <w:r>
              <w:t>7</w:t>
            </w:r>
            <w:r w:rsidRPr="004C1F30">
              <w:t>.</w:t>
            </w:r>
          </w:p>
        </w:tc>
        <w:tc>
          <w:tcPr>
            <w:tcW w:w="1003" w:type="pct"/>
            <w:shd w:val="clear" w:color="auto" w:fill="FFFFFF" w:themeFill="background1"/>
            <w:vAlign w:val="center"/>
          </w:tcPr>
          <w:p w14:paraId="07543BA7" w14:textId="77777777" w:rsidR="00F9226D" w:rsidRPr="004C1F30" w:rsidRDefault="00F9226D" w:rsidP="00C25E98">
            <w:pPr>
              <w:spacing w:before="60" w:after="60" w:line="240" w:lineRule="auto"/>
              <w:rPr>
                <w:b/>
              </w:rPr>
            </w:pPr>
            <w:r w:rsidRPr="004C1F30">
              <w:rPr>
                <w:b/>
              </w:rPr>
              <w:t xml:space="preserve">Liczba uczestników form szkoleniowych dla beneficjentów </w:t>
            </w:r>
          </w:p>
        </w:tc>
        <w:tc>
          <w:tcPr>
            <w:tcW w:w="467" w:type="pct"/>
            <w:vAlign w:val="center"/>
          </w:tcPr>
          <w:p w14:paraId="45813BA7" w14:textId="77777777" w:rsidR="00F9226D" w:rsidRPr="004C1F30" w:rsidRDefault="00F9226D" w:rsidP="00C25E98">
            <w:pPr>
              <w:spacing w:before="60" w:after="60" w:line="240" w:lineRule="auto"/>
            </w:pPr>
            <w:r w:rsidRPr="004C1F30">
              <w:t xml:space="preserve">Osoba </w:t>
            </w:r>
          </w:p>
        </w:tc>
        <w:tc>
          <w:tcPr>
            <w:tcW w:w="385" w:type="pct"/>
            <w:vAlign w:val="center"/>
          </w:tcPr>
          <w:p w14:paraId="09DA422C" w14:textId="77777777" w:rsidR="00F9226D" w:rsidRPr="004C1F30" w:rsidRDefault="00F9226D" w:rsidP="00C25E98">
            <w:pPr>
              <w:spacing w:before="60" w:after="60" w:line="240" w:lineRule="auto"/>
            </w:pPr>
            <w:r>
              <w:t>FST</w:t>
            </w:r>
          </w:p>
        </w:tc>
        <w:tc>
          <w:tcPr>
            <w:tcW w:w="741" w:type="pct"/>
            <w:vAlign w:val="center"/>
          </w:tcPr>
          <w:p w14:paraId="152956EC"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6DF85367" w14:textId="77777777" w:rsidR="00F9226D" w:rsidRPr="004C1F30" w:rsidRDefault="00F9226D" w:rsidP="00C25E98">
            <w:pPr>
              <w:spacing w:before="60" w:after="60" w:line="240" w:lineRule="auto"/>
              <w:jc w:val="center"/>
            </w:pPr>
            <w:r>
              <w:t>960</w:t>
            </w:r>
          </w:p>
        </w:tc>
        <w:tc>
          <w:tcPr>
            <w:tcW w:w="1046" w:type="pct"/>
            <w:vAlign w:val="center"/>
          </w:tcPr>
          <w:p w14:paraId="6AA4950B" w14:textId="77777777" w:rsidR="00F9226D" w:rsidRPr="004C1F30" w:rsidRDefault="00F9226D" w:rsidP="00C25E98">
            <w:pPr>
              <w:spacing w:before="60" w:after="60" w:line="240" w:lineRule="auto"/>
              <w:jc w:val="center"/>
            </w:pPr>
            <w:r>
              <w:t>2 160</w:t>
            </w:r>
          </w:p>
        </w:tc>
      </w:tr>
      <w:tr w:rsidR="00F9226D" w:rsidRPr="004C1F30" w14:paraId="70143529" w14:textId="77777777" w:rsidTr="00C25E98">
        <w:trPr>
          <w:jc w:val="right"/>
        </w:trPr>
        <w:tc>
          <w:tcPr>
            <w:tcW w:w="5000" w:type="pct"/>
            <w:gridSpan w:val="7"/>
          </w:tcPr>
          <w:p w14:paraId="042242C1" w14:textId="77777777" w:rsidR="00F9226D" w:rsidRDefault="00F9226D" w:rsidP="00C25E98">
            <w:pPr>
              <w:spacing w:before="60" w:after="60"/>
              <w:jc w:val="both"/>
            </w:pPr>
            <w:r w:rsidRPr="003A41DD">
              <w:t xml:space="preserve">Obliczając wartość wskaźnika należy zsumować wszystkich uczestników wszystkich form szkoleniowych dla beneficjentów lub potencjalnych beneficjentów (tj. szkoleń, warsztatów, seminariów, kursów, webinariów, itp.) finansowanych z PT. </w:t>
            </w:r>
            <w:r>
              <w:t xml:space="preserve"> </w:t>
            </w:r>
          </w:p>
          <w:p w14:paraId="3167A43B" w14:textId="77777777" w:rsidR="00F9226D" w:rsidRPr="004C1F30" w:rsidRDefault="00F9226D" w:rsidP="00C25E98">
            <w:pPr>
              <w:spacing w:before="60" w:after="60"/>
              <w:jc w:val="both"/>
            </w:pPr>
            <w:r w:rsidRPr="003A41DD">
              <w:lastRenderedPageBreak/>
              <w:t xml:space="preserve">Do wskaźnika nie są wliczane formy szkoleniowe </w:t>
            </w:r>
            <w:proofErr w:type="spellStart"/>
            <w:r w:rsidRPr="003A41DD">
              <w:t>bezkosztowe</w:t>
            </w:r>
            <w:proofErr w:type="spellEnd"/>
            <w:r w:rsidRPr="003A41DD">
              <w:t>, przy organizacji których nie są ponoszone żadne wydatki.</w:t>
            </w:r>
          </w:p>
        </w:tc>
      </w:tr>
      <w:tr w:rsidR="00F9226D" w:rsidRPr="004C1F30" w14:paraId="2061EF92" w14:textId="77777777" w:rsidTr="00C25E98">
        <w:trPr>
          <w:jc w:val="right"/>
        </w:trPr>
        <w:tc>
          <w:tcPr>
            <w:tcW w:w="309" w:type="pct"/>
            <w:vAlign w:val="center"/>
          </w:tcPr>
          <w:p w14:paraId="52485BE8" w14:textId="77777777" w:rsidR="00F9226D" w:rsidRPr="004C1F30" w:rsidRDefault="00F9226D" w:rsidP="00C25E98">
            <w:pPr>
              <w:spacing w:before="60" w:after="60" w:line="240" w:lineRule="auto"/>
            </w:pPr>
            <w:r>
              <w:t>8</w:t>
            </w:r>
            <w:r w:rsidRPr="004C1F30">
              <w:t>.</w:t>
            </w:r>
          </w:p>
        </w:tc>
        <w:tc>
          <w:tcPr>
            <w:tcW w:w="1003" w:type="pct"/>
            <w:shd w:val="clear" w:color="auto" w:fill="FFFFFF" w:themeFill="background1"/>
            <w:vAlign w:val="center"/>
          </w:tcPr>
          <w:p w14:paraId="3CFAB06B" w14:textId="77777777" w:rsidR="00F9226D" w:rsidRPr="004C1F30" w:rsidRDefault="00F9226D" w:rsidP="00C25E98">
            <w:pPr>
              <w:spacing w:before="60" w:after="60" w:line="240" w:lineRule="auto"/>
              <w:rPr>
                <w:b/>
              </w:rPr>
            </w:pPr>
            <w:r w:rsidRPr="00027C97">
              <w:rPr>
                <w:b/>
              </w:rPr>
              <w:t>Liczba działań informacyjno-promocyjnych o szerokim zasięgu</w:t>
            </w:r>
          </w:p>
        </w:tc>
        <w:tc>
          <w:tcPr>
            <w:tcW w:w="467" w:type="pct"/>
            <w:vAlign w:val="center"/>
          </w:tcPr>
          <w:p w14:paraId="784ECA3D" w14:textId="77777777" w:rsidR="00F9226D" w:rsidRPr="004C1F30" w:rsidRDefault="00F9226D" w:rsidP="00C25E98">
            <w:pPr>
              <w:spacing w:before="60" w:after="60" w:line="240" w:lineRule="auto"/>
            </w:pPr>
            <w:r w:rsidRPr="004C1F30">
              <w:t>Sztuka</w:t>
            </w:r>
          </w:p>
        </w:tc>
        <w:tc>
          <w:tcPr>
            <w:tcW w:w="385" w:type="pct"/>
            <w:vAlign w:val="center"/>
          </w:tcPr>
          <w:p w14:paraId="01B19068" w14:textId="77777777" w:rsidR="00F9226D" w:rsidRPr="004C1F30" w:rsidRDefault="00F9226D" w:rsidP="00C25E98">
            <w:pPr>
              <w:spacing w:before="60" w:after="60" w:line="240" w:lineRule="auto"/>
            </w:pPr>
            <w:r>
              <w:t>FST</w:t>
            </w:r>
          </w:p>
        </w:tc>
        <w:tc>
          <w:tcPr>
            <w:tcW w:w="741" w:type="pct"/>
            <w:vAlign w:val="center"/>
          </w:tcPr>
          <w:p w14:paraId="13FD9E35"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03AB021F" w14:textId="77777777" w:rsidR="00F9226D" w:rsidRPr="00F9226D" w:rsidRDefault="00F9226D" w:rsidP="00C25E98">
            <w:pPr>
              <w:spacing w:before="60" w:after="60" w:line="240" w:lineRule="auto"/>
              <w:jc w:val="center"/>
            </w:pPr>
            <w:r w:rsidRPr="00F9226D">
              <w:t>4</w:t>
            </w:r>
          </w:p>
        </w:tc>
        <w:tc>
          <w:tcPr>
            <w:tcW w:w="1046" w:type="pct"/>
            <w:vAlign w:val="center"/>
          </w:tcPr>
          <w:p w14:paraId="527CFF7B" w14:textId="77777777" w:rsidR="00F9226D" w:rsidRPr="00F9226D" w:rsidRDefault="00F9226D" w:rsidP="00C25E98">
            <w:pPr>
              <w:spacing w:before="60" w:after="60" w:line="240" w:lineRule="auto"/>
              <w:jc w:val="center"/>
            </w:pPr>
            <w:r w:rsidRPr="00F9226D">
              <w:t>9</w:t>
            </w:r>
          </w:p>
        </w:tc>
      </w:tr>
      <w:tr w:rsidR="00F9226D" w:rsidRPr="004C1F30" w14:paraId="276CBD2F" w14:textId="77777777" w:rsidTr="00C25E98">
        <w:trPr>
          <w:jc w:val="right"/>
        </w:trPr>
        <w:tc>
          <w:tcPr>
            <w:tcW w:w="5000" w:type="pct"/>
            <w:gridSpan w:val="7"/>
          </w:tcPr>
          <w:p w14:paraId="68307E5E" w14:textId="77777777" w:rsidR="00F9226D" w:rsidRPr="004C1F30" w:rsidRDefault="00F9226D" w:rsidP="00C25E98">
            <w:pPr>
              <w:spacing w:before="60" w:after="60"/>
              <w:jc w:val="both"/>
            </w:pPr>
            <w:r w:rsidRPr="00027C97">
              <w:t>Liczba zrealizowanych kampanii  informacyjno-promocyjnych o szerokim zasięgu promujących Fundusze Europejskie, tj. skierowanych do minimum 2 grup docelowych (w tym opinii publicznej) i wykorzystujących minimum 4 narzędzia komunikacji, przy czym wszystkie działania w ramach kampanii są spójne i realizowane pod wspólnym komunikatem.</w:t>
            </w:r>
          </w:p>
        </w:tc>
      </w:tr>
      <w:tr w:rsidR="00F9226D" w:rsidRPr="004C1F30" w14:paraId="5A4EB0E9" w14:textId="77777777" w:rsidTr="00C25E98">
        <w:trPr>
          <w:jc w:val="right"/>
        </w:trPr>
        <w:tc>
          <w:tcPr>
            <w:tcW w:w="309" w:type="pct"/>
            <w:vAlign w:val="center"/>
          </w:tcPr>
          <w:p w14:paraId="11A2702B" w14:textId="77777777" w:rsidR="00F9226D" w:rsidRPr="004C1F30" w:rsidRDefault="00F9226D" w:rsidP="00C25E98">
            <w:pPr>
              <w:spacing w:before="60" w:after="60" w:line="240" w:lineRule="auto"/>
            </w:pPr>
            <w:r>
              <w:t>9.</w:t>
            </w:r>
          </w:p>
        </w:tc>
        <w:tc>
          <w:tcPr>
            <w:tcW w:w="1003" w:type="pct"/>
            <w:vAlign w:val="center"/>
          </w:tcPr>
          <w:p w14:paraId="1FB5EF06" w14:textId="77777777" w:rsidR="00F9226D" w:rsidRPr="004C1F30" w:rsidRDefault="00F9226D" w:rsidP="00C25E98">
            <w:pPr>
              <w:spacing w:before="60" w:after="60" w:line="240" w:lineRule="auto"/>
              <w:rPr>
                <w:b/>
              </w:rPr>
            </w:pPr>
            <w:r w:rsidRPr="00027C97">
              <w:rPr>
                <w:b/>
              </w:rPr>
              <w:t>Liczba użytkowników CST</w:t>
            </w:r>
          </w:p>
        </w:tc>
        <w:tc>
          <w:tcPr>
            <w:tcW w:w="467" w:type="pct"/>
            <w:vAlign w:val="center"/>
          </w:tcPr>
          <w:p w14:paraId="219F8502" w14:textId="77777777" w:rsidR="00F9226D" w:rsidRPr="004C1F30" w:rsidRDefault="00F9226D" w:rsidP="00C25E98">
            <w:pPr>
              <w:spacing w:before="60" w:after="60" w:line="240" w:lineRule="auto"/>
            </w:pPr>
            <w:r w:rsidRPr="004C1F30">
              <w:t>Sztuka</w:t>
            </w:r>
          </w:p>
        </w:tc>
        <w:tc>
          <w:tcPr>
            <w:tcW w:w="385" w:type="pct"/>
            <w:vAlign w:val="center"/>
          </w:tcPr>
          <w:p w14:paraId="7FBE70AB" w14:textId="77777777" w:rsidR="00F9226D" w:rsidRPr="004C1F30" w:rsidRDefault="00F9226D" w:rsidP="00C25E98">
            <w:pPr>
              <w:spacing w:before="60" w:after="60" w:line="240" w:lineRule="auto"/>
            </w:pPr>
            <w:r>
              <w:t>FST</w:t>
            </w:r>
          </w:p>
        </w:tc>
        <w:tc>
          <w:tcPr>
            <w:tcW w:w="741" w:type="pct"/>
            <w:vAlign w:val="center"/>
          </w:tcPr>
          <w:p w14:paraId="47F5533F" w14:textId="77777777" w:rsidR="00F9226D" w:rsidRPr="004C1F30" w:rsidRDefault="00F9226D" w:rsidP="00C25E98">
            <w:pPr>
              <w:spacing w:before="60" w:after="60" w:line="240" w:lineRule="auto"/>
            </w:pPr>
            <w:r>
              <w:t>przejściowy</w:t>
            </w:r>
          </w:p>
        </w:tc>
        <w:tc>
          <w:tcPr>
            <w:tcW w:w="1049" w:type="pct"/>
            <w:shd w:val="clear" w:color="auto" w:fill="auto"/>
            <w:vAlign w:val="center"/>
          </w:tcPr>
          <w:p w14:paraId="29876CEF" w14:textId="77777777" w:rsidR="00F9226D" w:rsidRPr="004C1F30" w:rsidRDefault="00F9226D" w:rsidP="00C25E98">
            <w:pPr>
              <w:spacing w:before="60" w:after="60" w:line="240" w:lineRule="auto"/>
              <w:jc w:val="center"/>
            </w:pPr>
            <w:r>
              <w:t>412</w:t>
            </w:r>
          </w:p>
        </w:tc>
        <w:tc>
          <w:tcPr>
            <w:tcW w:w="1046" w:type="pct"/>
            <w:vAlign w:val="center"/>
          </w:tcPr>
          <w:p w14:paraId="4B6AC685" w14:textId="77777777" w:rsidR="00F9226D" w:rsidRPr="004C1F30" w:rsidRDefault="00F9226D" w:rsidP="00C25E98">
            <w:pPr>
              <w:spacing w:before="60" w:after="60" w:line="240" w:lineRule="auto"/>
              <w:jc w:val="center"/>
            </w:pPr>
            <w:r>
              <w:t>927</w:t>
            </w:r>
          </w:p>
        </w:tc>
      </w:tr>
      <w:tr w:rsidR="00F9226D" w:rsidRPr="004C1F30" w14:paraId="62B425EF" w14:textId="77777777" w:rsidTr="00C25E98">
        <w:trPr>
          <w:jc w:val="right"/>
        </w:trPr>
        <w:tc>
          <w:tcPr>
            <w:tcW w:w="5000" w:type="pct"/>
            <w:gridSpan w:val="7"/>
          </w:tcPr>
          <w:p w14:paraId="17E5B742" w14:textId="77777777" w:rsidR="00F9226D" w:rsidRPr="004C1F30" w:rsidRDefault="00F9226D" w:rsidP="00C25E98">
            <w:pPr>
              <w:spacing w:before="60" w:after="60"/>
            </w:pPr>
            <w:r w:rsidRPr="00027C97">
              <w:t>Obliczając wartość wskaźnika należy zsumować liczbę wszystkich użytkowników posiadających uprawnienia do Centralnego Systemu Teleinformatycznego finansowanego ze środków programu Pomoc Techniczna dla Funduszy Europejskich, niezależnie od poziomu tych uprawnień.</w:t>
            </w:r>
          </w:p>
        </w:tc>
      </w:tr>
    </w:tbl>
    <w:p w14:paraId="34201C30" w14:textId="77777777" w:rsidR="00F9226D" w:rsidRDefault="00F9226D" w:rsidP="00F9226D"/>
    <w:p w14:paraId="63365CB9" w14:textId="77777777" w:rsidR="00F9226D" w:rsidRPr="00412D9C" w:rsidRDefault="00F9226D" w:rsidP="000B32E2">
      <w:pPr>
        <w:rPr>
          <w:rFonts w:eastAsia="Calibri"/>
        </w:rPr>
      </w:pPr>
    </w:p>
    <w:sectPr w:rsidR="00F9226D" w:rsidRPr="00412D9C" w:rsidSect="000F58CA">
      <w:headerReference w:type="default" r:id="rId18"/>
      <w:footerReference w:type="default" r:id="rId19"/>
      <w:headerReference w:type="first" r:id="rId20"/>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3F95" w14:textId="77777777" w:rsidR="000433B2" w:rsidRDefault="000433B2" w:rsidP="00FB0462">
      <w:pPr>
        <w:spacing w:after="0" w:line="240" w:lineRule="auto"/>
      </w:pPr>
      <w:r>
        <w:separator/>
      </w:r>
    </w:p>
  </w:endnote>
  <w:endnote w:type="continuationSeparator" w:id="0">
    <w:p w14:paraId="348BB1E7" w14:textId="77777777" w:rsidR="000433B2" w:rsidRDefault="000433B2" w:rsidP="00FB0462">
      <w:pPr>
        <w:spacing w:after="0" w:line="240" w:lineRule="auto"/>
      </w:pPr>
      <w:r>
        <w:continuationSeparator/>
      </w:r>
    </w:p>
  </w:endnote>
  <w:endnote w:type="continuationNotice" w:id="1">
    <w:p w14:paraId="7692F8FF" w14:textId="77777777" w:rsidR="000433B2" w:rsidRDefault="0004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1250"/>
      <w:docPartObj>
        <w:docPartGallery w:val="Page Numbers (Bottom of Page)"/>
        <w:docPartUnique/>
      </w:docPartObj>
    </w:sdtPr>
    <w:sdtContent>
      <w:p w14:paraId="7D712BAD" w14:textId="5DC14EA4" w:rsidR="00270B09" w:rsidRDefault="00270B09">
        <w:pPr>
          <w:pStyle w:val="Stopka"/>
          <w:jc w:val="center"/>
        </w:pPr>
        <w:r>
          <w:fldChar w:fldCharType="begin"/>
        </w:r>
        <w:r>
          <w:instrText>PAGE   \* MERGEFORMAT</w:instrText>
        </w:r>
        <w:r>
          <w:fldChar w:fldCharType="separate"/>
        </w:r>
        <w:r w:rsidR="00154764">
          <w:rPr>
            <w:noProof/>
          </w:rPr>
          <w:t>14</w:t>
        </w:r>
        <w:r>
          <w:fldChar w:fldCharType="end"/>
        </w:r>
      </w:p>
    </w:sdtContent>
  </w:sdt>
  <w:p w14:paraId="5F1316A8" w14:textId="77777777" w:rsidR="00270B09" w:rsidRDefault="00270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073115"/>
      <w:docPartObj>
        <w:docPartGallery w:val="Page Numbers (Bottom of Page)"/>
        <w:docPartUnique/>
      </w:docPartObj>
    </w:sdtPr>
    <w:sdtContent>
      <w:p w14:paraId="3819EF2B" w14:textId="77777777" w:rsidR="00270B09" w:rsidRDefault="00270B09">
        <w:pPr>
          <w:pStyle w:val="Stopka"/>
          <w:jc w:val="center"/>
        </w:pPr>
        <w:r>
          <w:fldChar w:fldCharType="begin"/>
        </w:r>
        <w:r>
          <w:instrText>PAGE   \* MERGEFORMAT</w:instrText>
        </w:r>
        <w:r>
          <w:fldChar w:fldCharType="separate"/>
        </w:r>
        <w:r w:rsidR="00154764">
          <w:rPr>
            <w:noProof/>
          </w:rPr>
          <w:t>33</w:t>
        </w:r>
        <w:r>
          <w:fldChar w:fldCharType="end"/>
        </w:r>
      </w:p>
    </w:sdtContent>
  </w:sdt>
  <w:p w14:paraId="55F90DAD" w14:textId="77777777" w:rsidR="00270B09" w:rsidRDefault="00270B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EAAF" w14:textId="77777777" w:rsidR="000433B2" w:rsidRDefault="000433B2" w:rsidP="00FB0462">
      <w:pPr>
        <w:spacing w:after="0" w:line="240" w:lineRule="auto"/>
      </w:pPr>
      <w:r>
        <w:separator/>
      </w:r>
    </w:p>
  </w:footnote>
  <w:footnote w:type="continuationSeparator" w:id="0">
    <w:p w14:paraId="41221A27" w14:textId="77777777" w:rsidR="000433B2" w:rsidRDefault="000433B2" w:rsidP="00FB0462">
      <w:pPr>
        <w:spacing w:after="0" w:line="240" w:lineRule="auto"/>
      </w:pPr>
      <w:r>
        <w:continuationSeparator/>
      </w:r>
    </w:p>
  </w:footnote>
  <w:footnote w:type="continuationNotice" w:id="1">
    <w:p w14:paraId="6B92F10C" w14:textId="77777777" w:rsidR="000433B2" w:rsidRDefault="000433B2">
      <w:pPr>
        <w:spacing w:after="0" w:line="240" w:lineRule="auto"/>
      </w:pPr>
    </w:p>
  </w:footnote>
  <w:footnote w:id="2">
    <w:p w14:paraId="55CA414A" w14:textId="77777777" w:rsidR="000B200D" w:rsidRDefault="000B200D" w:rsidP="00CF4FA1">
      <w:pPr>
        <w:pStyle w:val="Tekstprzypisudolnego"/>
      </w:pPr>
      <w:r>
        <w:rPr>
          <w:rStyle w:val="Odwoanieprzypisudolnego"/>
        </w:rPr>
        <w:footnoteRef/>
      </w:r>
      <w:r>
        <w:t xml:space="preserve"> </w:t>
      </w:r>
      <w:r w:rsidRPr="0005785F">
        <w:rPr>
          <w:rFonts w:eastAsia="Times New Roman" w:cs="Calibri"/>
          <w:i/>
          <w:lang w:eastAsia="pl-PL"/>
        </w:rPr>
        <w:t>Dane bazują na wyliczeniach metodologicznych dla wskaźnika</w:t>
      </w:r>
      <w:r>
        <w:rPr>
          <w:rFonts w:eastAsia="Times New Roman" w:cs="Calibri"/>
          <w:i/>
          <w:lang w:eastAsia="pl-PL"/>
        </w:rPr>
        <w:t xml:space="preserve"> w ramach CP4: EECO02+04 </w:t>
      </w:r>
      <w:r w:rsidRPr="000B32E2">
        <w:rPr>
          <w:rFonts w:asciiTheme="minorHAnsi" w:eastAsia="Times New Roman" w:hAnsiTheme="minorHAnsi" w:cstheme="minorHAnsi"/>
          <w:bCs/>
          <w:i/>
          <w:iCs/>
          <w:noProof/>
          <w:color w:val="4F81BD" w:themeColor="accent1"/>
        </w:rPr>
        <w:t xml:space="preserve">Liczba osób </w:t>
      </w:r>
      <w:r>
        <w:rPr>
          <w:rFonts w:asciiTheme="minorHAnsi" w:eastAsia="Times New Roman" w:hAnsiTheme="minorHAnsi" w:cstheme="minorHAnsi"/>
          <w:bCs/>
          <w:i/>
          <w:iCs/>
          <w:noProof/>
          <w:color w:val="4F81BD" w:themeColor="accent1"/>
        </w:rPr>
        <w:t>niezatrudnionych objętych wsparciem w programie</w:t>
      </w:r>
    </w:p>
  </w:footnote>
  <w:footnote w:id="3">
    <w:p w14:paraId="4B37924B" w14:textId="77777777" w:rsidR="000B200D" w:rsidRDefault="000B200D" w:rsidP="00CF4FA1">
      <w:pPr>
        <w:pStyle w:val="Tekstprzypisudolnego"/>
      </w:pPr>
      <w:r>
        <w:rPr>
          <w:rStyle w:val="Odwoanieprzypisudolnego"/>
        </w:rPr>
        <w:footnoteRef/>
      </w:r>
      <w:r>
        <w:t xml:space="preserve"> </w:t>
      </w:r>
      <w:r w:rsidRPr="0005785F">
        <w:rPr>
          <w:rFonts w:eastAsia="Times New Roman" w:cs="Calibri"/>
          <w:i/>
          <w:lang w:eastAsia="pl-PL"/>
        </w:rPr>
        <w:t>Dane bazują na wyliczeniach metodologicznych dla wskaźnika</w:t>
      </w:r>
      <w:r>
        <w:rPr>
          <w:rFonts w:eastAsia="Times New Roman" w:cs="Calibri"/>
          <w:i/>
          <w:lang w:eastAsia="pl-PL"/>
        </w:rPr>
        <w:t xml:space="preserve"> w ramach CP4</w:t>
      </w:r>
      <w:r w:rsidRPr="00D23F70">
        <w:t xml:space="preserve"> </w:t>
      </w:r>
      <w:r w:rsidRPr="00D23F70">
        <w:rPr>
          <w:rFonts w:eastAsia="Times New Roman" w:cs="Calibri"/>
          <w:i/>
          <w:lang w:eastAsia="pl-PL"/>
        </w:rPr>
        <w:t>EECO02+04 Liczba osób niezatrudnionych objętych wsparciem w programie</w:t>
      </w:r>
    </w:p>
  </w:footnote>
  <w:footnote w:id="4">
    <w:p w14:paraId="714597D5" w14:textId="77777777" w:rsidR="00270B09" w:rsidRDefault="00270B09">
      <w:pPr>
        <w:pStyle w:val="Tekstprzypisudolnego"/>
      </w:pPr>
      <w:r>
        <w:rPr>
          <w:rStyle w:val="Odwoanieprzypisudolnego"/>
        </w:rPr>
        <w:footnoteRef/>
      </w:r>
      <w:r>
        <w:t xml:space="preserve"> </w:t>
      </w:r>
      <w:bookmarkStart w:id="448" w:name="_Hlk97831008"/>
      <w:r w:rsidRPr="0005785F">
        <w:rPr>
          <w:rFonts w:eastAsia="Times New Roman" w:cs="Calibri"/>
          <w:i/>
          <w:lang w:eastAsia="pl-PL"/>
        </w:rPr>
        <w:t xml:space="preserve">Dane bazują na wyliczeniach metodologicznych dla analogicznego wskaźnika </w:t>
      </w:r>
      <w:bookmarkEnd w:id="448"/>
      <w:r w:rsidRPr="0005785F">
        <w:rPr>
          <w:rFonts w:eastAsia="Times New Roman" w:cs="Calibri"/>
          <w:i/>
          <w:lang w:eastAsia="pl-PL"/>
        </w:rPr>
        <w:t>RCO018 w ramach CP 2 pn. „Lokale mieszkalne o udoskonalonej charakterystyce energetycznej”.</w:t>
      </w:r>
    </w:p>
  </w:footnote>
  <w:footnote w:id="5">
    <w:p w14:paraId="15DEA7DD" w14:textId="77777777" w:rsidR="00270B09" w:rsidRDefault="00270B09">
      <w:pPr>
        <w:pStyle w:val="Tekstprzypisudolnego"/>
      </w:pPr>
      <w:r>
        <w:rPr>
          <w:rStyle w:val="Odwoanieprzypisudolnego"/>
        </w:rPr>
        <w:footnoteRef/>
      </w:r>
      <w:r>
        <w:t xml:space="preserve"> </w:t>
      </w:r>
      <w:r w:rsidRPr="0005785F">
        <w:rPr>
          <w:rFonts w:eastAsia="Times New Roman" w:cs="Calibri"/>
          <w:i/>
          <w:lang w:eastAsia="pl-PL"/>
        </w:rPr>
        <w:t>Dane bazują na wyliczeniach metodologicznych dla analogicznego wskaźnika RCO019 w ramach CP 2 pn. „Budynki publiczne o udoskonalonej charakterystyce energetycznej”.</w:t>
      </w:r>
    </w:p>
  </w:footnote>
  <w:footnote w:id="6">
    <w:p w14:paraId="19DA88E7" w14:textId="77777777" w:rsidR="00270B09" w:rsidRDefault="00270B09">
      <w:pPr>
        <w:pStyle w:val="Tekstprzypisudolnego"/>
      </w:pPr>
      <w:r>
        <w:rPr>
          <w:rStyle w:val="Odwoanieprzypisudolnego"/>
        </w:rPr>
        <w:footnoteRef/>
      </w:r>
      <w:r>
        <w:t xml:space="preserve"> </w:t>
      </w:r>
      <w:r w:rsidRPr="0005785F">
        <w:rPr>
          <w:rFonts w:eastAsia="Times New Roman" w:cs="Calibri"/>
          <w:i/>
          <w:lang w:eastAsia="pl-PL"/>
        </w:rPr>
        <w:t>Dane bazują na wyliczeniach metodologicznych dla analogicznego wskaźnika RCO057 w ramach CP 2 pn. „Pojemność ekologicznego taboru do zbiorowego transportu publicznego”</w:t>
      </w:r>
    </w:p>
  </w:footnote>
  <w:footnote w:id="7">
    <w:p w14:paraId="1D887B45" w14:textId="77777777" w:rsidR="00270B09" w:rsidRDefault="00270B09">
      <w:pPr>
        <w:pStyle w:val="Tekstprzypisudolnego"/>
      </w:pPr>
      <w:r>
        <w:rPr>
          <w:rStyle w:val="Odwoanieprzypisudolnego"/>
        </w:rPr>
        <w:footnoteRef/>
      </w:r>
      <w:r>
        <w:t xml:space="preserve"> </w:t>
      </w:r>
      <w:r w:rsidRPr="004D3749">
        <w:t>Dane bazują na wyliczeniach metodologicznych dla analogicznego wskaźnika RCR062 w ramach CP 2 pn. „Roczna liczba użytkowników nowego lub zmodernizowanego transportu publicznego”</w:t>
      </w:r>
    </w:p>
  </w:footnote>
  <w:footnote w:id="8">
    <w:p w14:paraId="17EDC456" w14:textId="77777777" w:rsidR="00270B09" w:rsidRDefault="00270B09">
      <w:pPr>
        <w:pStyle w:val="Tekstprzypisudolnego"/>
      </w:pPr>
      <w:r>
        <w:rPr>
          <w:rStyle w:val="Odwoanieprzypisudolnego"/>
        </w:rPr>
        <w:footnoteRef/>
      </w:r>
      <w:r>
        <w:t xml:space="preserve"> </w:t>
      </w:r>
      <w:r w:rsidRPr="0005785F">
        <w:rPr>
          <w:rFonts w:eastAsia="Times New Roman" w:cs="Calibri"/>
          <w:i/>
          <w:lang w:eastAsia="pl-PL"/>
        </w:rPr>
        <w:t>Dane bazują na wyliczeniach metodologicznych dla analogicznego wskaźnika RCO022 w ramach CP 2 pn. „Dodatkowa zdolność wytwarzania energii odnawialnej (w tym: energii elektrycznej, energii cieplnej”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E4E" w14:textId="15965466" w:rsidR="00270B09" w:rsidRDefault="00270B09" w:rsidP="00AE5D42">
    <w:pPr>
      <w:pStyle w:val="Nagwek"/>
      <w:jc w:val="center"/>
    </w:pPr>
    <w:r w:rsidRPr="00AE5D42">
      <w:rPr>
        <w:noProof/>
        <w:lang w:eastAsia="pl-PL"/>
      </w:rPr>
      <w:drawing>
        <wp:inline distT="0" distB="0" distL="0" distR="0" wp14:anchorId="433077D7" wp14:editId="029C3918">
          <wp:extent cx="5691617" cy="800100"/>
          <wp:effectExtent l="0" t="0" r="4445" b="0"/>
          <wp:docPr id="3" name="Picture 2" descr="FE_PR-DS-UE_EFSI-poziom-PL-kolor">
            <a:extLst xmlns:a="http://schemas.openxmlformats.org/drawingml/2006/main">
              <a:ext uri="{FF2B5EF4-FFF2-40B4-BE49-F238E27FC236}">
                <a16:creationId xmlns:a16="http://schemas.microsoft.com/office/drawing/2014/main" id="{DC665684-3F6B-4227-A146-139EDDB98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E_PR-DS-UE_EFSI-poziom-PL-kolor">
                    <a:extLst>
                      <a:ext uri="{FF2B5EF4-FFF2-40B4-BE49-F238E27FC236}">
                        <a16:creationId xmlns:a16="http://schemas.microsoft.com/office/drawing/2014/main" id="{DC665684-3F6B-4227-A146-139EDDB981E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26" cy="804810"/>
                  </a:xfrm>
                  <a:prstGeom prst="rect">
                    <a:avLst/>
                  </a:prstGeom>
                  <a:noFill/>
                  <a:ln>
                    <a:noFill/>
                  </a:ln>
                </pic:spPr>
              </pic:pic>
            </a:graphicData>
          </a:graphic>
        </wp:inline>
      </w:drawing>
    </w:r>
  </w:p>
  <w:p w14:paraId="05A8EC89" w14:textId="77777777" w:rsidR="00270B09" w:rsidRDefault="00270B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9D84" w14:textId="35F59772" w:rsidR="00270B09" w:rsidRDefault="00270B09" w:rsidP="00F44C9D">
    <w:pPr>
      <w:pStyle w:val="Nagwek"/>
      <w:jc w:val="center"/>
    </w:pPr>
  </w:p>
  <w:p w14:paraId="1659396E" w14:textId="7D8449F5" w:rsidR="0067025A" w:rsidRDefault="0067025A" w:rsidP="0067025A">
    <w:pPr>
      <w:ind w:left="2124"/>
    </w:pPr>
    <w:r>
      <w:rPr>
        <w:rFonts w:cs="Calibri"/>
      </w:rPr>
      <w:t xml:space="preserve">Załącznik nr </w:t>
    </w:r>
    <w:r>
      <w:rPr>
        <w:rFonts w:cs="Calibri"/>
      </w:rPr>
      <w:t xml:space="preserve">6 </w:t>
    </w:r>
    <w:r>
      <w:rPr>
        <w:rFonts w:cs="Calibri"/>
      </w:rPr>
      <w:t xml:space="preserve">do programu </w:t>
    </w:r>
    <w:r>
      <w:rPr>
        <w:color w:val="000000"/>
      </w:rPr>
      <w:t>Fundusze Europejskie dla Dolnego Śląska 2021-2027</w:t>
    </w:r>
  </w:p>
  <w:p w14:paraId="3A20E707" w14:textId="5716456C" w:rsidR="0067025A" w:rsidRPr="00F44C9D" w:rsidRDefault="0067025A" w:rsidP="0067025A">
    <w:pPr>
      <w:pStyle w:val="Nagwek"/>
      <w:jc w:val="center"/>
    </w:pPr>
    <w:r w:rsidRPr="00AE5D42">
      <w:rPr>
        <w:noProof/>
        <w:lang w:eastAsia="pl-PL"/>
      </w:rPr>
      <w:drawing>
        <wp:inline distT="0" distB="0" distL="0" distR="0" wp14:anchorId="20B02F11" wp14:editId="220A5AE5">
          <wp:extent cx="5691617" cy="800100"/>
          <wp:effectExtent l="0" t="0" r="4445" b="0"/>
          <wp:docPr id="4" name="Picture 2" descr="FE_PR-DS-UE_EFSI-poziom-PL-kolor">
            <a:extLst xmlns:a="http://schemas.openxmlformats.org/drawingml/2006/main">
              <a:ext uri="{FF2B5EF4-FFF2-40B4-BE49-F238E27FC236}">
                <a16:creationId xmlns:a16="http://schemas.microsoft.com/office/drawing/2014/main" id="{DC665684-3F6B-4227-A146-139EDDB98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E_PR-DS-UE_EFSI-poziom-PL-kolor">
                    <a:extLst>
                      <a:ext uri="{FF2B5EF4-FFF2-40B4-BE49-F238E27FC236}">
                        <a16:creationId xmlns:a16="http://schemas.microsoft.com/office/drawing/2014/main" id="{DC665684-3F6B-4227-A146-139EDDB981E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26" cy="804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3544" w14:textId="77777777" w:rsidR="0067025A" w:rsidRDefault="0067025A" w:rsidP="00F44C9D">
    <w:pPr>
      <w:pStyle w:val="Nagwek"/>
      <w:jc w:val="center"/>
    </w:pPr>
  </w:p>
  <w:p w14:paraId="076346A7" w14:textId="77777777" w:rsidR="0067025A" w:rsidRPr="00F44C9D" w:rsidRDefault="0067025A" w:rsidP="0067025A">
    <w:pPr>
      <w:pStyle w:val="Nagwek"/>
      <w:jc w:val="center"/>
    </w:pPr>
    <w:r w:rsidRPr="00AE5D42">
      <w:rPr>
        <w:noProof/>
        <w:lang w:eastAsia="pl-PL"/>
      </w:rPr>
      <w:drawing>
        <wp:inline distT="0" distB="0" distL="0" distR="0" wp14:anchorId="069A1A5C" wp14:editId="60F1FCE8">
          <wp:extent cx="5691617" cy="800100"/>
          <wp:effectExtent l="0" t="0" r="4445" b="0"/>
          <wp:docPr id="5" name="Picture 2" descr="FE_PR-DS-UE_EFSI-poziom-PL-kolor">
            <a:extLst xmlns:a="http://schemas.openxmlformats.org/drawingml/2006/main">
              <a:ext uri="{FF2B5EF4-FFF2-40B4-BE49-F238E27FC236}">
                <a16:creationId xmlns:a16="http://schemas.microsoft.com/office/drawing/2014/main" id="{DC665684-3F6B-4227-A146-139EDDB98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E_PR-DS-UE_EFSI-poziom-PL-kolor">
                    <a:extLst>
                      <a:ext uri="{FF2B5EF4-FFF2-40B4-BE49-F238E27FC236}">
                        <a16:creationId xmlns:a16="http://schemas.microsoft.com/office/drawing/2014/main" id="{DC665684-3F6B-4227-A146-139EDDB981E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26" cy="80481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2F47" w14:textId="77777777" w:rsidR="00270B09" w:rsidRDefault="00270B09" w:rsidP="00AE5D42">
    <w:pPr>
      <w:pStyle w:val="Nagwek"/>
      <w:jc w:val="center"/>
    </w:pPr>
    <w:r w:rsidRPr="00AE5D42">
      <w:rPr>
        <w:noProof/>
        <w:lang w:eastAsia="pl-PL"/>
      </w:rPr>
      <w:drawing>
        <wp:inline distT="0" distB="0" distL="0" distR="0" wp14:anchorId="58FB3461" wp14:editId="38154534">
          <wp:extent cx="5691617" cy="800100"/>
          <wp:effectExtent l="0" t="0" r="4445" b="0"/>
          <wp:docPr id="7" name="Picture 2" descr="FE_PR-DS-UE_EFSI-poziom-PL-kolor">
            <a:extLst xmlns:a="http://schemas.openxmlformats.org/drawingml/2006/main">
              <a:ext uri="{FF2B5EF4-FFF2-40B4-BE49-F238E27FC236}">
                <a16:creationId xmlns:a16="http://schemas.microsoft.com/office/drawing/2014/main" id="{DC665684-3F6B-4227-A146-139EDDB98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E_PR-DS-UE_EFSI-poziom-PL-kolor">
                    <a:extLst>
                      <a:ext uri="{FF2B5EF4-FFF2-40B4-BE49-F238E27FC236}">
                        <a16:creationId xmlns:a16="http://schemas.microsoft.com/office/drawing/2014/main" id="{DC665684-3F6B-4227-A146-139EDDB981E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26" cy="804810"/>
                  </a:xfrm>
                  <a:prstGeom prst="rect">
                    <a:avLst/>
                  </a:prstGeom>
                  <a:noFill/>
                  <a:ln>
                    <a:noFill/>
                  </a:ln>
                </pic:spPr>
              </pic:pic>
            </a:graphicData>
          </a:graphic>
        </wp:inline>
      </w:drawing>
    </w:r>
  </w:p>
  <w:p w14:paraId="1F317895" w14:textId="77777777" w:rsidR="00270B09" w:rsidRDefault="00270B0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E03" w14:textId="77777777" w:rsidR="00270B09" w:rsidRPr="00F44C9D" w:rsidRDefault="00270B09" w:rsidP="00F44C9D">
    <w:pPr>
      <w:pStyle w:val="Nagwek"/>
      <w:jc w:val="center"/>
    </w:pPr>
    <w:r w:rsidRPr="00AE5D42">
      <w:rPr>
        <w:noProof/>
        <w:lang w:eastAsia="pl-PL"/>
      </w:rPr>
      <w:drawing>
        <wp:inline distT="0" distB="0" distL="0" distR="0" wp14:anchorId="230CBF2C" wp14:editId="3B0EC850">
          <wp:extent cx="5691617" cy="800100"/>
          <wp:effectExtent l="0" t="0" r="4445" b="0"/>
          <wp:docPr id="8" name="Picture 2" descr="FE_PR-DS-UE_EFSI-poziom-PL-kolor">
            <a:extLst xmlns:a="http://schemas.openxmlformats.org/drawingml/2006/main">
              <a:ext uri="{FF2B5EF4-FFF2-40B4-BE49-F238E27FC236}">
                <a16:creationId xmlns:a16="http://schemas.microsoft.com/office/drawing/2014/main" id="{DC665684-3F6B-4227-A146-139EDDB98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E_PR-DS-UE_EFSI-poziom-PL-kolor">
                    <a:extLst>
                      <a:ext uri="{FF2B5EF4-FFF2-40B4-BE49-F238E27FC236}">
                        <a16:creationId xmlns:a16="http://schemas.microsoft.com/office/drawing/2014/main" id="{DC665684-3F6B-4227-A146-139EDDB981E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26" cy="804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B22"/>
    <w:multiLevelType w:val="hybridMultilevel"/>
    <w:tmpl w:val="91CCC41A"/>
    <w:lvl w:ilvl="0" w:tplc="F8D82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3343E"/>
    <w:multiLevelType w:val="hybridMultilevel"/>
    <w:tmpl w:val="C6D6995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62C82"/>
    <w:multiLevelType w:val="hybridMultilevel"/>
    <w:tmpl w:val="A93E24B4"/>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9A6B4A"/>
    <w:multiLevelType w:val="hybridMultilevel"/>
    <w:tmpl w:val="68A4BF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B236675"/>
    <w:multiLevelType w:val="hybridMultilevel"/>
    <w:tmpl w:val="85F8E336"/>
    <w:lvl w:ilvl="0" w:tplc="392253C6">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B131FF"/>
    <w:multiLevelType w:val="hybridMultilevel"/>
    <w:tmpl w:val="0894561E"/>
    <w:lvl w:ilvl="0" w:tplc="3A6EF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92158"/>
    <w:multiLevelType w:val="hybridMultilevel"/>
    <w:tmpl w:val="E2B00A7C"/>
    <w:lvl w:ilvl="0" w:tplc="F5521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B4089"/>
    <w:multiLevelType w:val="hybridMultilevel"/>
    <w:tmpl w:val="165069F6"/>
    <w:lvl w:ilvl="0" w:tplc="DBBC5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47FD7"/>
    <w:multiLevelType w:val="hybridMultilevel"/>
    <w:tmpl w:val="BF2C92D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15:restartNumberingAfterBreak="0">
    <w:nsid w:val="0F735F6D"/>
    <w:multiLevelType w:val="hybridMultilevel"/>
    <w:tmpl w:val="525AB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5E1BE6"/>
    <w:multiLevelType w:val="hybridMultilevel"/>
    <w:tmpl w:val="C718910E"/>
    <w:lvl w:ilvl="0" w:tplc="3C865BD4">
      <w:start w:val="1"/>
      <w:numFmt w:val="decimal"/>
      <w:lvlText w:val="%1."/>
      <w:lvlJc w:val="left"/>
      <w:pPr>
        <w:ind w:left="720" w:hanging="360"/>
      </w:pPr>
      <w:rPr>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967A61"/>
    <w:multiLevelType w:val="hybridMultilevel"/>
    <w:tmpl w:val="5FA6D5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59316C"/>
    <w:multiLevelType w:val="hybridMultilevel"/>
    <w:tmpl w:val="7B84D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BA3BDC"/>
    <w:multiLevelType w:val="hybridMultilevel"/>
    <w:tmpl w:val="5816D36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C260F6"/>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719567F"/>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7A67B40"/>
    <w:multiLevelType w:val="hybridMultilevel"/>
    <w:tmpl w:val="3F2CF6E0"/>
    <w:lvl w:ilvl="0" w:tplc="BEEAA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07FEC"/>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9827E8"/>
    <w:multiLevelType w:val="hybridMultilevel"/>
    <w:tmpl w:val="35E4D3AE"/>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8FD4C4A"/>
    <w:multiLevelType w:val="hybridMultilevel"/>
    <w:tmpl w:val="EBF6E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200C29"/>
    <w:multiLevelType w:val="hybridMultilevel"/>
    <w:tmpl w:val="FE3A9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224EF6"/>
    <w:multiLevelType w:val="hybridMultilevel"/>
    <w:tmpl w:val="7B84DD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ACE179F"/>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DE45CB7"/>
    <w:multiLevelType w:val="hybridMultilevel"/>
    <w:tmpl w:val="91FE2FBE"/>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0E363D8"/>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4B43867"/>
    <w:multiLevelType w:val="hybridMultilevel"/>
    <w:tmpl w:val="1610BFF6"/>
    <w:lvl w:ilvl="0" w:tplc="2C64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130B56"/>
    <w:multiLevelType w:val="hybridMultilevel"/>
    <w:tmpl w:val="CE16ABE4"/>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5C246D6"/>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C228DB"/>
    <w:multiLevelType w:val="hybridMultilevel"/>
    <w:tmpl w:val="D28CEC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7D26F24"/>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8EB7D6E"/>
    <w:multiLevelType w:val="hybridMultilevel"/>
    <w:tmpl w:val="CE16ABE4"/>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9BC5BA7"/>
    <w:multiLevelType w:val="hybridMultilevel"/>
    <w:tmpl w:val="7B84DD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AEB21FD"/>
    <w:multiLevelType w:val="hybridMultilevel"/>
    <w:tmpl w:val="19D435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E2465C"/>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8359E3"/>
    <w:multiLevelType w:val="hybridMultilevel"/>
    <w:tmpl w:val="393E8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757CE1"/>
    <w:multiLevelType w:val="hybridMultilevel"/>
    <w:tmpl w:val="09F8B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E8444C0"/>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F325D3C"/>
    <w:multiLevelType w:val="hybridMultilevel"/>
    <w:tmpl w:val="44909E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F3C50A4"/>
    <w:multiLevelType w:val="hybridMultilevel"/>
    <w:tmpl w:val="B0A2AAE0"/>
    <w:lvl w:ilvl="0" w:tplc="C284C6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2C3ED1"/>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036473D"/>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126354A"/>
    <w:multiLevelType w:val="hybridMultilevel"/>
    <w:tmpl w:val="35E4D3AE"/>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36C707D"/>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657B4D"/>
    <w:multiLevelType w:val="hybridMultilevel"/>
    <w:tmpl w:val="53A42D72"/>
    <w:lvl w:ilvl="0" w:tplc="04FA39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1132EF"/>
    <w:multiLevelType w:val="hybridMultilevel"/>
    <w:tmpl w:val="84A2D2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8793D1F"/>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313B7D"/>
    <w:multiLevelType w:val="hybridMultilevel"/>
    <w:tmpl w:val="6A221CBC"/>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9AB025E"/>
    <w:multiLevelType w:val="hybridMultilevel"/>
    <w:tmpl w:val="16506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6C69E8"/>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C40AF9"/>
    <w:multiLevelType w:val="hybridMultilevel"/>
    <w:tmpl w:val="5FA6D508"/>
    <w:lvl w:ilvl="0" w:tplc="A41EB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A239DA"/>
    <w:multiLevelType w:val="hybridMultilevel"/>
    <w:tmpl w:val="42B68C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E5B5D26"/>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E963708"/>
    <w:multiLevelType w:val="hybridMultilevel"/>
    <w:tmpl w:val="C6D6995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544A6F"/>
    <w:multiLevelType w:val="hybridMultilevel"/>
    <w:tmpl w:val="47C4B18C"/>
    <w:lvl w:ilvl="0" w:tplc="BB0C63A4">
      <w:start w:val="1"/>
      <w:numFmt w:val="decimal"/>
      <w:lvlText w:val="%1."/>
      <w:lvlJc w:val="left"/>
      <w:pPr>
        <w:ind w:left="720" w:hanging="360"/>
      </w:pPr>
      <w:rPr>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64ECC"/>
    <w:multiLevelType w:val="hybridMultilevel"/>
    <w:tmpl w:val="A93E24B4"/>
    <w:lvl w:ilvl="0" w:tplc="6EF4131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FFE29DC"/>
    <w:multiLevelType w:val="hybridMultilevel"/>
    <w:tmpl w:val="35E4D3AE"/>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005535A"/>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0331E47"/>
    <w:multiLevelType w:val="hybridMultilevel"/>
    <w:tmpl w:val="7B84DD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1173E6C"/>
    <w:multiLevelType w:val="hybridMultilevel"/>
    <w:tmpl w:val="FDD0AB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41A92961"/>
    <w:multiLevelType w:val="hybridMultilevel"/>
    <w:tmpl w:val="549AFA30"/>
    <w:lvl w:ilvl="0" w:tplc="7F345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637DAD"/>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87453E8"/>
    <w:multiLevelType w:val="hybridMultilevel"/>
    <w:tmpl w:val="7144C41A"/>
    <w:lvl w:ilvl="0" w:tplc="9CCE3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ED1F56"/>
    <w:multiLevelType w:val="hybridMultilevel"/>
    <w:tmpl w:val="DB32A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AB56BE"/>
    <w:multiLevelType w:val="hybridMultilevel"/>
    <w:tmpl w:val="A93E24B4"/>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DCA0C45"/>
    <w:multiLevelType w:val="hybridMultilevel"/>
    <w:tmpl w:val="F78EC6DA"/>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E585A53"/>
    <w:multiLevelType w:val="hybridMultilevel"/>
    <w:tmpl w:val="E086F4C2"/>
    <w:lvl w:ilvl="0" w:tplc="37867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A134A7"/>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FB46F95"/>
    <w:multiLevelType w:val="hybridMultilevel"/>
    <w:tmpl w:val="E8406E8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8" w15:restartNumberingAfterBreak="0">
    <w:nsid w:val="500F1287"/>
    <w:multiLevelType w:val="hybridMultilevel"/>
    <w:tmpl w:val="53A42D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04651AB"/>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10C7096"/>
    <w:multiLevelType w:val="hybridMultilevel"/>
    <w:tmpl w:val="EBF6E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60547A"/>
    <w:multiLevelType w:val="hybridMultilevel"/>
    <w:tmpl w:val="44909EBE"/>
    <w:lvl w:ilvl="0" w:tplc="23B4F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F6798A"/>
    <w:multiLevelType w:val="hybridMultilevel"/>
    <w:tmpl w:val="09CC3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68738A0"/>
    <w:multiLevelType w:val="hybridMultilevel"/>
    <w:tmpl w:val="47C4B18C"/>
    <w:lvl w:ilvl="0" w:tplc="FFFFFFFF">
      <w:start w:val="1"/>
      <w:numFmt w:val="decimal"/>
      <w:lvlText w:val="%1."/>
      <w:lvlJc w:val="left"/>
      <w:pPr>
        <w:ind w:left="720" w:hanging="360"/>
      </w:pPr>
      <w:rPr>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6DC0C4C"/>
    <w:multiLevelType w:val="hybridMultilevel"/>
    <w:tmpl w:val="BEA2F324"/>
    <w:lvl w:ilvl="0" w:tplc="6A4C7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E66FBB"/>
    <w:multiLevelType w:val="hybridMultilevel"/>
    <w:tmpl w:val="7B84DD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AF77003"/>
    <w:multiLevelType w:val="hybridMultilevel"/>
    <w:tmpl w:val="FE3A9546"/>
    <w:lvl w:ilvl="0" w:tplc="01C68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A91981"/>
    <w:multiLevelType w:val="hybridMultilevel"/>
    <w:tmpl w:val="EBF6E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E9E123F"/>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F620A75"/>
    <w:multiLevelType w:val="hybridMultilevel"/>
    <w:tmpl w:val="DB32AA4C"/>
    <w:lvl w:ilvl="0" w:tplc="2FDA39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EB7A2E"/>
    <w:multiLevelType w:val="hybridMultilevel"/>
    <w:tmpl w:val="265C14C4"/>
    <w:lvl w:ilvl="0" w:tplc="B476C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5A2C4C"/>
    <w:multiLevelType w:val="hybridMultilevel"/>
    <w:tmpl w:val="0FE2B2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3132A0E"/>
    <w:multiLevelType w:val="hybridMultilevel"/>
    <w:tmpl w:val="06FC5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643FE7"/>
    <w:multiLevelType w:val="hybridMultilevel"/>
    <w:tmpl w:val="91FE2FBE"/>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63B31468"/>
    <w:multiLevelType w:val="hybridMultilevel"/>
    <w:tmpl w:val="23827D9A"/>
    <w:lvl w:ilvl="0" w:tplc="F914277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DA46AC"/>
    <w:multiLevelType w:val="hybridMultilevel"/>
    <w:tmpl w:val="C6D6995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7063139"/>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0106D6"/>
    <w:multiLevelType w:val="hybridMultilevel"/>
    <w:tmpl w:val="A5423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9A408E1"/>
    <w:multiLevelType w:val="hybridMultilevel"/>
    <w:tmpl w:val="87A42FD8"/>
    <w:lvl w:ilvl="0" w:tplc="8886F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F731EF"/>
    <w:multiLevelType w:val="hybridMultilevel"/>
    <w:tmpl w:val="E086F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CB93CFE"/>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E6575C0"/>
    <w:multiLevelType w:val="hybridMultilevel"/>
    <w:tmpl w:val="06FC5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F782992"/>
    <w:multiLevelType w:val="hybridMultilevel"/>
    <w:tmpl w:val="1D7C8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71A23360"/>
    <w:multiLevelType w:val="hybridMultilevel"/>
    <w:tmpl w:val="35E4D3AE"/>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34E58C0"/>
    <w:multiLevelType w:val="hybridMultilevel"/>
    <w:tmpl w:val="FE06E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2F126C"/>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5116330"/>
    <w:multiLevelType w:val="hybridMultilevel"/>
    <w:tmpl w:val="DB32AA4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087126"/>
    <w:multiLevelType w:val="hybridMultilevel"/>
    <w:tmpl w:val="53A42D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63B186B"/>
    <w:multiLevelType w:val="hybridMultilevel"/>
    <w:tmpl w:val="85F8E336"/>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7E31674"/>
    <w:multiLevelType w:val="hybridMultilevel"/>
    <w:tmpl w:val="45CE6B5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91151DD"/>
    <w:multiLevelType w:val="hybridMultilevel"/>
    <w:tmpl w:val="3F2CF6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BC753B0"/>
    <w:multiLevelType w:val="hybridMultilevel"/>
    <w:tmpl w:val="C6D69958"/>
    <w:lvl w:ilvl="0" w:tplc="716A715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C2D1EEA"/>
    <w:multiLevelType w:val="hybridMultilevel"/>
    <w:tmpl w:val="A93E24B4"/>
    <w:lvl w:ilvl="0" w:tplc="FFFFFFFF">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E1E0865"/>
    <w:multiLevelType w:val="hybridMultilevel"/>
    <w:tmpl w:val="50B829AC"/>
    <w:lvl w:ilvl="0" w:tplc="1CF2E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376933"/>
    <w:multiLevelType w:val="hybridMultilevel"/>
    <w:tmpl w:val="913E5CAE"/>
    <w:lvl w:ilvl="0" w:tplc="186E840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7281093">
    <w:abstractNumId w:val="5"/>
  </w:num>
  <w:num w:numId="2" w16cid:durableId="843328137">
    <w:abstractNumId w:val="92"/>
  </w:num>
  <w:num w:numId="3" w16cid:durableId="346252688">
    <w:abstractNumId w:val="50"/>
  </w:num>
  <w:num w:numId="4" w16cid:durableId="1917547554">
    <w:abstractNumId w:val="72"/>
  </w:num>
  <w:num w:numId="5" w16cid:durableId="844708371">
    <w:abstractNumId w:val="3"/>
  </w:num>
  <w:num w:numId="6" w16cid:durableId="1811746574">
    <w:abstractNumId w:val="35"/>
  </w:num>
  <w:num w:numId="7" w16cid:durableId="783155712">
    <w:abstractNumId w:val="99"/>
  </w:num>
  <w:num w:numId="8" w16cid:durableId="6100116">
    <w:abstractNumId w:val="28"/>
  </w:num>
  <w:num w:numId="9" w16cid:durableId="132985905">
    <w:abstractNumId w:val="58"/>
  </w:num>
  <w:num w:numId="10" w16cid:durableId="1806854004">
    <w:abstractNumId w:val="67"/>
  </w:num>
  <w:num w:numId="11" w16cid:durableId="141046520">
    <w:abstractNumId w:val="32"/>
  </w:num>
  <w:num w:numId="12" w16cid:durableId="611979394">
    <w:abstractNumId w:val="8"/>
  </w:num>
  <w:num w:numId="13" w16cid:durableId="1006371006">
    <w:abstractNumId w:val="54"/>
  </w:num>
  <w:num w:numId="14" w16cid:durableId="1181312579">
    <w:abstractNumId w:val="82"/>
  </w:num>
  <w:num w:numId="15" w16cid:durableId="821234010">
    <w:abstractNumId w:val="41"/>
  </w:num>
  <w:num w:numId="16" w16cid:durableId="1015304319">
    <w:abstractNumId w:val="30"/>
  </w:num>
  <w:num w:numId="17" w16cid:durableId="1571429693">
    <w:abstractNumId w:val="46"/>
  </w:num>
  <w:num w:numId="18" w16cid:durableId="1875457952">
    <w:abstractNumId w:val="23"/>
  </w:num>
  <w:num w:numId="19" w16cid:durableId="519852919">
    <w:abstractNumId w:val="70"/>
  </w:num>
  <w:num w:numId="20" w16cid:durableId="348531614">
    <w:abstractNumId w:val="19"/>
  </w:num>
  <w:num w:numId="21" w16cid:durableId="1520195228">
    <w:abstractNumId w:val="81"/>
  </w:num>
  <w:num w:numId="22" w16cid:durableId="698237014">
    <w:abstractNumId w:val="101"/>
  </w:num>
  <w:num w:numId="23" w16cid:durableId="2055888219">
    <w:abstractNumId w:val="13"/>
  </w:num>
  <w:num w:numId="24" w16cid:durableId="1952975010">
    <w:abstractNumId w:val="44"/>
  </w:num>
  <w:num w:numId="25" w16cid:durableId="181945334">
    <w:abstractNumId w:val="93"/>
  </w:num>
  <w:num w:numId="26" w16cid:durableId="527644469">
    <w:abstractNumId w:val="2"/>
  </w:num>
  <w:num w:numId="27" w16cid:durableId="1856143064">
    <w:abstractNumId w:val="55"/>
  </w:num>
  <w:num w:numId="28" w16cid:durableId="1595824261">
    <w:abstractNumId w:val="18"/>
  </w:num>
  <w:num w:numId="29" w16cid:durableId="83191292">
    <w:abstractNumId w:val="64"/>
  </w:num>
  <w:num w:numId="30" w16cid:durableId="409428397">
    <w:abstractNumId w:val="4"/>
  </w:num>
  <w:num w:numId="31" w16cid:durableId="484320289">
    <w:abstractNumId w:val="27"/>
  </w:num>
  <w:num w:numId="32" w16cid:durableId="254367517">
    <w:abstractNumId w:val="90"/>
  </w:num>
  <w:num w:numId="33" w16cid:durableId="1585408989">
    <w:abstractNumId w:val="17"/>
  </w:num>
  <w:num w:numId="34" w16cid:durableId="905190487">
    <w:abstractNumId w:val="84"/>
  </w:num>
  <w:num w:numId="35" w16cid:durableId="1510099997">
    <w:abstractNumId w:val="40"/>
  </w:num>
  <w:num w:numId="36" w16cid:durableId="1001737876">
    <w:abstractNumId w:val="33"/>
  </w:num>
  <w:num w:numId="37" w16cid:durableId="1113356143">
    <w:abstractNumId w:val="36"/>
  </w:num>
  <w:num w:numId="38" w16cid:durableId="348799886">
    <w:abstractNumId w:val="42"/>
  </w:num>
  <w:num w:numId="39" w16cid:durableId="1012414593">
    <w:abstractNumId w:val="51"/>
  </w:num>
  <w:num w:numId="40" w16cid:durableId="345404315">
    <w:abstractNumId w:val="60"/>
  </w:num>
  <w:num w:numId="41" w16cid:durableId="243927190">
    <w:abstractNumId w:val="22"/>
  </w:num>
  <w:num w:numId="42" w16cid:durableId="972558935">
    <w:abstractNumId w:val="78"/>
  </w:num>
  <w:num w:numId="43" w16cid:durableId="1083261521">
    <w:abstractNumId w:val="95"/>
  </w:num>
  <w:num w:numId="44" w16cid:durableId="495071016">
    <w:abstractNumId w:val="86"/>
  </w:num>
  <w:num w:numId="45" w16cid:durableId="1129670338">
    <w:abstractNumId w:val="98"/>
  </w:num>
  <w:num w:numId="46" w16cid:durableId="58091653">
    <w:abstractNumId w:val="45"/>
  </w:num>
  <w:num w:numId="47" w16cid:durableId="1432316223">
    <w:abstractNumId w:val="74"/>
  </w:num>
  <w:num w:numId="48" w16cid:durableId="400104862">
    <w:abstractNumId w:val="49"/>
  </w:num>
  <w:num w:numId="49" w16cid:durableId="1224411219">
    <w:abstractNumId w:val="103"/>
  </w:num>
  <w:num w:numId="50" w16cid:durableId="1564634665">
    <w:abstractNumId w:val="80"/>
  </w:num>
  <w:num w:numId="51" w16cid:durableId="506363106">
    <w:abstractNumId w:val="25"/>
  </w:num>
  <w:num w:numId="52" w16cid:durableId="84159682">
    <w:abstractNumId w:val="61"/>
  </w:num>
  <w:num w:numId="53" w16cid:durableId="1005742539">
    <w:abstractNumId w:val="104"/>
  </w:num>
  <w:num w:numId="54" w16cid:durableId="1722443244">
    <w:abstractNumId w:val="0"/>
  </w:num>
  <w:num w:numId="55" w16cid:durableId="2049907945">
    <w:abstractNumId w:val="65"/>
  </w:num>
  <w:num w:numId="56" w16cid:durableId="752091796">
    <w:abstractNumId w:val="71"/>
  </w:num>
  <w:num w:numId="57" w16cid:durableId="972102219">
    <w:abstractNumId w:val="38"/>
  </w:num>
  <w:num w:numId="58" w16cid:durableId="1950356434">
    <w:abstractNumId w:val="88"/>
  </w:num>
  <w:num w:numId="59" w16cid:durableId="1007638805">
    <w:abstractNumId w:val="76"/>
  </w:num>
  <w:num w:numId="60" w16cid:durableId="1235236141">
    <w:abstractNumId w:val="16"/>
  </w:num>
  <w:num w:numId="61" w16cid:durableId="2052654984">
    <w:abstractNumId w:val="59"/>
  </w:num>
  <w:num w:numId="62" w16cid:durableId="779029950">
    <w:abstractNumId w:val="6"/>
  </w:num>
  <w:num w:numId="63" w16cid:durableId="1006439090">
    <w:abstractNumId w:val="79"/>
  </w:num>
  <w:num w:numId="64" w16cid:durableId="1790902334">
    <w:abstractNumId w:val="7"/>
  </w:num>
  <w:num w:numId="65" w16cid:durableId="1807969756">
    <w:abstractNumId w:val="87"/>
  </w:num>
  <w:num w:numId="66" w16cid:durableId="577253953">
    <w:abstractNumId w:val="12"/>
  </w:num>
  <w:num w:numId="67" w16cid:durableId="1502430457">
    <w:abstractNumId w:val="31"/>
  </w:num>
  <w:num w:numId="68" w16cid:durableId="1589382421">
    <w:abstractNumId w:val="75"/>
  </w:num>
  <w:num w:numId="69" w16cid:durableId="379088855">
    <w:abstractNumId w:val="11"/>
  </w:num>
  <w:num w:numId="70" w16cid:durableId="1575431307">
    <w:abstractNumId w:val="96"/>
  </w:num>
  <w:num w:numId="71" w16cid:durableId="198443599">
    <w:abstractNumId w:val="47"/>
  </w:num>
  <w:num w:numId="72" w16cid:durableId="955790569">
    <w:abstractNumId w:val="10"/>
  </w:num>
  <w:num w:numId="73" w16cid:durableId="193033407">
    <w:abstractNumId w:val="63"/>
  </w:num>
  <w:num w:numId="74" w16cid:durableId="162817275">
    <w:abstractNumId w:val="102"/>
  </w:num>
  <w:num w:numId="75" w16cid:durableId="569583439">
    <w:abstractNumId w:val="53"/>
  </w:num>
  <w:num w:numId="76" w16cid:durableId="1870097926">
    <w:abstractNumId w:val="15"/>
  </w:num>
  <w:num w:numId="77" w16cid:durableId="478352006">
    <w:abstractNumId w:val="69"/>
  </w:num>
  <w:num w:numId="78" w16cid:durableId="762409807">
    <w:abstractNumId w:val="14"/>
  </w:num>
  <w:num w:numId="79" w16cid:durableId="992176540">
    <w:abstractNumId w:val="66"/>
  </w:num>
  <w:num w:numId="80" w16cid:durableId="790592014">
    <w:abstractNumId w:val="56"/>
  </w:num>
  <w:num w:numId="81" w16cid:durableId="1698117288">
    <w:abstractNumId w:val="24"/>
  </w:num>
  <w:num w:numId="82" w16cid:durableId="1308972632">
    <w:abstractNumId w:val="48"/>
  </w:num>
  <w:num w:numId="83" w16cid:durableId="1440488669">
    <w:abstractNumId w:val="29"/>
  </w:num>
  <w:num w:numId="84" w16cid:durableId="1097094057">
    <w:abstractNumId w:val="9"/>
  </w:num>
  <w:num w:numId="85" w16cid:durableId="1204637616">
    <w:abstractNumId w:val="77"/>
  </w:num>
  <w:num w:numId="86" w16cid:durableId="1220898731">
    <w:abstractNumId w:val="62"/>
  </w:num>
  <w:num w:numId="87" w16cid:durableId="28654111">
    <w:abstractNumId w:val="43"/>
  </w:num>
  <w:num w:numId="88" w16cid:durableId="1134561659">
    <w:abstractNumId w:val="94"/>
  </w:num>
  <w:num w:numId="89" w16cid:durableId="171377174">
    <w:abstractNumId w:val="1"/>
  </w:num>
  <w:num w:numId="90" w16cid:durableId="222373224">
    <w:abstractNumId w:val="26"/>
  </w:num>
  <w:num w:numId="91" w16cid:durableId="1616012732">
    <w:abstractNumId w:val="52"/>
  </w:num>
  <w:num w:numId="92" w16cid:durableId="1838416898">
    <w:abstractNumId w:val="85"/>
  </w:num>
  <w:num w:numId="93" w16cid:durableId="37819357">
    <w:abstractNumId w:val="73"/>
  </w:num>
  <w:num w:numId="94" w16cid:durableId="1203978100">
    <w:abstractNumId w:val="83"/>
  </w:num>
  <w:num w:numId="95" w16cid:durableId="709110047">
    <w:abstractNumId w:val="34"/>
  </w:num>
  <w:num w:numId="96" w16cid:durableId="2121021965">
    <w:abstractNumId w:val="21"/>
  </w:num>
  <w:num w:numId="97" w16cid:durableId="1172795752">
    <w:abstractNumId w:val="57"/>
  </w:num>
  <w:num w:numId="98" w16cid:durableId="1474524955">
    <w:abstractNumId w:val="89"/>
  </w:num>
  <w:num w:numId="99" w16cid:durableId="30421842">
    <w:abstractNumId w:val="37"/>
  </w:num>
  <w:num w:numId="100" w16cid:durableId="452483595">
    <w:abstractNumId w:val="39"/>
  </w:num>
  <w:num w:numId="101" w16cid:durableId="632096003">
    <w:abstractNumId w:val="91"/>
  </w:num>
  <w:num w:numId="102" w16cid:durableId="53549212">
    <w:abstractNumId w:val="68"/>
  </w:num>
  <w:num w:numId="103" w16cid:durableId="452210950">
    <w:abstractNumId w:val="97"/>
  </w:num>
  <w:num w:numId="104" w16cid:durableId="580915262">
    <w:abstractNumId w:val="20"/>
  </w:num>
  <w:num w:numId="105" w16cid:durableId="1261257013">
    <w:abstractNumId w:val="10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CE"/>
    <w:rsid w:val="000018D1"/>
    <w:rsid w:val="00003461"/>
    <w:rsid w:val="00003BBE"/>
    <w:rsid w:val="00005AC9"/>
    <w:rsid w:val="00005B3E"/>
    <w:rsid w:val="000061E1"/>
    <w:rsid w:val="00006B6F"/>
    <w:rsid w:val="00010316"/>
    <w:rsid w:val="000103E5"/>
    <w:rsid w:val="00010A3E"/>
    <w:rsid w:val="000131AF"/>
    <w:rsid w:val="00014A4F"/>
    <w:rsid w:val="00015147"/>
    <w:rsid w:val="000260B9"/>
    <w:rsid w:val="0002706E"/>
    <w:rsid w:val="00030D95"/>
    <w:rsid w:val="00033206"/>
    <w:rsid w:val="0003396B"/>
    <w:rsid w:val="00033C60"/>
    <w:rsid w:val="000346DA"/>
    <w:rsid w:val="00035E23"/>
    <w:rsid w:val="00036FFB"/>
    <w:rsid w:val="000401F8"/>
    <w:rsid w:val="0004097B"/>
    <w:rsid w:val="00041B06"/>
    <w:rsid w:val="000425D0"/>
    <w:rsid w:val="00042F45"/>
    <w:rsid w:val="000433B2"/>
    <w:rsid w:val="00045684"/>
    <w:rsid w:val="000462B9"/>
    <w:rsid w:val="00046935"/>
    <w:rsid w:val="00047330"/>
    <w:rsid w:val="00047D76"/>
    <w:rsid w:val="00050314"/>
    <w:rsid w:val="00050350"/>
    <w:rsid w:val="0005076E"/>
    <w:rsid w:val="00051402"/>
    <w:rsid w:val="00053E19"/>
    <w:rsid w:val="00054D38"/>
    <w:rsid w:val="00055967"/>
    <w:rsid w:val="000564AC"/>
    <w:rsid w:val="0005785F"/>
    <w:rsid w:val="000578C1"/>
    <w:rsid w:val="00060D79"/>
    <w:rsid w:val="00061E93"/>
    <w:rsid w:val="0006507B"/>
    <w:rsid w:val="00066164"/>
    <w:rsid w:val="000662D4"/>
    <w:rsid w:val="00067511"/>
    <w:rsid w:val="00070313"/>
    <w:rsid w:val="00072712"/>
    <w:rsid w:val="00072788"/>
    <w:rsid w:val="00075845"/>
    <w:rsid w:val="00075A8B"/>
    <w:rsid w:val="00075EBF"/>
    <w:rsid w:val="00076301"/>
    <w:rsid w:val="0007682F"/>
    <w:rsid w:val="0008147B"/>
    <w:rsid w:val="00081783"/>
    <w:rsid w:val="00081DF0"/>
    <w:rsid w:val="0008230C"/>
    <w:rsid w:val="0008533B"/>
    <w:rsid w:val="00086A47"/>
    <w:rsid w:val="00087FE2"/>
    <w:rsid w:val="00090A0B"/>
    <w:rsid w:val="00091DD6"/>
    <w:rsid w:val="00092A1E"/>
    <w:rsid w:val="0009303A"/>
    <w:rsid w:val="000946ED"/>
    <w:rsid w:val="00094B22"/>
    <w:rsid w:val="00095D3C"/>
    <w:rsid w:val="0009631E"/>
    <w:rsid w:val="00096B35"/>
    <w:rsid w:val="00096D07"/>
    <w:rsid w:val="000A2346"/>
    <w:rsid w:val="000A2456"/>
    <w:rsid w:val="000A420B"/>
    <w:rsid w:val="000A43C8"/>
    <w:rsid w:val="000A7A9A"/>
    <w:rsid w:val="000B03BD"/>
    <w:rsid w:val="000B05F6"/>
    <w:rsid w:val="000B200D"/>
    <w:rsid w:val="000B2AC6"/>
    <w:rsid w:val="000B32E2"/>
    <w:rsid w:val="000B3908"/>
    <w:rsid w:val="000B4691"/>
    <w:rsid w:val="000B516E"/>
    <w:rsid w:val="000B637B"/>
    <w:rsid w:val="000B6922"/>
    <w:rsid w:val="000C0D6F"/>
    <w:rsid w:val="000C18BA"/>
    <w:rsid w:val="000C334E"/>
    <w:rsid w:val="000C4F26"/>
    <w:rsid w:val="000C5781"/>
    <w:rsid w:val="000C5B74"/>
    <w:rsid w:val="000D0FD5"/>
    <w:rsid w:val="000D24EC"/>
    <w:rsid w:val="000D2A3D"/>
    <w:rsid w:val="000D3AF4"/>
    <w:rsid w:val="000D3F0C"/>
    <w:rsid w:val="000D4AFA"/>
    <w:rsid w:val="000D5096"/>
    <w:rsid w:val="000E1979"/>
    <w:rsid w:val="000E2EE1"/>
    <w:rsid w:val="000E6B06"/>
    <w:rsid w:val="000E7DFB"/>
    <w:rsid w:val="000F05A2"/>
    <w:rsid w:val="000F09C6"/>
    <w:rsid w:val="000F0C57"/>
    <w:rsid w:val="000F0F0F"/>
    <w:rsid w:val="000F1A1C"/>
    <w:rsid w:val="000F280D"/>
    <w:rsid w:val="000F2CAC"/>
    <w:rsid w:val="000F2DB7"/>
    <w:rsid w:val="000F3062"/>
    <w:rsid w:val="000F4C04"/>
    <w:rsid w:val="000F58CA"/>
    <w:rsid w:val="000F7229"/>
    <w:rsid w:val="00100FD5"/>
    <w:rsid w:val="00103C7A"/>
    <w:rsid w:val="00105780"/>
    <w:rsid w:val="00105B6B"/>
    <w:rsid w:val="00105E0E"/>
    <w:rsid w:val="00110039"/>
    <w:rsid w:val="00110586"/>
    <w:rsid w:val="001106F3"/>
    <w:rsid w:val="001115A6"/>
    <w:rsid w:val="00111D88"/>
    <w:rsid w:val="001120B6"/>
    <w:rsid w:val="001132B2"/>
    <w:rsid w:val="0011379B"/>
    <w:rsid w:val="00115D0F"/>
    <w:rsid w:val="001165F7"/>
    <w:rsid w:val="00120BE6"/>
    <w:rsid w:val="0012115A"/>
    <w:rsid w:val="00122123"/>
    <w:rsid w:val="00122965"/>
    <w:rsid w:val="00124670"/>
    <w:rsid w:val="00126061"/>
    <w:rsid w:val="00126A4F"/>
    <w:rsid w:val="00127BD6"/>
    <w:rsid w:val="0013036D"/>
    <w:rsid w:val="0013128C"/>
    <w:rsid w:val="00135708"/>
    <w:rsid w:val="00136DAF"/>
    <w:rsid w:val="00137CF1"/>
    <w:rsid w:val="00137DBB"/>
    <w:rsid w:val="00140DD0"/>
    <w:rsid w:val="00141A6F"/>
    <w:rsid w:val="001425BE"/>
    <w:rsid w:val="0014693F"/>
    <w:rsid w:val="001521A5"/>
    <w:rsid w:val="001529BD"/>
    <w:rsid w:val="00154764"/>
    <w:rsid w:val="001547C7"/>
    <w:rsid w:val="00154AE5"/>
    <w:rsid w:val="00154DE5"/>
    <w:rsid w:val="00160708"/>
    <w:rsid w:val="00160AA3"/>
    <w:rsid w:val="00160B3D"/>
    <w:rsid w:val="0016272F"/>
    <w:rsid w:val="001628B0"/>
    <w:rsid w:val="00165290"/>
    <w:rsid w:val="00165530"/>
    <w:rsid w:val="001663C2"/>
    <w:rsid w:val="00166D4F"/>
    <w:rsid w:val="00167E60"/>
    <w:rsid w:val="0017174B"/>
    <w:rsid w:val="00174428"/>
    <w:rsid w:val="0017578E"/>
    <w:rsid w:val="00175E4A"/>
    <w:rsid w:val="00175EA5"/>
    <w:rsid w:val="00177A5A"/>
    <w:rsid w:val="00182AA1"/>
    <w:rsid w:val="001832AD"/>
    <w:rsid w:val="0018363D"/>
    <w:rsid w:val="00183859"/>
    <w:rsid w:val="00184D4D"/>
    <w:rsid w:val="00184DAE"/>
    <w:rsid w:val="001862E0"/>
    <w:rsid w:val="001910A1"/>
    <w:rsid w:val="00191FE2"/>
    <w:rsid w:val="00193171"/>
    <w:rsid w:val="001970D9"/>
    <w:rsid w:val="00197524"/>
    <w:rsid w:val="00197664"/>
    <w:rsid w:val="00197AF9"/>
    <w:rsid w:val="001A1712"/>
    <w:rsid w:val="001A2A29"/>
    <w:rsid w:val="001A52EA"/>
    <w:rsid w:val="001A6F97"/>
    <w:rsid w:val="001B0178"/>
    <w:rsid w:val="001B0A46"/>
    <w:rsid w:val="001B0A5A"/>
    <w:rsid w:val="001B0B98"/>
    <w:rsid w:val="001B1E0F"/>
    <w:rsid w:val="001B3DE2"/>
    <w:rsid w:val="001B483F"/>
    <w:rsid w:val="001B6B13"/>
    <w:rsid w:val="001C17F2"/>
    <w:rsid w:val="001C3FFD"/>
    <w:rsid w:val="001C4A6B"/>
    <w:rsid w:val="001C6669"/>
    <w:rsid w:val="001C7631"/>
    <w:rsid w:val="001C7BD9"/>
    <w:rsid w:val="001D01A6"/>
    <w:rsid w:val="001D0607"/>
    <w:rsid w:val="001D1C32"/>
    <w:rsid w:val="001D2E8F"/>
    <w:rsid w:val="001D3790"/>
    <w:rsid w:val="001D3E4C"/>
    <w:rsid w:val="001D52F2"/>
    <w:rsid w:val="001E0716"/>
    <w:rsid w:val="001E20FD"/>
    <w:rsid w:val="001E2F3F"/>
    <w:rsid w:val="001E350C"/>
    <w:rsid w:val="001E787B"/>
    <w:rsid w:val="001E7FEE"/>
    <w:rsid w:val="001F5566"/>
    <w:rsid w:val="001F6E00"/>
    <w:rsid w:val="001F7610"/>
    <w:rsid w:val="00200B7C"/>
    <w:rsid w:val="0020195E"/>
    <w:rsid w:val="00201DD7"/>
    <w:rsid w:val="002025C4"/>
    <w:rsid w:val="00203455"/>
    <w:rsid w:val="002036AB"/>
    <w:rsid w:val="00205631"/>
    <w:rsid w:val="00205698"/>
    <w:rsid w:val="00205D19"/>
    <w:rsid w:val="00207396"/>
    <w:rsid w:val="00210AB7"/>
    <w:rsid w:val="00210AC5"/>
    <w:rsid w:val="00210F4D"/>
    <w:rsid w:val="00212832"/>
    <w:rsid w:val="0021289C"/>
    <w:rsid w:val="0021341B"/>
    <w:rsid w:val="00213C85"/>
    <w:rsid w:val="00214C22"/>
    <w:rsid w:val="00216562"/>
    <w:rsid w:val="00221753"/>
    <w:rsid w:val="002223D0"/>
    <w:rsid w:val="002227B9"/>
    <w:rsid w:val="002238AE"/>
    <w:rsid w:val="002239A1"/>
    <w:rsid w:val="002335C0"/>
    <w:rsid w:val="00233F69"/>
    <w:rsid w:val="00235D55"/>
    <w:rsid w:val="00236AB9"/>
    <w:rsid w:val="002374A8"/>
    <w:rsid w:val="00240266"/>
    <w:rsid w:val="00240C59"/>
    <w:rsid w:val="00242BCC"/>
    <w:rsid w:val="002433A5"/>
    <w:rsid w:val="00243B24"/>
    <w:rsid w:val="00243F5A"/>
    <w:rsid w:val="00246190"/>
    <w:rsid w:val="002470DE"/>
    <w:rsid w:val="00247FAF"/>
    <w:rsid w:val="00251615"/>
    <w:rsid w:val="0025506F"/>
    <w:rsid w:val="002555DC"/>
    <w:rsid w:val="00263BE7"/>
    <w:rsid w:val="00264A52"/>
    <w:rsid w:val="00264F53"/>
    <w:rsid w:val="00270B09"/>
    <w:rsid w:val="002714D9"/>
    <w:rsid w:val="00273216"/>
    <w:rsid w:val="00274A6C"/>
    <w:rsid w:val="002754CE"/>
    <w:rsid w:val="00275D26"/>
    <w:rsid w:val="00281074"/>
    <w:rsid w:val="002828F5"/>
    <w:rsid w:val="00282D9A"/>
    <w:rsid w:val="00284394"/>
    <w:rsid w:val="00284F11"/>
    <w:rsid w:val="002855FE"/>
    <w:rsid w:val="00285E10"/>
    <w:rsid w:val="00287C60"/>
    <w:rsid w:val="002904AF"/>
    <w:rsid w:val="002904CC"/>
    <w:rsid w:val="00290C1A"/>
    <w:rsid w:val="00290FB2"/>
    <w:rsid w:val="002927A7"/>
    <w:rsid w:val="0029383E"/>
    <w:rsid w:val="00295B39"/>
    <w:rsid w:val="002964B8"/>
    <w:rsid w:val="00296DA6"/>
    <w:rsid w:val="00297ABC"/>
    <w:rsid w:val="002A18D6"/>
    <w:rsid w:val="002A1D7D"/>
    <w:rsid w:val="002A38A6"/>
    <w:rsid w:val="002A39E2"/>
    <w:rsid w:val="002A39EE"/>
    <w:rsid w:val="002A3CC5"/>
    <w:rsid w:val="002A5869"/>
    <w:rsid w:val="002A5C2B"/>
    <w:rsid w:val="002A77A5"/>
    <w:rsid w:val="002B0695"/>
    <w:rsid w:val="002B2F0A"/>
    <w:rsid w:val="002B348C"/>
    <w:rsid w:val="002B41E6"/>
    <w:rsid w:val="002B53F4"/>
    <w:rsid w:val="002B58A1"/>
    <w:rsid w:val="002B61CB"/>
    <w:rsid w:val="002B6BCC"/>
    <w:rsid w:val="002B7510"/>
    <w:rsid w:val="002B791A"/>
    <w:rsid w:val="002B7F16"/>
    <w:rsid w:val="002C01F8"/>
    <w:rsid w:val="002C1270"/>
    <w:rsid w:val="002C2E22"/>
    <w:rsid w:val="002C391D"/>
    <w:rsid w:val="002C6320"/>
    <w:rsid w:val="002C7A7F"/>
    <w:rsid w:val="002D50A6"/>
    <w:rsid w:val="002D5313"/>
    <w:rsid w:val="002D6934"/>
    <w:rsid w:val="002D72D4"/>
    <w:rsid w:val="002E42EE"/>
    <w:rsid w:val="002E4F60"/>
    <w:rsid w:val="002E57BF"/>
    <w:rsid w:val="002E7674"/>
    <w:rsid w:val="002E78BC"/>
    <w:rsid w:val="002F0127"/>
    <w:rsid w:val="002F03AF"/>
    <w:rsid w:val="002F0424"/>
    <w:rsid w:val="002F05D2"/>
    <w:rsid w:val="002F17C7"/>
    <w:rsid w:val="002F30A1"/>
    <w:rsid w:val="002F5839"/>
    <w:rsid w:val="00300180"/>
    <w:rsid w:val="003005E1"/>
    <w:rsid w:val="003007F4"/>
    <w:rsid w:val="00301766"/>
    <w:rsid w:val="00303B04"/>
    <w:rsid w:val="00303ED0"/>
    <w:rsid w:val="00304825"/>
    <w:rsid w:val="00304AF0"/>
    <w:rsid w:val="00305272"/>
    <w:rsid w:val="0030750D"/>
    <w:rsid w:val="003122A7"/>
    <w:rsid w:val="00313525"/>
    <w:rsid w:val="003144B9"/>
    <w:rsid w:val="00322210"/>
    <w:rsid w:val="00323339"/>
    <w:rsid w:val="00326395"/>
    <w:rsid w:val="003276BE"/>
    <w:rsid w:val="00332A6D"/>
    <w:rsid w:val="0033388B"/>
    <w:rsid w:val="00334A97"/>
    <w:rsid w:val="00337397"/>
    <w:rsid w:val="00337C0F"/>
    <w:rsid w:val="00341368"/>
    <w:rsid w:val="00343A89"/>
    <w:rsid w:val="0034647A"/>
    <w:rsid w:val="00346FAF"/>
    <w:rsid w:val="00347182"/>
    <w:rsid w:val="00347312"/>
    <w:rsid w:val="003501B2"/>
    <w:rsid w:val="003502B5"/>
    <w:rsid w:val="003503CD"/>
    <w:rsid w:val="003516C6"/>
    <w:rsid w:val="00352061"/>
    <w:rsid w:val="00353240"/>
    <w:rsid w:val="00354FD0"/>
    <w:rsid w:val="00355198"/>
    <w:rsid w:val="003556DD"/>
    <w:rsid w:val="00356A6E"/>
    <w:rsid w:val="00361493"/>
    <w:rsid w:val="00361B19"/>
    <w:rsid w:val="00364764"/>
    <w:rsid w:val="00364980"/>
    <w:rsid w:val="003655C1"/>
    <w:rsid w:val="00365B82"/>
    <w:rsid w:val="00366DEF"/>
    <w:rsid w:val="0036715A"/>
    <w:rsid w:val="0036719D"/>
    <w:rsid w:val="003701D5"/>
    <w:rsid w:val="003718BB"/>
    <w:rsid w:val="003719DC"/>
    <w:rsid w:val="0037219F"/>
    <w:rsid w:val="003725AB"/>
    <w:rsid w:val="00372DC3"/>
    <w:rsid w:val="003739E9"/>
    <w:rsid w:val="003742B8"/>
    <w:rsid w:val="00374B34"/>
    <w:rsid w:val="003755DE"/>
    <w:rsid w:val="00383467"/>
    <w:rsid w:val="00384042"/>
    <w:rsid w:val="003863AA"/>
    <w:rsid w:val="003865D3"/>
    <w:rsid w:val="00387148"/>
    <w:rsid w:val="00387F9D"/>
    <w:rsid w:val="00391C5D"/>
    <w:rsid w:val="00392135"/>
    <w:rsid w:val="003925ED"/>
    <w:rsid w:val="00392875"/>
    <w:rsid w:val="00393912"/>
    <w:rsid w:val="00393CF4"/>
    <w:rsid w:val="003944D3"/>
    <w:rsid w:val="003956B5"/>
    <w:rsid w:val="00395E76"/>
    <w:rsid w:val="00396D17"/>
    <w:rsid w:val="003975FF"/>
    <w:rsid w:val="00397D20"/>
    <w:rsid w:val="003A00C8"/>
    <w:rsid w:val="003A1801"/>
    <w:rsid w:val="003A2796"/>
    <w:rsid w:val="003A2BCC"/>
    <w:rsid w:val="003A32C9"/>
    <w:rsid w:val="003A359D"/>
    <w:rsid w:val="003A5592"/>
    <w:rsid w:val="003A5CDB"/>
    <w:rsid w:val="003A62DC"/>
    <w:rsid w:val="003A6407"/>
    <w:rsid w:val="003B4920"/>
    <w:rsid w:val="003B55F7"/>
    <w:rsid w:val="003B64DD"/>
    <w:rsid w:val="003B67D2"/>
    <w:rsid w:val="003C129F"/>
    <w:rsid w:val="003C1C43"/>
    <w:rsid w:val="003C2093"/>
    <w:rsid w:val="003C3D9D"/>
    <w:rsid w:val="003C5712"/>
    <w:rsid w:val="003D3DC4"/>
    <w:rsid w:val="003D437F"/>
    <w:rsid w:val="003D4470"/>
    <w:rsid w:val="003D585E"/>
    <w:rsid w:val="003D5EAD"/>
    <w:rsid w:val="003E032D"/>
    <w:rsid w:val="003E1AC9"/>
    <w:rsid w:val="003E4D57"/>
    <w:rsid w:val="003E632A"/>
    <w:rsid w:val="003E6D55"/>
    <w:rsid w:val="003F3D04"/>
    <w:rsid w:val="003F41AD"/>
    <w:rsid w:val="003F49C0"/>
    <w:rsid w:val="003F4BB7"/>
    <w:rsid w:val="003F4C94"/>
    <w:rsid w:val="003F5893"/>
    <w:rsid w:val="003F7334"/>
    <w:rsid w:val="004022AE"/>
    <w:rsid w:val="004034F0"/>
    <w:rsid w:val="00403FAA"/>
    <w:rsid w:val="00404B9C"/>
    <w:rsid w:val="00406859"/>
    <w:rsid w:val="00406BE9"/>
    <w:rsid w:val="004075F6"/>
    <w:rsid w:val="00411C46"/>
    <w:rsid w:val="00411CE5"/>
    <w:rsid w:val="00412D9C"/>
    <w:rsid w:val="00417509"/>
    <w:rsid w:val="00420AFB"/>
    <w:rsid w:val="00421147"/>
    <w:rsid w:val="00421691"/>
    <w:rsid w:val="004218EA"/>
    <w:rsid w:val="00421C6D"/>
    <w:rsid w:val="00421ED5"/>
    <w:rsid w:val="004233E4"/>
    <w:rsid w:val="004253A5"/>
    <w:rsid w:val="004319F0"/>
    <w:rsid w:val="00432708"/>
    <w:rsid w:val="0043355D"/>
    <w:rsid w:val="004341E1"/>
    <w:rsid w:val="00441E9C"/>
    <w:rsid w:val="00442B3E"/>
    <w:rsid w:val="00442FFF"/>
    <w:rsid w:val="00446392"/>
    <w:rsid w:val="0044649F"/>
    <w:rsid w:val="00446943"/>
    <w:rsid w:val="00446E18"/>
    <w:rsid w:val="0045033D"/>
    <w:rsid w:val="00450744"/>
    <w:rsid w:val="0045129B"/>
    <w:rsid w:val="0045247B"/>
    <w:rsid w:val="004526BC"/>
    <w:rsid w:val="004550AE"/>
    <w:rsid w:val="0045542E"/>
    <w:rsid w:val="00460663"/>
    <w:rsid w:val="0046184B"/>
    <w:rsid w:val="004618F3"/>
    <w:rsid w:val="0046327D"/>
    <w:rsid w:val="0046344A"/>
    <w:rsid w:val="00464406"/>
    <w:rsid w:val="004649C0"/>
    <w:rsid w:val="00465388"/>
    <w:rsid w:val="0047189A"/>
    <w:rsid w:val="00472250"/>
    <w:rsid w:val="0047231A"/>
    <w:rsid w:val="004727E7"/>
    <w:rsid w:val="00473497"/>
    <w:rsid w:val="00473F50"/>
    <w:rsid w:val="00475671"/>
    <w:rsid w:val="00477CD0"/>
    <w:rsid w:val="00480A6E"/>
    <w:rsid w:val="0048159C"/>
    <w:rsid w:val="00481AD0"/>
    <w:rsid w:val="00483AD3"/>
    <w:rsid w:val="004852C0"/>
    <w:rsid w:val="004868C1"/>
    <w:rsid w:val="00487337"/>
    <w:rsid w:val="004878E3"/>
    <w:rsid w:val="00490CE6"/>
    <w:rsid w:val="004910E8"/>
    <w:rsid w:val="00492EFD"/>
    <w:rsid w:val="004930EB"/>
    <w:rsid w:val="004931E1"/>
    <w:rsid w:val="00493B71"/>
    <w:rsid w:val="00493C3C"/>
    <w:rsid w:val="00493E64"/>
    <w:rsid w:val="00495445"/>
    <w:rsid w:val="00496FC7"/>
    <w:rsid w:val="004A0401"/>
    <w:rsid w:val="004A497A"/>
    <w:rsid w:val="004A4CF0"/>
    <w:rsid w:val="004A5720"/>
    <w:rsid w:val="004A5C62"/>
    <w:rsid w:val="004A7B7B"/>
    <w:rsid w:val="004B01B7"/>
    <w:rsid w:val="004B4C5E"/>
    <w:rsid w:val="004B6D25"/>
    <w:rsid w:val="004B72EA"/>
    <w:rsid w:val="004C12BC"/>
    <w:rsid w:val="004C140D"/>
    <w:rsid w:val="004C35F5"/>
    <w:rsid w:val="004C59A1"/>
    <w:rsid w:val="004C6D9C"/>
    <w:rsid w:val="004D1FB7"/>
    <w:rsid w:val="004D299B"/>
    <w:rsid w:val="004D2DE5"/>
    <w:rsid w:val="004D3749"/>
    <w:rsid w:val="004D463F"/>
    <w:rsid w:val="004D7BDB"/>
    <w:rsid w:val="004E43D3"/>
    <w:rsid w:val="004E5602"/>
    <w:rsid w:val="004F085A"/>
    <w:rsid w:val="004F1912"/>
    <w:rsid w:val="004F224F"/>
    <w:rsid w:val="004F2F61"/>
    <w:rsid w:val="004F4E88"/>
    <w:rsid w:val="004F53A5"/>
    <w:rsid w:val="004F6644"/>
    <w:rsid w:val="004F6B4D"/>
    <w:rsid w:val="004F742A"/>
    <w:rsid w:val="0050027B"/>
    <w:rsid w:val="00501B78"/>
    <w:rsid w:val="00501E0F"/>
    <w:rsid w:val="00502D24"/>
    <w:rsid w:val="0050405E"/>
    <w:rsid w:val="00504972"/>
    <w:rsid w:val="00505E89"/>
    <w:rsid w:val="0051254E"/>
    <w:rsid w:val="0051418C"/>
    <w:rsid w:val="005146F0"/>
    <w:rsid w:val="00515880"/>
    <w:rsid w:val="00517060"/>
    <w:rsid w:val="005206A4"/>
    <w:rsid w:val="005211BA"/>
    <w:rsid w:val="00524FC8"/>
    <w:rsid w:val="00525A6E"/>
    <w:rsid w:val="00525D3E"/>
    <w:rsid w:val="00526FCE"/>
    <w:rsid w:val="005278F3"/>
    <w:rsid w:val="00532ED0"/>
    <w:rsid w:val="0053311D"/>
    <w:rsid w:val="00533365"/>
    <w:rsid w:val="0054110D"/>
    <w:rsid w:val="00541128"/>
    <w:rsid w:val="005424BB"/>
    <w:rsid w:val="005428F7"/>
    <w:rsid w:val="0054375C"/>
    <w:rsid w:val="00545BB7"/>
    <w:rsid w:val="005471BF"/>
    <w:rsid w:val="00547A22"/>
    <w:rsid w:val="00550254"/>
    <w:rsid w:val="00550865"/>
    <w:rsid w:val="00551D44"/>
    <w:rsid w:val="00552832"/>
    <w:rsid w:val="00552A35"/>
    <w:rsid w:val="005543B9"/>
    <w:rsid w:val="0056002F"/>
    <w:rsid w:val="005632EF"/>
    <w:rsid w:val="00566154"/>
    <w:rsid w:val="005672C8"/>
    <w:rsid w:val="0057202E"/>
    <w:rsid w:val="00572DDA"/>
    <w:rsid w:val="0057313F"/>
    <w:rsid w:val="005731CA"/>
    <w:rsid w:val="00573220"/>
    <w:rsid w:val="0057481B"/>
    <w:rsid w:val="00575A4D"/>
    <w:rsid w:val="00575E79"/>
    <w:rsid w:val="00577456"/>
    <w:rsid w:val="00577DDB"/>
    <w:rsid w:val="005800F8"/>
    <w:rsid w:val="00580732"/>
    <w:rsid w:val="00581ABB"/>
    <w:rsid w:val="00583E52"/>
    <w:rsid w:val="00587869"/>
    <w:rsid w:val="00587B04"/>
    <w:rsid w:val="00590330"/>
    <w:rsid w:val="005953EF"/>
    <w:rsid w:val="0059587E"/>
    <w:rsid w:val="00595EDC"/>
    <w:rsid w:val="00596BBC"/>
    <w:rsid w:val="0059700C"/>
    <w:rsid w:val="00597AB3"/>
    <w:rsid w:val="005A130B"/>
    <w:rsid w:val="005A20DE"/>
    <w:rsid w:val="005A3391"/>
    <w:rsid w:val="005A3B03"/>
    <w:rsid w:val="005A5677"/>
    <w:rsid w:val="005A6CB0"/>
    <w:rsid w:val="005B0AD7"/>
    <w:rsid w:val="005B1E77"/>
    <w:rsid w:val="005B2B69"/>
    <w:rsid w:val="005B4351"/>
    <w:rsid w:val="005B626B"/>
    <w:rsid w:val="005C0260"/>
    <w:rsid w:val="005C0DFA"/>
    <w:rsid w:val="005C26F5"/>
    <w:rsid w:val="005C279E"/>
    <w:rsid w:val="005C318E"/>
    <w:rsid w:val="005C37C3"/>
    <w:rsid w:val="005C4113"/>
    <w:rsid w:val="005C41D2"/>
    <w:rsid w:val="005C502A"/>
    <w:rsid w:val="005C5387"/>
    <w:rsid w:val="005C5DDA"/>
    <w:rsid w:val="005C6B9A"/>
    <w:rsid w:val="005C6D20"/>
    <w:rsid w:val="005C7760"/>
    <w:rsid w:val="005D195D"/>
    <w:rsid w:val="005D33B9"/>
    <w:rsid w:val="005D4117"/>
    <w:rsid w:val="005D4247"/>
    <w:rsid w:val="005D463A"/>
    <w:rsid w:val="005D58E3"/>
    <w:rsid w:val="005D74A3"/>
    <w:rsid w:val="005D756C"/>
    <w:rsid w:val="005E2CA4"/>
    <w:rsid w:val="005E445E"/>
    <w:rsid w:val="005E44E2"/>
    <w:rsid w:val="005F6ACE"/>
    <w:rsid w:val="005F73D9"/>
    <w:rsid w:val="005F7BB3"/>
    <w:rsid w:val="005F7C54"/>
    <w:rsid w:val="00603AA9"/>
    <w:rsid w:val="00603BBA"/>
    <w:rsid w:val="00604744"/>
    <w:rsid w:val="00607A06"/>
    <w:rsid w:val="006129DA"/>
    <w:rsid w:val="00612DF8"/>
    <w:rsid w:val="00613AC1"/>
    <w:rsid w:val="0061515D"/>
    <w:rsid w:val="00617548"/>
    <w:rsid w:val="006200CF"/>
    <w:rsid w:val="0062062C"/>
    <w:rsid w:val="006217C1"/>
    <w:rsid w:val="00622B69"/>
    <w:rsid w:val="00623854"/>
    <w:rsid w:val="00624F6B"/>
    <w:rsid w:val="00625707"/>
    <w:rsid w:val="00626504"/>
    <w:rsid w:val="00626786"/>
    <w:rsid w:val="006300E3"/>
    <w:rsid w:val="00630C45"/>
    <w:rsid w:val="00634059"/>
    <w:rsid w:val="00634E74"/>
    <w:rsid w:val="00635754"/>
    <w:rsid w:val="00637A0D"/>
    <w:rsid w:val="00637C8C"/>
    <w:rsid w:val="006416E0"/>
    <w:rsid w:val="00642938"/>
    <w:rsid w:val="00644707"/>
    <w:rsid w:val="006500F5"/>
    <w:rsid w:val="00650F1E"/>
    <w:rsid w:val="006533A1"/>
    <w:rsid w:val="0065378A"/>
    <w:rsid w:val="0065566B"/>
    <w:rsid w:val="00655CD1"/>
    <w:rsid w:val="00655F8D"/>
    <w:rsid w:val="00656374"/>
    <w:rsid w:val="00662D39"/>
    <w:rsid w:val="006641B5"/>
    <w:rsid w:val="00665698"/>
    <w:rsid w:val="0066707A"/>
    <w:rsid w:val="0067025A"/>
    <w:rsid w:val="0067231E"/>
    <w:rsid w:val="006739EF"/>
    <w:rsid w:val="006749F1"/>
    <w:rsid w:val="006755FE"/>
    <w:rsid w:val="00675CF7"/>
    <w:rsid w:val="00676111"/>
    <w:rsid w:val="006807C8"/>
    <w:rsid w:val="006826B3"/>
    <w:rsid w:val="006834EB"/>
    <w:rsid w:val="00686D9E"/>
    <w:rsid w:val="006925CB"/>
    <w:rsid w:val="006930CC"/>
    <w:rsid w:val="00694D86"/>
    <w:rsid w:val="006A169E"/>
    <w:rsid w:val="006A19D1"/>
    <w:rsid w:val="006A1D2F"/>
    <w:rsid w:val="006A2AF5"/>
    <w:rsid w:val="006A353E"/>
    <w:rsid w:val="006A43CC"/>
    <w:rsid w:val="006A4626"/>
    <w:rsid w:val="006A4FE1"/>
    <w:rsid w:val="006A722D"/>
    <w:rsid w:val="006B06F8"/>
    <w:rsid w:val="006B0B00"/>
    <w:rsid w:val="006B15B8"/>
    <w:rsid w:val="006B1AA4"/>
    <w:rsid w:val="006B48D4"/>
    <w:rsid w:val="006B4E74"/>
    <w:rsid w:val="006B4EF4"/>
    <w:rsid w:val="006B58CE"/>
    <w:rsid w:val="006C0892"/>
    <w:rsid w:val="006C1131"/>
    <w:rsid w:val="006C1BB4"/>
    <w:rsid w:val="006C2396"/>
    <w:rsid w:val="006C251D"/>
    <w:rsid w:val="006C2B78"/>
    <w:rsid w:val="006C3FC4"/>
    <w:rsid w:val="006C3FFB"/>
    <w:rsid w:val="006D17F9"/>
    <w:rsid w:val="006D28B5"/>
    <w:rsid w:val="006D2E7B"/>
    <w:rsid w:val="006D4251"/>
    <w:rsid w:val="006D4A9C"/>
    <w:rsid w:val="006D7D84"/>
    <w:rsid w:val="006E0151"/>
    <w:rsid w:val="006E026F"/>
    <w:rsid w:val="006E02A7"/>
    <w:rsid w:val="006E0C21"/>
    <w:rsid w:val="006E0CE7"/>
    <w:rsid w:val="006E2496"/>
    <w:rsid w:val="006E4BFD"/>
    <w:rsid w:val="006E6F33"/>
    <w:rsid w:val="006F0ACC"/>
    <w:rsid w:val="006F1A8C"/>
    <w:rsid w:val="006F3AAB"/>
    <w:rsid w:val="006F5BCC"/>
    <w:rsid w:val="006F5DC6"/>
    <w:rsid w:val="006F6E0E"/>
    <w:rsid w:val="006F7714"/>
    <w:rsid w:val="006F7FFE"/>
    <w:rsid w:val="00700F90"/>
    <w:rsid w:val="00703757"/>
    <w:rsid w:val="00704B75"/>
    <w:rsid w:val="007053CA"/>
    <w:rsid w:val="0070626C"/>
    <w:rsid w:val="00706F8C"/>
    <w:rsid w:val="00710988"/>
    <w:rsid w:val="00710D5A"/>
    <w:rsid w:val="0071113B"/>
    <w:rsid w:val="00712226"/>
    <w:rsid w:val="007123FA"/>
    <w:rsid w:val="007124FE"/>
    <w:rsid w:val="00712A98"/>
    <w:rsid w:val="00714E6F"/>
    <w:rsid w:val="0071539B"/>
    <w:rsid w:val="00716556"/>
    <w:rsid w:val="00716C4E"/>
    <w:rsid w:val="00717910"/>
    <w:rsid w:val="00717968"/>
    <w:rsid w:val="00720B95"/>
    <w:rsid w:val="007227CB"/>
    <w:rsid w:val="007241BC"/>
    <w:rsid w:val="00724737"/>
    <w:rsid w:val="00727053"/>
    <w:rsid w:val="00735F02"/>
    <w:rsid w:val="0074030A"/>
    <w:rsid w:val="007404B8"/>
    <w:rsid w:val="007410B0"/>
    <w:rsid w:val="007467B6"/>
    <w:rsid w:val="007469A8"/>
    <w:rsid w:val="00747314"/>
    <w:rsid w:val="007478EF"/>
    <w:rsid w:val="00751D6C"/>
    <w:rsid w:val="00752071"/>
    <w:rsid w:val="00753F00"/>
    <w:rsid w:val="00754D0F"/>
    <w:rsid w:val="00755332"/>
    <w:rsid w:val="00755ABD"/>
    <w:rsid w:val="007655CA"/>
    <w:rsid w:val="00766B40"/>
    <w:rsid w:val="00773A63"/>
    <w:rsid w:val="00774D23"/>
    <w:rsid w:val="007760AD"/>
    <w:rsid w:val="00780612"/>
    <w:rsid w:val="007807E7"/>
    <w:rsid w:val="00781199"/>
    <w:rsid w:val="00782DFB"/>
    <w:rsid w:val="00791263"/>
    <w:rsid w:val="00793D77"/>
    <w:rsid w:val="00796CEF"/>
    <w:rsid w:val="007A098F"/>
    <w:rsid w:val="007A0EB7"/>
    <w:rsid w:val="007A24C5"/>
    <w:rsid w:val="007A3085"/>
    <w:rsid w:val="007A3B27"/>
    <w:rsid w:val="007A3C70"/>
    <w:rsid w:val="007A4372"/>
    <w:rsid w:val="007A4D40"/>
    <w:rsid w:val="007A5245"/>
    <w:rsid w:val="007A71CB"/>
    <w:rsid w:val="007A7DA9"/>
    <w:rsid w:val="007B4DA7"/>
    <w:rsid w:val="007B5D18"/>
    <w:rsid w:val="007C01F5"/>
    <w:rsid w:val="007C03B0"/>
    <w:rsid w:val="007C03C2"/>
    <w:rsid w:val="007C2545"/>
    <w:rsid w:val="007C25A3"/>
    <w:rsid w:val="007C314C"/>
    <w:rsid w:val="007C48FC"/>
    <w:rsid w:val="007C66FB"/>
    <w:rsid w:val="007C6CDA"/>
    <w:rsid w:val="007C7941"/>
    <w:rsid w:val="007D0201"/>
    <w:rsid w:val="007D1D83"/>
    <w:rsid w:val="007D1E85"/>
    <w:rsid w:val="007D3B00"/>
    <w:rsid w:val="007D57EF"/>
    <w:rsid w:val="007D6E8C"/>
    <w:rsid w:val="007E00C6"/>
    <w:rsid w:val="007E0110"/>
    <w:rsid w:val="007E0F6A"/>
    <w:rsid w:val="007E14A4"/>
    <w:rsid w:val="007E224F"/>
    <w:rsid w:val="007E2A89"/>
    <w:rsid w:val="007E5735"/>
    <w:rsid w:val="007E7543"/>
    <w:rsid w:val="007F068A"/>
    <w:rsid w:val="007F07FB"/>
    <w:rsid w:val="007F1366"/>
    <w:rsid w:val="007F21A2"/>
    <w:rsid w:val="007F5DAE"/>
    <w:rsid w:val="007F7AD6"/>
    <w:rsid w:val="00800F9D"/>
    <w:rsid w:val="00803F34"/>
    <w:rsid w:val="00804879"/>
    <w:rsid w:val="00804A0E"/>
    <w:rsid w:val="00806165"/>
    <w:rsid w:val="008106A2"/>
    <w:rsid w:val="00810930"/>
    <w:rsid w:val="0081194E"/>
    <w:rsid w:val="008132BA"/>
    <w:rsid w:val="00813E3D"/>
    <w:rsid w:val="00816FD6"/>
    <w:rsid w:val="008177FD"/>
    <w:rsid w:val="008200BA"/>
    <w:rsid w:val="00821497"/>
    <w:rsid w:val="0082223A"/>
    <w:rsid w:val="00822F0F"/>
    <w:rsid w:val="008302BF"/>
    <w:rsid w:val="00830792"/>
    <w:rsid w:val="00831670"/>
    <w:rsid w:val="0083186A"/>
    <w:rsid w:val="00832869"/>
    <w:rsid w:val="00832AA3"/>
    <w:rsid w:val="008347E3"/>
    <w:rsid w:val="00835928"/>
    <w:rsid w:val="00840366"/>
    <w:rsid w:val="00843AB4"/>
    <w:rsid w:val="008440AC"/>
    <w:rsid w:val="00844AAD"/>
    <w:rsid w:val="00846366"/>
    <w:rsid w:val="0084703D"/>
    <w:rsid w:val="008515BB"/>
    <w:rsid w:val="008526A2"/>
    <w:rsid w:val="00852D66"/>
    <w:rsid w:val="008543F4"/>
    <w:rsid w:val="00854A90"/>
    <w:rsid w:val="00856F2B"/>
    <w:rsid w:val="0085793A"/>
    <w:rsid w:val="008603FA"/>
    <w:rsid w:val="0086353F"/>
    <w:rsid w:val="00863BC6"/>
    <w:rsid w:val="00863FC3"/>
    <w:rsid w:val="00865831"/>
    <w:rsid w:val="00865A83"/>
    <w:rsid w:val="00867DDE"/>
    <w:rsid w:val="00871237"/>
    <w:rsid w:val="008731AD"/>
    <w:rsid w:val="00873204"/>
    <w:rsid w:val="00875916"/>
    <w:rsid w:val="008771CD"/>
    <w:rsid w:val="0087793C"/>
    <w:rsid w:val="00882F3A"/>
    <w:rsid w:val="008831FF"/>
    <w:rsid w:val="008832E7"/>
    <w:rsid w:val="00883E99"/>
    <w:rsid w:val="00887BF9"/>
    <w:rsid w:val="00890103"/>
    <w:rsid w:val="00890B7D"/>
    <w:rsid w:val="00890D5A"/>
    <w:rsid w:val="00895978"/>
    <w:rsid w:val="0089674F"/>
    <w:rsid w:val="008A2446"/>
    <w:rsid w:val="008A4A78"/>
    <w:rsid w:val="008A6B95"/>
    <w:rsid w:val="008A6FF5"/>
    <w:rsid w:val="008B001A"/>
    <w:rsid w:val="008B00FA"/>
    <w:rsid w:val="008B07F5"/>
    <w:rsid w:val="008B1997"/>
    <w:rsid w:val="008B6867"/>
    <w:rsid w:val="008B6FE9"/>
    <w:rsid w:val="008B7411"/>
    <w:rsid w:val="008C17E3"/>
    <w:rsid w:val="008C2A15"/>
    <w:rsid w:val="008C44BA"/>
    <w:rsid w:val="008C486E"/>
    <w:rsid w:val="008C4A35"/>
    <w:rsid w:val="008C73A4"/>
    <w:rsid w:val="008C7909"/>
    <w:rsid w:val="008C795B"/>
    <w:rsid w:val="008D3807"/>
    <w:rsid w:val="008D4384"/>
    <w:rsid w:val="008D43B8"/>
    <w:rsid w:val="008D78C5"/>
    <w:rsid w:val="008E05B3"/>
    <w:rsid w:val="008E0D79"/>
    <w:rsid w:val="008E16D1"/>
    <w:rsid w:val="008E1BA0"/>
    <w:rsid w:val="008E221E"/>
    <w:rsid w:val="008E296B"/>
    <w:rsid w:val="008E3145"/>
    <w:rsid w:val="008E7FEE"/>
    <w:rsid w:val="008F02C0"/>
    <w:rsid w:val="008F5077"/>
    <w:rsid w:val="008F6818"/>
    <w:rsid w:val="008F6A8F"/>
    <w:rsid w:val="008F7721"/>
    <w:rsid w:val="008F7B51"/>
    <w:rsid w:val="00900868"/>
    <w:rsid w:val="00901161"/>
    <w:rsid w:val="00903DB5"/>
    <w:rsid w:val="00906BF7"/>
    <w:rsid w:val="009072E5"/>
    <w:rsid w:val="0090792D"/>
    <w:rsid w:val="009079FE"/>
    <w:rsid w:val="009106BE"/>
    <w:rsid w:val="00911595"/>
    <w:rsid w:val="00912784"/>
    <w:rsid w:val="00913088"/>
    <w:rsid w:val="009148EE"/>
    <w:rsid w:val="00916A62"/>
    <w:rsid w:val="00920A47"/>
    <w:rsid w:val="009227B1"/>
    <w:rsid w:val="00924488"/>
    <w:rsid w:val="00925997"/>
    <w:rsid w:val="00927D06"/>
    <w:rsid w:val="00927E12"/>
    <w:rsid w:val="009305F0"/>
    <w:rsid w:val="00932279"/>
    <w:rsid w:val="009322E5"/>
    <w:rsid w:val="00932395"/>
    <w:rsid w:val="00933E41"/>
    <w:rsid w:val="00936746"/>
    <w:rsid w:val="009368FA"/>
    <w:rsid w:val="0094133E"/>
    <w:rsid w:val="009423A5"/>
    <w:rsid w:val="0094447C"/>
    <w:rsid w:val="00945ADA"/>
    <w:rsid w:val="00946568"/>
    <w:rsid w:val="009524AC"/>
    <w:rsid w:val="009529BC"/>
    <w:rsid w:val="00954DCD"/>
    <w:rsid w:val="009557FB"/>
    <w:rsid w:val="00960550"/>
    <w:rsid w:val="00961DEF"/>
    <w:rsid w:val="00964A4C"/>
    <w:rsid w:val="0096704C"/>
    <w:rsid w:val="009728E3"/>
    <w:rsid w:val="00973A5D"/>
    <w:rsid w:val="00974489"/>
    <w:rsid w:val="00977717"/>
    <w:rsid w:val="00977F5E"/>
    <w:rsid w:val="009809C0"/>
    <w:rsid w:val="00980C2E"/>
    <w:rsid w:val="00980FF3"/>
    <w:rsid w:val="009821B7"/>
    <w:rsid w:val="00985E40"/>
    <w:rsid w:val="00986C4A"/>
    <w:rsid w:val="00986EF5"/>
    <w:rsid w:val="00987D2E"/>
    <w:rsid w:val="00990A63"/>
    <w:rsid w:val="00990F7D"/>
    <w:rsid w:val="00993A32"/>
    <w:rsid w:val="00996285"/>
    <w:rsid w:val="009967E2"/>
    <w:rsid w:val="00997F57"/>
    <w:rsid w:val="009A0C2A"/>
    <w:rsid w:val="009A1FA1"/>
    <w:rsid w:val="009B11F3"/>
    <w:rsid w:val="009B1CCD"/>
    <w:rsid w:val="009B268D"/>
    <w:rsid w:val="009B2E53"/>
    <w:rsid w:val="009B7C38"/>
    <w:rsid w:val="009C04AF"/>
    <w:rsid w:val="009C0B24"/>
    <w:rsid w:val="009C12C9"/>
    <w:rsid w:val="009C3D1A"/>
    <w:rsid w:val="009C46B3"/>
    <w:rsid w:val="009C5FEB"/>
    <w:rsid w:val="009C6820"/>
    <w:rsid w:val="009C6B77"/>
    <w:rsid w:val="009D0ECB"/>
    <w:rsid w:val="009D2A15"/>
    <w:rsid w:val="009D3F49"/>
    <w:rsid w:val="009D4AE9"/>
    <w:rsid w:val="009D5583"/>
    <w:rsid w:val="009D5B48"/>
    <w:rsid w:val="009D6F30"/>
    <w:rsid w:val="009E03DD"/>
    <w:rsid w:val="009E0EFA"/>
    <w:rsid w:val="009E1420"/>
    <w:rsid w:val="009E3C6B"/>
    <w:rsid w:val="009E4611"/>
    <w:rsid w:val="009E702D"/>
    <w:rsid w:val="009F07CF"/>
    <w:rsid w:val="009F6AD2"/>
    <w:rsid w:val="00A01123"/>
    <w:rsid w:val="00A0119E"/>
    <w:rsid w:val="00A03FDE"/>
    <w:rsid w:val="00A06E34"/>
    <w:rsid w:val="00A076D1"/>
    <w:rsid w:val="00A122F6"/>
    <w:rsid w:val="00A128CC"/>
    <w:rsid w:val="00A13BBE"/>
    <w:rsid w:val="00A13D50"/>
    <w:rsid w:val="00A177F9"/>
    <w:rsid w:val="00A179CA"/>
    <w:rsid w:val="00A21CE1"/>
    <w:rsid w:val="00A22610"/>
    <w:rsid w:val="00A22AD5"/>
    <w:rsid w:val="00A2621A"/>
    <w:rsid w:val="00A26952"/>
    <w:rsid w:val="00A27987"/>
    <w:rsid w:val="00A27CA2"/>
    <w:rsid w:val="00A30461"/>
    <w:rsid w:val="00A313D5"/>
    <w:rsid w:val="00A31B0F"/>
    <w:rsid w:val="00A32B51"/>
    <w:rsid w:val="00A33267"/>
    <w:rsid w:val="00A365A9"/>
    <w:rsid w:val="00A3679B"/>
    <w:rsid w:val="00A371BE"/>
    <w:rsid w:val="00A376B7"/>
    <w:rsid w:val="00A37A9C"/>
    <w:rsid w:val="00A4005C"/>
    <w:rsid w:val="00A400D6"/>
    <w:rsid w:val="00A40637"/>
    <w:rsid w:val="00A408F3"/>
    <w:rsid w:val="00A4177E"/>
    <w:rsid w:val="00A41A53"/>
    <w:rsid w:val="00A42867"/>
    <w:rsid w:val="00A42D64"/>
    <w:rsid w:val="00A42EDC"/>
    <w:rsid w:val="00A44721"/>
    <w:rsid w:val="00A45530"/>
    <w:rsid w:val="00A462B1"/>
    <w:rsid w:val="00A47761"/>
    <w:rsid w:val="00A529B5"/>
    <w:rsid w:val="00A5723C"/>
    <w:rsid w:val="00A57514"/>
    <w:rsid w:val="00A57C91"/>
    <w:rsid w:val="00A60BD1"/>
    <w:rsid w:val="00A6438F"/>
    <w:rsid w:val="00A64B7B"/>
    <w:rsid w:val="00A64FDC"/>
    <w:rsid w:val="00A67D16"/>
    <w:rsid w:val="00A71364"/>
    <w:rsid w:val="00A71896"/>
    <w:rsid w:val="00A71A91"/>
    <w:rsid w:val="00A7240A"/>
    <w:rsid w:val="00A73147"/>
    <w:rsid w:val="00A734F9"/>
    <w:rsid w:val="00A74557"/>
    <w:rsid w:val="00A74D0C"/>
    <w:rsid w:val="00A75763"/>
    <w:rsid w:val="00A826C7"/>
    <w:rsid w:val="00A827F4"/>
    <w:rsid w:val="00A829DE"/>
    <w:rsid w:val="00A84BA9"/>
    <w:rsid w:val="00A85B94"/>
    <w:rsid w:val="00A85F8A"/>
    <w:rsid w:val="00A86D53"/>
    <w:rsid w:val="00A9008F"/>
    <w:rsid w:val="00A913C5"/>
    <w:rsid w:val="00A91801"/>
    <w:rsid w:val="00A9268C"/>
    <w:rsid w:val="00A93611"/>
    <w:rsid w:val="00A94087"/>
    <w:rsid w:val="00A94C28"/>
    <w:rsid w:val="00A97EE5"/>
    <w:rsid w:val="00AA0EA5"/>
    <w:rsid w:val="00AA1F21"/>
    <w:rsid w:val="00AA3839"/>
    <w:rsid w:val="00AA73F3"/>
    <w:rsid w:val="00AB03A9"/>
    <w:rsid w:val="00AB4F91"/>
    <w:rsid w:val="00AB5369"/>
    <w:rsid w:val="00AB6833"/>
    <w:rsid w:val="00AB6D4F"/>
    <w:rsid w:val="00AC01E5"/>
    <w:rsid w:val="00AC0413"/>
    <w:rsid w:val="00AC054B"/>
    <w:rsid w:val="00AC0E11"/>
    <w:rsid w:val="00AC3727"/>
    <w:rsid w:val="00AC463F"/>
    <w:rsid w:val="00AC5C34"/>
    <w:rsid w:val="00AC6C6C"/>
    <w:rsid w:val="00AC7993"/>
    <w:rsid w:val="00AD0EBA"/>
    <w:rsid w:val="00AD1DFA"/>
    <w:rsid w:val="00AD2C68"/>
    <w:rsid w:val="00AD431E"/>
    <w:rsid w:val="00AD44B8"/>
    <w:rsid w:val="00AD7D31"/>
    <w:rsid w:val="00AE28A5"/>
    <w:rsid w:val="00AE390E"/>
    <w:rsid w:val="00AE4357"/>
    <w:rsid w:val="00AE4D2B"/>
    <w:rsid w:val="00AE5D42"/>
    <w:rsid w:val="00AE6752"/>
    <w:rsid w:val="00AF05E1"/>
    <w:rsid w:val="00AF1288"/>
    <w:rsid w:val="00AF2332"/>
    <w:rsid w:val="00AF3316"/>
    <w:rsid w:val="00AF4BA1"/>
    <w:rsid w:val="00AF5BCC"/>
    <w:rsid w:val="00AF6BCF"/>
    <w:rsid w:val="00AF7583"/>
    <w:rsid w:val="00AF79F4"/>
    <w:rsid w:val="00B01021"/>
    <w:rsid w:val="00B01D39"/>
    <w:rsid w:val="00B0263C"/>
    <w:rsid w:val="00B02FEB"/>
    <w:rsid w:val="00B0458C"/>
    <w:rsid w:val="00B0690D"/>
    <w:rsid w:val="00B07F8E"/>
    <w:rsid w:val="00B07FEC"/>
    <w:rsid w:val="00B10034"/>
    <w:rsid w:val="00B11E40"/>
    <w:rsid w:val="00B128D1"/>
    <w:rsid w:val="00B139AD"/>
    <w:rsid w:val="00B143A2"/>
    <w:rsid w:val="00B14B59"/>
    <w:rsid w:val="00B209C9"/>
    <w:rsid w:val="00B21485"/>
    <w:rsid w:val="00B256CA"/>
    <w:rsid w:val="00B25A01"/>
    <w:rsid w:val="00B26FAC"/>
    <w:rsid w:val="00B274BE"/>
    <w:rsid w:val="00B3078F"/>
    <w:rsid w:val="00B30C4B"/>
    <w:rsid w:val="00B31420"/>
    <w:rsid w:val="00B32992"/>
    <w:rsid w:val="00B338F3"/>
    <w:rsid w:val="00B35722"/>
    <w:rsid w:val="00B362CD"/>
    <w:rsid w:val="00B40ECB"/>
    <w:rsid w:val="00B423DB"/>
    <w:rsid w:val="00B442A8"/>
    <w:rsid w:val="00B44649"/>
    <w:rsid w:val="00B47112"/>
    <w:rsid w:val="00B47FEE"/>
    <w:rsid w:val="00B50CA6"/>
    <w:rsid w:val="00B50F02"/>
    <w:rsid w:val="00B5211F"/>
    <w:rsid w:val="00B528CB"/>
    <w:rsid w:val="00B52C64"/>
    <w:rsid w:val="00B53254"/>
    <w:rsid w:val="00B55483"/>
    <w:rsid w:val="00B55796"/>
    <w:rsid w:val="00B603A6"/>
    <w:rsid w:val="00B60DF7"/>
    <w:rsid w:val="00B62F6C"/>
    <w:rsid w:val="00B63E72"/>
    <w:rsid w:val="00B64D7F"/>
    <w:rsid w:val="00B67FAC"/>
    <w:rsid w:val="00B71474"/>
    <w:rsid w:val="00B72ED5"/>
    <w:rsid w:val="00B735A0"/>
    <w:rsid w:val="00B7360B"/>
    <w:rsid w:val="00B73692"/>
    <w:rsid w:val="00B75094"/>
    <w:rsid w:val="00B75D7D"/>
    <w:rsid w:val="00B76E99"/>
    <w:rsid w:val="00B77740"/>
    <w:rsid w:val="00B77F48"/>
    <w:rsid w:val="00B80A5A"/>
    <w:rsid w:val="00B8381B"/>
    <w:rsid w:val="00B83A86"/>
    <w:rsid w:val="00B86E36"/>
    <w:rsid w:val="00B86E3C"/>
    <w:rsid w:val="00B872E2"/>
    <w:rsid w:val="00B90828"/>
    <w:rsid w:val="00B90EEF"/>
    <w:rsid w:val="00B914A7"/>
    <w:rsid w:val="00B9164A"/>
    <w:rsid w:val="00B927DC"/>
    <w:rsid w:val="00B96CFC"/>
    <w:rsid w:val="00BA08C8"/>
    <w:rsid w:val="00BA2203"/>
    <w:rsid w:val="00BA4C5C"/>
    <w:rsid w:val="00BA5016"/>
    <w:rsid w:val="00BA5C85"/>
    <w:rsid w:val="00BA5D42"/>
    <w:rsid w:val="00BA6011"/>
    <w:rsid w:val="00BA6A50"/>
    <w:rsid w:val="00BB0F80"/>
    <w:rsid w:val="00BB239C"/>
    <w:rsid w:val="00BB2B89"/>
    <w:rsid w:val="00BB5358"/>
    <w:rsid w:val="00BB699C"/>
    <w:rsid w:val="00BB7CE6"/>
    <w:rsid w:val="00BC005B"/>
    <w:rsid w:val="00BC00E6"/>
    <w:rsid w:val="00BC0DE2"/>
    <w:rsid w:val="00BC1AA5"/>
    <w:rsid w:val="00BC2057"/>
    <w:rsid w:val="00BC3214"/>
    <w:rsid w:val="00BC6287"/>
    <w:rsid w:val="00BC6CE1"/>
    <w:rsid w:val="00BC7AB7"/>
    <w:rsid w:val="00BD09C1"/>
    <w:rsid w:val="00BD14E1"/>
    <w:rsid w:val="00BD1723"/>
    <w:rsid w:val="00BD17C0"/>
    <w:rsid w:val="00BD3B69"/>
    <w:rsid w:val="00BD550D"/>
    <w:rsid w:val="00BD69CE"/>
    <w:rsid w:val="00BE2407"/>
    <w:rsid w:val="00BE455C"/>
    <w:rsid w:val="00BE7B43"/>
    <w:rsid w:val="00BF0070"/>
    <w:rsid w:val="00BF2026"/>
    <w:rsid w:val="00BF2134"/>
    <w:rsid w:val="00BF2C79"/>
    <w:rsid w:val="00BF2C86"/>
    <w:rsid w:val="00BF6897"/>
    <w:rsid w:val="00C0001D"/>
    <w:rsid w:val="00C0296F"/>
    <w:rsid w:val="00C02BA5"/>
    <w:rsid w:val="00C04D5E"/>
    <w:rsid w:val="00C051BB"/>
    <w:rsid w:val="00C05C5B"/>
    <w:rsid w:val="00C074AC"/>
    <w:rsid w:val="00C07FC4"/>
    <w:rsid w:val="00C10762"/>
    <w:rsid w:val="00C122CE"/>
    <w:rsid w:val="00C136D8"/>
    <w:rsid w:val="00C147F3"/>
    <w:rsid w:val="00C162C9"/>
    <w:rsid w:val="00C16CB3"/>
    <w:rsid w:val="00C17F28"/>
    <w:rsid w:val="00C22470"/>
    <w:rsid w:val="00C231DB"/>
    <w:rsid w:val="00C233B1"/>
    <w:rsid w:val="00C23D80"/>
    <w:rsid w:val="00C23DF9"/>
    <w:rsid w:val="00C24AEA"/>
    <w:rsid w:val="00C24C7F"/>
    <w:rsid w:val="00C25217"/>
    <w:rsid w:val="00C27055"/>
    <w:rsid w:val="00C27A49"/>
    <w:rsid w:val="00C31DD2"/>
    <w:rsid w:val="00C3239B"/>
    <w:rsid w:val="00C33F04"/>
    <w:rsid w:val="00C34280"/>
    <w:rsid w:val="00C34799"/>
    <w:rsid w:val="00C36CCE"/>
    <w:rsid w:val="00C37117"/>
    <w:rsid w:val="00C37AA8"/>
    <w:rsid w:val="00C40347"/>
    <w:rsid w:val="00C41AFE"/>
    <w:rsid w:val="00C43481"/>
    <w:rsid w:val="00C46CFF"/>
    <w:rsid w:val="00C47C2A"/>
    <w:rsid w:val="00C50FED"/>
    <w:rsid w:val="00C51805"/>
    <w:rsid w:val="00C52F4B"/>
    <w:rsid w:val="00C53C14"/>
    <w:rsid w:val="00C54195"/>
    <w:rsid w:val="00C55073"/>
    <w:rsid w:val="00C55D56"/>
    <w:rsid w:val="00C60922"/>
    <w:rsid w:val="00C610FE"/>
    <w:rsid w:val="00C61B24"/>
    <w:rsid w:val="00C62918"/>
    <w:rsid w:val="00C62C5F"/>
    <w:rsid w:val="00C64E52"/>
    <w:rsid w:val="00C705ED"/>
    <w:rsid w:val="00C70817"/>
    <w:rsid w:val="00C70F90"/>
    <w:rsid w:val="00C73BA9"/>
    <w:rsid w:val="00C73C2A"/>
    <w:rsid w:val="00C750C3"/>
    <w:rsid w:val="00C77DB1"/>
    <w:rsid w:val="00C80351"/>
    <w:rsid w:val="00C81E14"/>
    <w:rsid w:val="00C83A21"/>
    <w:rsid w:val="00C83FED"/>
    <w:rsid w:val="00C84673"/>
    <w:rsid w:val="00C848B1"/>
    <w:rsid w:val="00C8553B"/>
    <w:rsid w:val="00C86C70"/>
    <w:rsid w:val="00C87164"/>
    <w:rsid w:val="00C9326D"/>
    <w:rsid w:val="00C93AE8"/>
    <w:rsid w:val="00C970FB"/>
    <w:rsid w:val="00C97916"/>
    <w:rsid w:val="00C979C3"/>
    <w:rsid w:val="00CA152D"/>
    <w:rsid w:val="00CA18CE"/>
    <w:rsid w:val="00CA2273"/>
    <w:rsid w:val="00CA334B"/>
    <w:rsid w:val="00CA5D3D"/>
    <w:rsid w:val="00CA6FD6"/>
    <w:rsid w:val="00CA74B6"/>
    <w:rsid w:val="00CA77BE"/>
    <w:rsid w:val="00CA7857"/>
    <w:rsid w:val="00CA7992"/>
    <w:rsid w:val="00CB05E9"/>
    <w:rsid w:val="00CB223A"/>
    <w:rsid w:val="00CB23C3"/>
    <w:rsid w:val="00CB4992"/>
    <w:rsid w:val="00CB4D27"/>
    <w:rsid w:val="00CB5633"/>
    <w:rsid w:val="00CB687D"/>
    <w:rsid w:val="00CB74A8"/>
    <w:rsid w:val="00CC24DB"/>
    <w:rsid w:val="00CC299E"/>
    <w:rsid w:val="00CC4AAA"/>
    <w:rsid w:val="00CD032F"/>
    <w:rsid w:val="00CD0F94"/>
    <w:rsid w:val="00CD20E1"/>
    <w:rsid w:val="00CD4C64"/>
    <w:rsid w:val="00CE079E"/>
    <w:rsid w:val="00CE0C76"/>
    <w:rsid w:val="00CE27BA"/>
    <w:rsid w:val="00CE43C3"/>
    <w:rsid w:val="00CE51CB"/>
    <w:rsid w:val="00CE5EDA"/>
    <w:rsid w:val="00CE77DF"/>
    <w:rsid w:val="00CF15DF"/>
    <w:rsid w:val="00CF377A"/>
    <w:rsid w:val="00CF75DE"/>
    <w:rsid w:val="00D00EDB"/>
    <w:rsid w:val="00D02379"/>
    <w:rsid w:val="00D079F1"/>
    <w:rsid w:val="00D11498"/>
    <w:rsid w:val="00D114A2"/>
    <w:rsid w:val="00D145C8"/>
    <w:rsid w:val="00D22AF3"/>
    <w:rsid w:val="00D24293"/>
    <w:rsid w:val="00D2496D"/>
    <w:rsid w:val="00D25359"/>
    <w:rsid w:val="00D25676"/>
    <w:rsid w:val="00D25F42"/>
    <w:rsid w:val="00D265DF"/>
    <w:rsid w:val="00D30AFB"/>
    <w:rsid w:val="00D320CE"/>
    <w:rsid w:val="00D33809"/>
    <w:rsid w:val="00D33B9D"/>
    <w:rsid w:val="00D3480A"/>
    <w:rsid w:val="00D40E04"/>
    <w:rsid w:val="00D41B2B"/>
    <w:rsid w:val="00D423C6"/>
    <w:rsid w:val="00D431C7"/>
    <w:rsid w:val="00D44608"/>
    <w:rsid w:val="00D447B7"/>
    <w:rsid w:val="00D44FD3"/>
    <w:rsid w:val="00D471D5"/>
    <w:rsid w:val="00D50C20"/>
    <w:rsid w:val="00D5232B"/>
    <w:rsid w:val="00D544BC"/>
    <w:rsid w:val="00D555D1"/>
    <w:rsid w:val="00D5621D"/>
    <w:rsid w:val="00D57A79"/>
    <w:rsid w:val="00D60F4A"/>
    <w:rsid w:val="00D61436"/>
    <w:rsid w:val="00D62AB9"/>
    <w:rsid w:val="00D62EC5"/>
    <w:rsid w:val="00D64C64"/>
    <w:rsid w:val="00D65695"/>
    <w:rsid w:val="00D66A4C"/>
    <w:rsid w:val="00D66F3A"/>
    <w:rsid w:val="00D71455"/>
    <w:rsid w:val="00D715F9"/>
    <w:rsid w:val="00D73B62"/>
    <w:rsid w:val="00D74283"/>
    <w:rsid w:val="00D75222"/>
    <w:rsid w:val="00D75D1F"/>
    <w:rsid w:val="00D83081"/>
    <w:rsid w:val="00D853F4"/>
    <w:rsid w:val="00D8550B"/>
    <w:rsid w:val="00D85893"/>
    <w:rsid w:val="00D87BD3"/>
    <w:rsid w:val="00D93976"/>
    <w:rsid w:val="00D944BF"/>
    <w:rsid w:val="00D94F55"/>
    <w:rsid w:val="00D958B2"/>
    <w:rsid w:val="00D95D9E"/>
    <w:rsid w:val="00DA059E"/>
    <w:rsid w:val="00DA05BD"/>
    <w:rsid w:val="00DA0AEE"/>
    <w:rsid w:val="00DA0BFB"/>
    <w:rsid w:val="00DA1221"/>
    <w:rsid w:val="00DA3CB1"/>
    <w:rsid w:val="00DA6F98"/>
    <w:rsid w:val="00DA74AD"/>
    <w:rsid w:val="00DB0E84"/>
    <w:rsid w:val="00DB3CAB"/>
    <w:rsid w:val="00DB5020"/>
    <w:rsid w:val="00DB5E90"/>
    <w:rsid w:val="00DB72E0"/>
    <w:rsid w:val="00DB7B34"/>
    <w:rsid w:val="00DC13B0"/>
    <w:rsid w:val="00DC3095"/>
    <w:rsid w:val="00DC313D"/>
    <w:rsid w:val="00DC3841"/>
    <w:rsid w:val="00DC43F3"/>
    <w:rsid w:val="00DC79AE"/>
    <w:rsid w:val="00DC7FBC"/>
    <w:rsid w:val="00DD1179"/>
    <w:rsid w:val="00DD2CE6"/>
    <w:rsid w:val="00DD3A95"/>
    <w:rsid w:val="00DD6438"/>
    <w:rsid w:val="00DD7408"/>
    <w:rsid w:val="00DE0947"/>
    <w:rsid w:val="00DE2589"/>
    <w:rsid w:val="00DE2C7A"/>
    <w:rsid w:val="00DE4AAA"/>
    <w:rsid w:val="00DE53EF"/>
    <w:rsid w:val="00DE709B"/>
    <w:rsid w:val="00DE7860"/>
    <w:rsid w:val="00DF1A6D"/>
    <w:rsid w:val="00DF2C64"/>
    <w:rsid w:val="00DF32A1"/>
    <w:rsid w:val="00DF4143"/>
    <w:rsid w:val="00DF4F2C"/>
    <w:rsid w:val="00E00EE7"/>
    <w:rsid w:val="00E0212C"/>
    <w:rsid w:val="00E02564"/>
    <w:rsid w:val="00E03E92"/>
    <w:rsid w:val="00E04B03"/>
    <w:rsid w:val="00E04E1D"/>
    <w:rsid w:val="00E05D34"/>
    <w:rsid w:val="00E07B1B"/>
    <w:rsid w:val="00E10BCE"/>
    <w:rsid w:val="00E14404"/>
    <w:rsid w:val="00E14F22"/>
    <w:rsid w:val="00E153AF"/>
    <w:rsid w:val="00E170FA"/>
    <w:rsid w:val="00E26258"/>
    <w:rsid w:val="00E26A18"/>
    <w:rsid w:val="00E31570"/>
    <w:rsid w:val="00E3281D"/>
    <w:rsid w:val="00E35D09"/>
    <w:rsid w:val="00E3655E"/>
    <w:rsid w:val="00E37971"/>
    <w:rsid w:val="00E40F26"/>
    <w:rsid w:val="00E41F5A"/>
    <w:rsid w:val="00E45495"/>
    <w:rsid w:val="00E45931"/>
    <w:rsid w:val="00E45B68"/>
    <w:rsid w:val="00E472F6"/>
    <w:rsid w:val="00E5012B"/>
    <w:rsid w:val="00E51BC0"/>
    <w:rsid w:val="00E52DFE"/>
    <w:rsid w:val="00E53E67"/>
    <w:rsid w:val="00E540EC"/>
    <w:rsid w:val="00E55636"/>
    <w:rsid w:val="00E57BE4"/>
    <w:rsid w:val="00E57FA0"/>
    <w:rsid w:val="00E6082F"/>
    <w:rsid w:val="00E620F0"/>
    <w:rsid w:val="00E624C0"/>
    <w:rsid w:val="00E62826"/>
    <w:rsid w:val="00E6582A"/>
    <w:rsid w:val="00E66D78"/>
    <w:rsid w:val="00E67E4E"/>
    <w:rsid w:val="00E67EC1"/>
    <w:rsid w:val="00E71E35"/>
    <w:rsid w:val="00E72825"/>
    <w:rsid w:val="00E74377"/>
    <w:rsid w:val="00E76DBE"/>
    <w:rsid w:val="00E80455"/>
    <w:rsid w:val="00E8277B"/>
    <w:rsid w:val="00E8312E"/>
    <w:rsid w:val="00E8349C"/>
    <w:rsid w:val="00E838DE"/>
    <w:rsid w:val="00E850D2"/>
    <w:rsid w:val="00E85894"/>
    <w:rsid w:val="00E86F81"/>
    <w:rsid w:val="00E870A1"/>
    <w:rsid w:val="00E8784A"/>
    <w:rsid w:val="00E87E79"/>
    <w:rsid w:val="00E90A78"/>
    <w:rsid w:val="00E913D7"/>
    <w:rsid w:val="00E916BB"/>
    <w:rsid w:val="00E91D7C"/>
    <w:rsid w:val="00E95DE5"/>
    <w:rsid w:val="00E97CFC"/>
    <w:rsid w:val="00EA08E0"/>
    <w:rsid w:val="00EA1DE4"/>
    <w:rsid w:val="00EA28C2"/>
    <w:rsid w:val="00EA299B"/>
    <w:rsid w:val="00EA3339"/>
    <w:rsid w:val="00EA477E"/>
    <w:rsid w:val="00EA55FC"/>
    <w:rsid w:val="00EA5984"/>
    <w:rsid w:val="00EA7670"/>
    <w:rsid w:val="00EA7EFA"/>
    <w:rsid w:val="00EB14F0"/>
    <w:rsid w:val="00EB4C33"/>
    <w:rsid w:val="00EB6499"/>
    <w:rsid w:val="00EC0513"/>
    <w:rsid w:val="00EC0940"/>
    <w:rsid w:val="00EC0C7D"/>
    <w:rsid w:val="00EC0DB5"/>
    <w:rsid w:val="00EC1759"/>
    <w:rsid w:val="00EC269B"/>
    <w:rsid w:val="00EC30F2"/>
    <w:rsid w:val="00EC4270"/>
    <w:rsid w:val="00EC746E"/>
    <w:rsid w:val="00EC7A10"/>
    <w:rsid w:val="00ED1AD9"/>
    <w:rsid w:val="00ED1DD3"/>
    <w:rsid w:val="00ED3FCC"/>
    <w:rsid w:val="00EE0C5C"/>
    <w:rsid w:val="00EE1B02"/>
    <w:rsid w:val="00EE1C2D"/>
    <w:rsid w:val="00EE23F7"/>
    <w:rsid w:val="00EE369A"/>
    <w:rsid w:val="00EE36D2"/>
    <w:rsid w:val="00EE4947"/>
    <w:rsid w:val="00EE6B60"/>
    <w:rsid w:val="00EE7C8B"/>
    <w:rsid w:val="00EE7F90"/>
    <w:rsid w:val="00EF0895"/>
    <w:rsid w:val="00EF0AE3"/>
    <w:rsid w:val="00EF1335"/>
    <w:rsid w:val="00EF2635"/>
    <w:rsid w:val="00EF3D47"/>
    <w:rsid w:val="00EF44DD"/>
    <w:rsid w:val="00EF4CF5"/>
    <w:rsid w:val="00EF7E32"/>
    <w:rsid w:val="00F01812"/>
    <w:rsid w:val="00F027C3"/>
    <w:rsid w:val="00F05562"/>
    <w:rsid w:val="00F079FE"/>
    <w:rsid w:val="00F10AE0"/>
    <w:rsid w:val="00F10E3A"/>
    <w:rsid w:val="00F14511"/>
    <w:rsid w:val="00F14E01"/>
    <w:rsid w:val="00F20BCD"/>
    <w:rsid w:val="00F23267"/>
    <w:rsid w:val="00F30149"/>
    <w:rsid w:val="00F33EB1"/>
    <w:rsid w:val="00F35FFC"/>
    <w:rsid w:val="00F368EA"/>
    <w:rsid w:val="00F407DB"/>
    <w:rsid w:val="00F417F4"/>
    <w:rsid w:val="00F41ADB"/>
    <w:rsid w:val="00F41F46"/>
    <w:rsid w:val="00F434C6"/>
    <w:rsid w:val="00F44C9D"/>
    <w:rsid w:val="00F453D7"/>
    <w:rsid w:val="00F45A7E"/>
    <w:rsid w:val="00F46EF6"/>
    <w:rsid w:val="00F47C66"/>
    <w:rsid w:val="00F47DFF"/>
    <w:rsid w:val="00F50B83"/>
    <w:rsid w:val="00F53395"/>
    <w:rsid w:val="00F554F4"/>
    <w:rsid w:val="00F55D4A"/>
    <w:rsid w:val="00F5772B"/>
    <w:rsid w:val="00F60344"/>
    <w:rsid w:val="00F61CBA"/>
    <w:rsid w:val="00F62993"/>
    <w:rsid w:val="00F64240"/>
    <w:rsid w:val="00F67B0E"/>
    <w:rsid w:val="00F70485"/>
    <w:rsid w:val="00F71B55"/>
    <w:rsid w:val="00F722BB"/>
    <w:rsid w:val="00F74864"/>
    <w:rsid w:val="00F75D9B"/>
    <w:rsid w:val="00F77665"/>
    <w:rsid w:val="00F77AFF"/>
    <w:rsid w:val="00F77C41"/>
    <w:rsid w:val="00F809C3"/>
    <w:rsid w:val="00F80A65"/>
    <w:rsid w:val="00F827E4"/>
    <w:rsid w:val="00F83566"/>
    <w:rsid w:val="00F907B0"/>
    <w:rsid w:val="00F9226D"/>
    <w:rsid w:val="00F937E8"/>
    <w:rsid w:val="00F94C8B"/>
    <w:rsid w:val="00F9503E"/>
    <w:rsid w:val="00F950EA"/>
    <w:rsid w:val="00F971F4"/>
    <w:rsid w:val="00FA0391"/>
    <w:rsid w:val="00FA1170"/>
    <w:rsid w:val="00FA211E"/>
    <w:rsid w:val="00FA2574"/>
    <w:rsid w:val="00FA3105"/>
    <w:rsid w:val="00FA323E"/>
    <w:rsid w:val="00FA591F"/>
    <w:rsid w:val="00FA66D9"/>
    <w:rsid w:val="00FB0462"/>
    <w:rsid w:val="00FB5BC1"/>
    <w:rsid w:val="00FC0DA1"/>
    <w:rsid w:val="00FC1AB0"/>
    <w:rsid w:val="00FC1B70"/>
    <w:rsid w:val="00FC1D29"/>
    <w:rsid w:val="00FC24D6"/>
    <w:rsid w:val="00FC2F7A"/>
    <w:rsid w:val="00FC32E6"/>
    <w:rsid w:val="00FC3355"/>
    <w:rsid w:val="00FC5499"/>
    <w:rsid w:val="00FC55A8"/>
    <w:rsid w:val="00FC6C0B"/>
    <w:rsid w:val="00FC750A"/>
    <w:rsid w:val="00FC7B1E"/>
    <w:rsid w:val="00FD2143"/>
    <w:rsid w:val="00FD3041"/>
    <w:rsid w:val="00FD379A"/>
    <w:rsid w:val="00FD3DE2"/>
    <w:rsid w:val="00FD5A66"/>
    <w:rsid w:val="00FD6E4B"/>
    <w:rsid w:val="00FE2C4F"/>
    <w:rsid w:val="00FE3338"/>
    <w:rsid w:val="00FE3D08"/>
    <w:rsid w:val="00FE6321"/>
    <w:rsid w:val="00FE6433"/>
    <w:rsid w:val="00FE7600"/>
    <w:rsid w:val="00FF1773"/>
    <w:rsid w:val="00FF2626"/>
    <w:rsid w:val="00FF3382"/>
    <w:rsid w:val="00FF35B0"/>
    <w:rsid w:val="00FF67FC"/>
    <w:rsid w:val="00FF6C75"/>
    <w:rsid w:val="00FF7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FAFC"/>
  <w15:docId w15:val="{38F95519-03C7-488D-B03D-AAA4D3B8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0A1"/>
  </w:style>
  <w:style w:type="paragraph" w:styleId="Nagwek1">
    <w:name w:val="heading 1"/>
    <w:basedOn w:val="Normalny"/>
    <w:next w:val="Normalny"/>
    <w:link w:val="Nagwek1Znak"/>
    <w:uiPriority w:val="9"/>
    <w:qFormat/>
    <w:rsid w:val="00FB0462"/>
    <w:pPr>
      <w:keepNext/>
      <w:keepLines/>
      <w:spacing w:before="480" w:after="0"/>
      <w:outlineLvl w:val="0"/>
    </w:pPr>
    <w:rPr>
      <w:rFonts w:eastAsia="Times New Roman" w:cs="Times New Roman"/>
      <w:b/>
      <w:bCs/>
      <w:color w:val="365F91"/>
      <w:sz w:val="28"/>
      <w:szCs w:val="28"/>
      <w:lang w:val="x-none"/>
    </w:rPr>
  </w:style>
  <w:style w:type="paragraph" w:styleId="Nagwek2">
    <w:name w:val="heading 2"/>
    <w:basedOn w:val="Normalny"/>
    <w:next w:val="Normalny"/>
    <w:link w:val="Nagwek2Znak"/>
    <w:uiPriority w:val="9"/>
    <w:unhideWhenUsed/>
    <w:qFormat/>
    <w:rsid w:val="00FB0462"/>
    <w:pPr>
      <w:keepNext/>
      <w:keepLines/>
      <w:spacing w:before="200" w:after="0"/>
      <w:jc w:val="both"/>
      <w:outlineLvl w:val="1"/>
    </w:pPr>
    <w:rPr>
      <w:rFonts w:eastAsiaTheme="majorEastAsia" w:cstheme="majorBidi"/>
      <w:b/>
      <w:bCs/>
      <w:color w:val="4F81BD" w:themeColor="accent1"/>
      <w:sz w:val="24"/>
      <w:szCs w:val="26"/>
    </w:rPr>
  </w:style>
  <w:style w:type="paragraph" w:styleId="Nagwek3">
    <w:name w:val="heading 3"/>
    <w:basedOn w:val="Normalny"/>
    <w:next w:val="Normalny"/>
    <w:link w:val="Nagwek3Znak"/>
    <w:uiPriority w:val="9"/>
    <w:unhideWhenUsed/>
    <w:qFormat/>
    <w:rsid w:val="001628B0"/>
    <w:pPr>
      <w:keepNext/>
      <w:keepLines/>
      <w:spacing w:before="200" w:after="0"/>
      <w:jc w:val="both"/>
      <w:outlineLvl w:val="2"/>
    </w:pPr>
    <w:rPr>
      <w:rFonts w:eastAsiaTheme="majorEastAsia" w:cstheme="majorBidi"/>
      <w:b/>
      <w:bCs/>
      <w:color w:val="4F81BD" w:themeColor="accent1"/>
    </w:rPr>
  </w:style>
  <w:style w:type="paragraph" w:styleId="Nagwek4">
    <w:name w:val="heading 4"/>
    <w:basedOn w:val="Normalny"/>
    <w:next w:val="Normalny"/>
    <w:link w:val="Nagwek4Znak"/>
    <w:uiPriority w:val="9"/>
    <w:unhideWhenUsed/>
    <w:qFormat/>
    <w:rsid w:val="002A38A6"/>
    <w:pPr>
      <w:keepNext/>
      <w:keepLines/>
      <w:spacing w:before="40" w:after="0"/>
      <w:outlineLvl w:val="3"/>
    </w:pPr>
    <w:rPr>
      <w:rFonts w:asciiTheme="minorHAnsi" w:eastAsiaTheme="majorEastAsia" w:hAnsiTheme="minorHAnsi" w:cstheme="majorBidi"/>
      <w:b/>
      <w:i/>
      <w:iCs/>
      <w:color w:val="4F81BD" w:themeColor="accent1"/>
    </w:rPr>
  </w:style>
  <w:style w:type="paragraph" w:styleId="Nagwek5">
    <w:name w:val="heading 5"/>
    <w:basedOn w:val="Normalny"/>
    <w:next w:val="Normalny"/>
    <w:link w:val="Nagwek5Znak"/>
    <w:uiPriority w:val="9"/>
    <w:unhideWhenUsed/>
    <w:qFormat/>
    <w:rsid w:val="00403FAA"/>
    <w:pPr>
      <w:keepNext/>
      <w:keepLines/>
      <w:spacing w:before="40" w:after="0"/>
      <w:outlineLvl w:val="4"/>
    </w:pPr>
    <w:rPr>
      <w:rFonts w:asciiTheme="minorHAnsi" w:eastAsiaTheme="majorEastAsia" w:hAnsiTheme="minorHAnsi" w:cstheme="majorBidi"/>
      <w:b/>
      <w: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0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462"/>
  </w:style>
  <w:style w:type="paragraph" w:styleId="Stopka">
    <w:name w:val="footer"/>
    <w:basedOn w:val="Normalny"/>
    <w:link w:val="StopkaZnak"/>
    <w:uiPriority w:val="99"/>
    <w:unhideWhenUsed/>
    <w:rsid w:val="00FB0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462"/>
  </w:style>
  <w:style w:type="paragraph" w:styleId="Tekstdymka">
    <w:name w:val="Balloon Text"/>
    <w:basedOn w:val="Normalny"/>
    <w:link w:val="TekstdymkaZnak"/>
    <w:uiPriority w:val="99"/>
    <w:semiHidden/>
    <w:unhideWhenUsed/>
    <w:rsid w:val="00FB04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0462"/>
    <w:rPr>
      <w:rFonts w:ascii="Tahoma" w:hAnsi="Tahoma" w:cs="Tahoma"/>
      <w:sz w:val="16"/>
      <w:szCs w:val="16"/>
    </w:rPr>
  </w:style>
  <w:style w:type="character" w:customStyle="1" w:styleId="Nagwek1Znak">
    <w:name w:val="Nagłówek 1 Znak"/>
    <w:basedOn w:val="Domylnaczcionkaakapitu"/>
    <w:link w:val="Nagwek1"/>
    <w:uiPriority w:val="9"/>
    <w:rsid w:val="00FB0462"/>
    <w:rPr>
      <w:rFonts w:ascii="Calibri" w:eastAsia="Times New Roman" w:hAnsi="Calibri" w:cs="Times New Roman"/>
      <w:b/>
      <w:bCs/>
      <w:color w:val="365F91"/>
      <w:sz w:val="28"/>
      <w:szCs w:val="28"/>
      <w:lang w:val="x-none"/>
    </w:rPr>
  </w:style>
  <w:style w:type="paragraph" w:styleId="Bezodstpw">
    <w:name w:val="No Spacing"/>
    <w:uiPriority w:val="1"/>
    <w:qFormat/>
    <w:rsid w:val="00FB0462"/>
    <w:pPr>
      <w:spacing w:after="0" w:line="240" w:lineRule="auto"/>
    </w:pPr>
    <w:rPr>
      <w:rFonts w:eastAsia="Calibri" w:cs="Times New Roman"/>
    </w:rPr>
  </w:style>
  <w:style w:type="character" w:customStyle="1" w:styleId="Nagwek2Znak">
    <w:name w:val="Nagłówek 2 Znak"/>
    <w:basedOn w:val="Domylnaczcionkaakapitu"/>
    <w:link w:val="Nagwek2"/>
    <w:uiPriority w:val="9"/>
    <w:rsid w:val="00FB0462"/>
    <w:rPr>
      <w:rFonts w:ascii="Calibri" w:eastAsiaTheme="majorEastAsia" w:hAnsi="Calibri" w:cstheme="majorBidi"/>
      <w:b/>
      <w:bCs/>
      <w:color w:val="4F81BD" w:themeColor="accent1"/>
      <w:sz w:val="24"/>
      <w:szCs w:val="26"/>
    </w:rPr>
  </w:style>
  <w:style w:type="character" w:customStyle="1" w:styleId="Nagwek3Znak">
    <w:name w:val="Nagłówek 3 Znak"/>
    <w:basedOn w:val="Domylnaczcionkaakapitu"/>
    <w:link w:val="Nagwek3"/>
    <w:uiPriority w:val="9"/>
    <w:rsid w:val="001628B0"/>
    <w:rPr>
      <w:rFonts w:eastAsiaTheme="majorEastAsia" w:cstheme="majorBidi"/>
      <w:b/>
      <w:bCs/>
      <w:color w:val="4F81BD" w:themeColor="accent1"/>
    </w:rPr>
  </w:style>
  <w:style w:type="character" w:customStyle="1" w:styleId="hps">
    <w:name w:val="hps"/>
    <w:basedOn w:val="Domylnaczcionkaakapitu"/>
    <w:rsid w:val="00FB0462"/>
  </w:style>
  <w:style w:type="character" w:customStyle="1" w:styleId="Text1Char">
    <w:name w:val="Text 1 Char"/>
    <w:link w:val="Text1"/>
    <w:locked/>
    <w:rsid w:val="00FB0462"/>
    <w:rPr>
      <w:rFonts w:ascii="Times New Roman" w:hAnsi="Times New Roman"/>
      <w:sz w:val="24"/>
    </w:rPr>
  </w:style>
  <w:style w:type="paragraph" w:customStyle="1" w:styleId="Text1">
    <w:name w:val="Text 1"/>
    <w:basedOn w:val="Normalny"/>
    <w:link w:val="Text1Char"/>
    <w:rsid w:val="00FB0462"/>
    <w:pPr>
      <w:spacing w:before="120" w:after="120" w:line="240" w:lineRule="auto"/>
      <w:ind w:left="850"/>
      <w:jc w:val="both"/>
    </w:pPr>
    <w:rPr>
      <w:rFonts w:ascii="Times New Roman" w:hAnsi="Times New Roman"/>
      <w:sz w:val="24"/>
    </w:rPr>
  </w:style>
  <w:style w:type="paragraph" w:styleId="Nagwekspisutreci">
    <w:name w:val="TOC Heading"/>
    <w:basedOn w:val="Nagwek1"/>
    <w:next w:val="Normalny"/>
    <w:uiPriority w:val="39"/>
    <w:unhideWhenUsed/>
    <w:qFormat/>
    <w:rsid w:val="005B1E77"/>
    <w:pPr>
      <w:outlineLvl w:val="9"/>
    </w:pPr>
    <w:rPr>
      <w:rFonts w:asciiTheme="majorHAnsi" w:eastAsiaTheme="majorEastAsia" w:hAnsiTheme="majorHAnsi" w:cstheme="majorBidi"/>
      <w:color w:val="365F91" w:themeColor="accent1" w:themeShade="BF"/>
      <w:lang w:val="pl-PL" w:eastAsia="pl-PL"/>
    </w:rPr>
  </w:style>
  <w:style w:type="paragraph" w:styleId="Spistreci1">
    <w:name w:val="toc 1"/>
    <w:basedOn w:val="Normalny"/>
    <w:next w:val="Normalny"/>
    <w:autoRedefine/>
    <w:uiPriority w:val="39"/>
    <w:unhideWhenUsed/>
    <w:rsid w:val="00FD3041"/>
    <w:pPr>
      <w:tabs>
        <w:tab w:val="right" w:leader="dot" w:pos="9062"/>
      </w:tabs>
      <w:spacing w:before="120" w:after="120"/>
    </w:pPr>
    <w:rPr>
      <w:rFonts w:asciiTheme="minorHAnsi" w:hAnsiTheme="minorHAnsi" w:cstheme="minorHAnsi"/>
      <w:b/>
      <w:bCs/>
      <w:caps/>
    </w:rPr>
  </w:style>
  <w:style w:type="paragraph" w:styleId="Spistreci2">
    <w:name w:val="toc 2"/>
    <w:basedOn w:val="Normalny"/>
    <w:next w:val="Normalny"/>
    <w:autoRedefine/>
    <w:uiPriority w:val="39"/>
    <w:unhideWhenUsed/>
    <w:rsid w:val="00EA08E0"/>
    <w:pPr>
      <w:tabs>
        <w:tab w:val="right" w:leader="dot" w:pos="9062"/>
      </w:tabs>
      <w:spacing w:after="0"/>
      <w:ind w:left="200"/>
    </w:pPr>
    <w:rPr>
      <w:rFonts w:asciiTheme="minorHAnsi" w:hAnsiTheme="minorHAnsi" w:cstheme="minorHAnsi"/>
      <w:smallCaps/>
    </w:rPr>
  </w:style>
  <w:style w:type="paragraph" w:styleId="Spistreci3">
    <w:name w:val="toc 3"/>
    <w:basedOn w:val="Normalny"/>
    <w:next w:val="Normalny"/>
    <w:autoRedefine/>
    <w:uiPriority w:val="39"/>
    <w:unhideWhenUsed/>
    <w:rsid w:val="006C3FC4"/>
    <w:pPr>
      <w:spacing w:after="0"/>
      <w:ind w:left="400"/>
    </w:pPr>
    <w:rPr>
      <w:rFonts w:asciiTheme="minorHAnsi" w:hAnsiTheme="minorHAnsi" w:cstheme="minorHAnsi"/>
      <w:i/>
      <w:iCs/>
    </w:rPr>
  </w:style>
  <w:style w:type="character" w:styleId="Hipercze">
    <w:name w:val="Hyperlink"/>
    <w:basedOn w:val="Domylnaczcionkaakapitu"/>
    <w:uiPriority w:val="99"/>
    <w:unhideWhenUsed/>
    <w:rsid w:val="005B1E77"/>
    <w:rPr>
      <w:color w:val="0000FF" w:themeColor="hyperlink"/>
      <w:u w:val="single"/>
    </w:rPr>
  </w:style>
  <w:style w:type="character" w:styleId="Odwoaniedokomentarza">
    <w:name w:val="annotation reference"/>
    <w:basedOn w:val="Domylnaczcionkaakapitu"/>
    <w:uiPriority w:val="99"/>
    <w:unhideWhenUsed/>
    <w:rsid w:val="002F30A1"/>
    <w:rPr>
      <w:sz w:val="16"/>
      <w:szCs w:val="16"/>
    </w:rPr>
  </w:style>
  <w:style w:type="paragraph" w:styleId="Tekstkomentarza">
    <w:name w:val="annotation text"/>
    <w:basedOn w:val="Normalny"/>
    <w:link w:val="TekstkomentarzaZnak"/>
    <w:uiPriority w:val="99"/>
    <w:unhideWhenUsed/>
    <w:rsid w:val="002F30A1"/>
    <w:pPr>
      <w:spacing w:line="240" w:lineRule="auto"/>
    </w:pPr>
  </w:style>
  <w:style w:type="character" w:customStyle="1" w:styleId="TekstkomentarzaZnak">
    <w:name w:val="Tekst komentarza Znak"/>
    <w:basedOn w:val="Domylnaczcionkaakapitu"/>
    <w:link w:val="Tekstkomentarza"/>
    <w:uiPriority w:val="99"/>
    <w:rsid w:val="002F30A1"/>
    <w:rPr>
      <w:sz w:val="20"/>
      <w:szCs w:val="20"/>
    </w:rPr>
  </w:style>
  <w:style w:type="paragraph" w:styleId="Tematkomentarza">
    <w:name w:val="annotation subject"/>
    <w:basedOn w:val="Tekstkomentarza"/>
    <w:next w:val="Tekstkomentarza"/>
    <w:link w:val="TematkomentarzaZnak"/>
    <w:uiPriority w:val="99"/>
    <w:semiHidden/>
    <w:unhideWhenUsed/>
    <w:rsid w:val="002F30A1"/>
    <w:rPr>
      <w:b/>
      <w:bCs/>
    </w:rPr>
  </w:style>
  <w:style w:type="character" w:customStyle="1" w:styleId="TematkomentarzaZnak">
    <w:name w:val="Temat komentarza Znak"/>
    <w:basedOn w:val="TekstkomentarzaZnak"/>
    <w:link w:val="Tematkomentarza"/>
    <w:uiPriority w:val="99"/>
    <w:semiHidden/>
    <w:rsid w:val="002F30A1"/>
    <w:rPr>
      <w:b/>
      <w:bCs/>
      <w:sz w:val="20"/>
      <w:szCs w:val="20"/>
    </w:rPr>
  </w:style>
  <w:style w:type="paragraph" w:styleId="Akapitzlist">
    <w:name w:val="List Paragraph"/>
    <w:basedOn w:val="Normalny"/>
    <w:uiPriority w:val="34"/>
    <w:qFormat/>
    <w:rsid w:val="00264F53"/>
    <w:pPr>
      <w:ind w:left="720"/>
      <w:contextualSpacing/>
    </w:pPr>
  </w:style>
  <w:style w:type="character" w:customStyle="1" w:styleId="Nierozpoznanawzmianka1">
    <w:name w:val="Nierozpoznana wzmianka1"/>
    <w:basedOn w:val="Domylnaczcionkaakapitu"/>
    <w:uiPriority w:val="99"/>
    <w:semiHidden/>
    <w:unhideWhenUsed/>
    <w:rsid w:val="000B05F6"/>
    <w:rPr>
      <w:color w:val="605E5C"/>
      <w:shd w:val="clear" w:color="auto" w:fill="E1DFDD"/>
    </w:rPr>
  </w:style>
  <w:style w:type="paragraph" w:styleId="Poprawka">
    <w:name w:val="Revision"/>
    <w:hidden/>
    <w:uiPriority w:val="99"/>
    <w:semiHidden/>
    <w:rsid w:val="003655C1"/>
    <w:pPr>
      <w:spacing w:after="0" w:line="240" w:lineRule="auto"/>
    </w:pPr>
  </w:style>
  <w:style w:type="character" w:customStyle="1" w:styleId="Nagwek4Znak">
    <w:name w:val="Nagłówek 4 Znak"/>
    <w:basedOn w:val="Domylnaczcionkaakapitu"/>
    <w:link w:val="Nagwek4"/>
    <w:uiPriority w:val="9"/>
    <w:rsid w:val="002A38A6"/>
    <w:rPr>
      <w:rFonts w:asciiTheme="minorHAnsi" w:eastAsiaTheme="majorEastAsia" w:hAnsiTheme="minorHAnsi" w:cstheme="majorBidi"/>
      <w:b/>
      <w:i/>
      <w:iCs/>
      <w:color w:val="4F81BD" w:themeColor="accent1"/>
    </w:rPr>
  </w:style>
  <w:style w:type="character" w:styleId="Wyrnieniedelikatne">
    <w:name w:val="Subtle Emphasis"/>
    <w:basedOn w:val="Domylnaczcionkaakapitu"/>
    <w:uiPriority w:val="19"/>
    <w:qFormat/>
    <w:rsid w:val="001E350C"/>
    <w:rPr>
      <w:i/>
      <w:iCs/>
      <w:color w:val="404040" w:themeColor="text1" w:themeTint="BF"/>
    </w:rPr>
  </w:style>
  <w:style w:type="character" w:styleId="Uwydatnienie">
    <w:name w:val="Emphasis"/>
    <w:basedOn w:val="Domylnaczcionkaakapitu"/>
    <w:uiPriority w:val="20"/>
    <w:qFormat/>
    <w:rsid w:val="001E350C"/>
    <w:rPr>
      <w:i/>
      <w:iCs/>
    </w:rPr>
  </w:style>
  <w:style w:type="character" w:styleId="Wyrnienieintensywne">
    <w:name w:val="Intense Emphasis"/>
    <w:basedOn w:val="Domylnaczcionkaakapitu"/>
    <w:uiPriority w:val="21"/>
    <w:qFormat/>
    <w:rsid w:val="001E350C"/>
    <w:rPr>
      <w:i/>
      <w:iCs/>
      <w:color w:val="4F81BD" w:themeColor="accent1"/>
    </w:rPr>
  </w:style>
  <w:style w:type="character" w:styleId="Pogrubienie">
    <w:name w:val="Strong"/>
    <w:basedOn w:val="Domylnaczcionkaakapitu"/>
    <w:uiPriority w:val="22"/>
    <w:qFormat/>
    <w:rsid w:val="001E350C"/>
    <w:rPr>
      <w:b/>
      <w:bCs/>
    </w:rPr>
  </w:style>
  <w:style w:type="paragraph" w:styleId="Spistreci4">
    <w:name w:val="toc 4"/>
    <w:basedOn w:val="Normalny"/>
    <w:next w:val="Normalny"/>
    <w:autoRedefine/>
    <w:uiPriority w:val="39"/>
    <w:unhideWhenUsed/>
    <w:rsid w:val="00D64C64"/>
    <w:pPr>
      <w:spacing w:after="0"/>
      <w:ind w:left="600"/>
    </w:pPr>
    <w:rPr>
      <w:rFonts w:asciiTheme="minorHAnsi" w:hAnsiTheme="minorHAnsi" w:cstheme="minorHAnsi"/>
      <w:sz w:val="18"/>
      <w:szCs w:val="18"/>
    </w:rPr>
  </w:style>
  <w:style w:type="paragraph" w:styleId="Spistreci9">
    <w:name w:val="toc 9"/>
    <w:basedOn w:val="Normalny"/>
    <w:next w:val="Normalny"/>
    <w:autoRedefine/>
    <w:uiPriority w:val="39"/>
    <w:unhideWhenUsed/>
    <w:rsid w:val="00AC5C34"/>
    <w:pPr>
      <w:spacing w:after="0"/>
      <w:ind w:left="1600"/>
    </w:pPr>
    <w:rPr>
      <w:rFonts w:asciiTheme="minorHAnsi" w:hAnsiTheme="minorHAnsi" w:cstheme="minorHAnsi"/>
      <w:sz w:val="18"/>
      <w:szCs w:val="18"/>
    </w:rPr>
  </w:style>
  <w:style w:type="paragraph" w:styleId="Spistreci6">
    <w:name w:val="toc 6"/>
    <w:basedOn w:val="Normalny"/>
    <w:next w:val="Normalny"/>
    <w:autoRedefine/>
    <w:uiPriority w:val="39"/>
    <w:unhideWhenUsed/>
    <w:rsid w:val="00D64C64"/>
    <w:pPr>
      <w:spacing w:after="0"/>
      <w:ind w:left="1000"/>
    </w:pPr>
    <w:rPr>
      <w:rFonts w:asciiTheme="minorHAnsi" w:hAnsiTheme="minorHAnsi" w:cstheme="minorHAnsi"/>
      <w:sz w:val="18"/>
      <w:szCs w:val="18"/>
    </w:rPr>
  </w:style>
  <w:style w:type="paragraph" w:styleId="Spistreci5">
    <w:name w:val="toc 5"/>
    <w:basedOn w:val="Normalny"/>
    <w:next w:val="Normalny"/>
    <w:autoRedefine/>
    <w:uiPriority w:val="39"/>
    <w:unhideWhenUsed/>
    <w:rsid w:val="00D64C64"/>
    <w:pPr>
      <w:spacing w:after="0"/>
      <w:ind w:left="800"/>
    </w:pPr>
    <w:rPr>
      <w:rFonts w:asciiTheme="minorHAnsi" w:hAnsiTheme="minorHAnsi" w:cstheme="minorHAnsi"/>
      <w:sz w:val="18"/>
      <w:szCs w:val="18"/>
    </w:rPr>
  </w:style>
  <w:style w:type="paragraph" w:styleId="Spistreci7">
    <w:name w:val="toc 7"/>
    <w:basedOn w:val="Normalny"/>
    <w:next w:val="Normalny"/>
    <w:autoRedefine/>
    <w:uiPriority w:val="39"/>
    <w:unhideWhenUsed/>
    <w:rsid w:val="00D64C64"/>
    <w:pPr>
      <w:spacing w:after="0"/>
      <w:ind w:left="1200"/>
    </w:pPr>
    <w:rPr>
      <w:rFonts w:asciiTheme="minorHAnsi" w:hAnsiTheme="minorHAnsi" w:cstheme="minorHAnsi"/>
      <w:sz w:val="18"/>
      <w:szCs w:val="18"/>
    </w:rPr>
  </w:style>
  <w:style w:type="paragraph" w:styleId="Spistreci8">
    <w:name w:val="toc 8"/>
    <w:basedOn w:val="Normalny"/>
    <w:next w:val="Normalny"/>
    <w:autoRedefine/>
    <w:uiPriority w:val="39"/>
    <w:unhideWhenUsed/>
    <w:rsid w:val="00D64C64"/>
    <w:pPr>
      <w:spacing w:after="0"/>
      <w:ind w:left="1400"/>
    </w:pPr>
    <w:rPr>
      <w:rFonts w:asciiTheme="minorHAnsi" w:hAnsiTheme="minorHAnsi" w:cstheme="minorHAnsi"/>
      <w:sz w:val="18"/>
      <w:szCs w:val="18"/>
    </w:rPr>
  </w:style>
  <w:style w:type="character" w:customStyle="1" w:styleId="Nagwek5Znak">
    <w:name w:val="Nagłówek 5 Znak"/>
    <w:basedOn w:val="Domylnaczcionkaakapitu"/>
    <w:link w:val="Nagwek5"/>
    <w:uiPriority w:val="9"/>
    <w:rsid w:val="00403FAA"/>
    <w:rPr>
      <w:rFonts w:asciiTheme="minorHAnsi" w:eastAsiaTheme="majorEastAsia" w:hAnsiTheme="minorHAnsi" w:cstheme="majorBidi"/>
      <w:b/>
      <w:i/>
      <w:color w:val="4F81BD" w:themeColor="accent1"/>
    </w:rPr>
  </w:style>
  <w:style w:type="character" w:styleId="Odwoanieprzypisudolnego">
    <w:name w:val="footnote reference"/>
    <w:basedOn w:val="Domylnaczcionkaakapitu"/>
    <w:uiPriority w:val="99"/>
    <w:unhideWhenUsed/>
    <w:rsid w:val="000B32E2"/>
    <w:rPr>
      <w:vertAlign w:val="superscript"/>
    </w:rPr>
  </w:style>
  <w:style w:type="character" w:customStyle="1" w:styleId="Nierozpoznanawzmianka2">
    <w:name w:val="Nierozpoznana wzmianka2"/>
    <w:basedOn w:val="Domylnaczcionkaakapitu"/>
    <w:uiPriority w:val="99"/>
    <w:semiHidden/>
    <w:unhideWhenUsed/>
    <w:rsid w:val="00501B78"/>
    <w:rPr>
      <w:color w:val="605E5C"/>
      <w:shd w:val="clear" w:color="auto" w:fill="E1DFDD"/>
    </w:rPr>
  </w:style>
  <w:style w:type="paragraph" w:styleId="Tekstprzypisukocowego">
    <w:name w:val="endnote text"/>
    <w:basedOn w:val="Normalny"/>
    <w:link w:val="TekstprzypisukocowegoZnak"/>
    <w:uiPriority w:val="99"/>
    <w:semiHidden/>
    <w:unhideWhenUsed/>
    <w:rsid w:val="00B256C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256CA"/>
  </w:style>
  <w:style w:type="character" w:styleId="Odwoanieprzypisukocowego">
    <w:name w:val="endnote reference"/>
    <w:basedOn w:val="Domylnaczcionkaakapitu"/>
    <w:uiPriority w:val="99"/>
    <w:semiHidden/>
    <w:unhideWhenUsed/>
    <w:rsid w:val="00B256CA"/>
    <w:rPr>
      <w:vertAlign w:val="superscript"/>
    </w:rPr>
  </w:style>
  <w:style w:type="paragraph" w:customStyle="1" w:styleId="Default">
    <w:name w:val="Default"/>
    <w:rsid w:val="00B256CA"/>
    <w:pPr>
      <w:autoSpaceDE w:val="0"/>
      <w:autoSpaceDN w:val="0"/>
      <w:adjustRightInd w:val="0"/>
      <w:spacing w:after="0" w:line="240" w:lineRule="auto"/>
    </w:pPr>
    <w:rPr>
      <w:rFonts w:ascii="EUAlbertina" w:hAnsi="EUAlbertina" w:cs="EUAlbertina"/>
      <w:color w:val="000000"/>
      <w:sz w:val="24"/>
      <w:szCs w:val="24"/>
    </w:rPr>
  </w:style>
  <w:style w:type="table" w:styleId="Tabela-Siatka">
    <w:name w:val="Table Grid"/>
    <w:basedOn w:val="Standardowy"/>
    <w:uiPriority w:val="39"/>
    <w:rsid w:val="00B2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3749"/>
    <w:pPr>
      <w:spacing w:after="0" w:line="240" w:lineRule="auto"/>
    </w:pPr>
  </w:style>
  <w:style w:type="character" w:customStyle="1" w:styleId="TekstprzypisudolnegoZnak">
    <w:name w:val="Tekst przypisu dolnego Znak"/>
    <w:basedOn w:val="Domylnaczcionkaakapitu"/>
    <w:link w:val="Tekstprzypisudolnego"/>
    <w:uiPriority w:val="99"/>
    <w:semiHidden/>
    <w:rsid w:val="004D3749"/>
  </w:style>
  <w:style w:type="character" w:styleId="Nierozpoznanawzmianka">
    <w:name w:val="Unresolved Mention"/>
    <w:basedOn w:val="Domylnaczcionkaakapitu"/>
    <w:uiPriority w:val="99"/>
    <w:semiHidden/>
    <w:unhideWhenUsed/>
    <w:rsid w:val="0019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659">
      <w:bodyDiv w:val="1"/>
      <w:marLeft w:val="0"/>
      <w:marRight w:val="0"/>
      <w:marTop w:val="0"/>
      <w:marBottom w:val="0"/>
      <w:divBdr>
        <w:top w:val="none" w:sz="0" w:space="0" w:color="auto"/>
        <w:left w:val="none" w:sz="0" w:space="0" w:color="auto"/>
        <w:bottom w:val="none" w:sz="0" w:space="0" w:color="auto"/>
        <w:right w:val="none" w:sz="0" w:space="0" w:color="auto"/>
      </w:divBdr>
    </w:div>
    <w:div w:id="165218191">
      <w:bodyDiv w:val="1"/>
      <w:marLeft w:val="0"/>
      <w:marRight w:val="0"/>
      <w:marTop w:val="0"/>
      <w:marBottom w:val="0"/>
      <w:divBdr>
        <w:top w:val="none" w:sz="0" w:space="0" w:color="auto"/>
        <w:left w:val="none" w:sz="0" w:space="0" w:color="auto"/>
        <w:bottom w:val="none" w:sz="0" w:space="0" w:color="auto"/>
        <w:right w:val="none" w:sz="0" w:space="0" w:color="auto"/>
      </w:divBdr>
    </w:div>
    <w:div w:id="256864353">
      <w:bodyDiv w:val="1"/>
      <w:marLeft w:val="0"/>
      <w:marRight w:val="0"/>
      <w:marTop w:val="0"/>
      <w:marBottom w:val="0"/>
      <w:divBdr>
        <w:top w:val="none" w:sz="0" w:space="0" w:color="auto"/>
        <w:left w:val="none" w:sz="0" w:space="0" w:color="auto"/>
        <w:bottom w:val="none" w:sz="0" w:space="0" w:color="auto"/>
        <w:right w:val="none" w:sz="0" w:space="0" w:color="auto"/>
      </w:divBdr>
    </w:div>
    <w:div w:id="258374158">
      <w:bodyDiv w:val="1"/>
      <w:marLeft w:val="0"/>
      <w:marRight w:val="0"/>
      <w:marTop w:val="0"/>
      <w:marBottom w:val="0"/>
      <w:divBdr>
        <w:top w:val="none" w:sz="0" w:space="0" w:color="auto"/>
        <w:left w:val="none" w:sz="0" w:space="0" w:color="auto"/>
        <w:bottom w:val="none" w:sz="0" w:space="0" w:color="auto"/>
        <w:right w:val="none" w:sz="0" w:space="0" w:color="auto"/>
      </w:divBdr>
    </w:div>
    <w:div w:id="311912235">
      <w:bodyDiv w:val="1"/>
      <w:marLeft w:val="0"/>
      <w:marRight w:val="0"/>
      <w:marTop w:val="0"/>
      <w:marBottom w:val="0"/>
      <w:divBdr>
        <w:top w:val="none" w:sz="0" w:space="0" w:color="auto"/>
        <w:left w:val="none" w:sz="0" w:space="0" w:color="auto"/>
        <w:bottom w:val="none" w:sz="0" w:space="0" w:color="auto"/>
        <w:right w:val="none" w:sz="0" w:space="0" w:color="auto"/>
      </w:divBdr>
    </w:div>
    <w:div w:id="320162698">
      <w:bodyDiv w:val="1"/>
      <w:marLeft w:val="0"/>
      <w:marRight w:val="0"/>
      <w:marTop w:val="0"/>
      <w:marBottom w:val="0"/>
      <w:divBdr>
        <w:top w:val="none" w:sz="0" w:space="0" w:color="auto"/>
        <w:left w:val="none" w:sz="0" w:space="0" w:color="auto"/>
        <w:bottom w:val="none" w:sz="0" w:space="0" w:color="auto"/>
        <w:right w:val="none" w:sz="0" w:space="0" w:color="auto"/>
      </w:divBdr>
    </w:div>
    <w:div w:id="527569229">
      <w:bodyDiv w:val="1"/>
      <w:marLeft w:val="0"/>
      <w:marRight w:val="0"/>
      <w:marTop w:val="0"/>
      <w:marBottom w:val="0"/>
      <w:divBdr>
        <w:top w:val="none" w:sz="0" w:space="0" w:color="auto"/>
        <w:left w:val="none" w:sz="0" w:space="0" w:color="auto"/>
        <w:bottom w:val="none" w:sz="0" w:space="0" w:color="auto"/>
        <w:right w:val="none" w:sz="0" w:space="0" w:color="auto"/>
      </w:divBdr>
    </w:div>
    <w:div w:id="886989867">
      <w:bodyDiv w:val="1"/>
      <w:marLeft w:val="0"/>
      <w:marRight w:val="0"/>
      <w:marTop w:val="0"/>
      <w:marBottom w:val="0"/>
      <w:divBdr>
        <w:top w:val="none" w:sz="0" w:space="0" w:color="auto"/>
        <w:left w:val="none" w:sz="0" w:space="0" w:color="auto"/>
        <w:bottom w:val="none" w:sz="0" w:space="0" w:color="auto"/>
        <w:right w:val="none" w:sz="0" w:space="0" w:color="auto"/>
      </w:divBdr>
    </w:div>
    <w:div w:id="941304258">
      <w:bodyDiv w:val="1"/>
      <w:marLeft w:val="0"/>
      <w:marRight w:val="0"/>
      <w:marTop w:val="0"/>
      <w:marBottom w:val="0"/>
      <w:divBdr>
        <w:top w:val="none" w:sz="0" w:space="0" w:color="auto"/>
        <w:left w:val="none" w:sz="0" w:space="0" w:color="auto"/>
        <w:bottom w:val="none" w:sz="0" w:space="0" w:color="auto"/>
        <w:right w:val="none" w:sz="0" w:space="0" w:color="auto"/>
      </w:divBdr>
    </w:div>
    <w:div w:id="1006517155">
      <w:bodyDiv w:val="1"/>
      <w:marLeft w:val="0"/>
      <w:marRight w:val="0"/>
      <w:marTop w:val="0"/>
      <w:marBottom w:val="0"/>
      <w:divBdr>
        <w:top w:val="none" w:sz="0" w:space="0" w:color="auto"/>
        <w:left w:val="none" w:sz="0" w:space="0" w:color="auto"/>
        <w:bottom w:val="none" w:sz="0" w:space="0" w:color="auto"/>
        <w:right w:val="none" w:sz="0" w:space="0" w:color="auto"/>
      </w:divBdr>
    </w:div>
    <w:div w:id="1236628362">
      <w:bodyDiv w:val="1"/>
      <w:marLeft w:val="0"/>
      <w:marRight w:val="0"/>
      <w:marTop w:val="0"/>
      <w:marBottom w:val="0"/>
      <w:divBdr>
        <w:top w:val="none" w:sz="0" w:space="0" w:color="auto"/>
        <w:left w:val="none" w:sz="0" w:space="0" w:color="auto"/>
        <w:bottom w:val="none" w:sz="0" w:space="0" w:color="auto"/>
        <w:right w:val="none" w:sz="0" w:space="0" w:color="auto"/>
      </w:divBdr>
    </w:div>
    <w:div w:id="1310793589">
      <w:bodyDiv w:val="1"/>
      <w:marLeft w:val="0"/>
      <w:marRight w:val="0"/>
      <w:marTop w:val="0"/>
      <w:marBottom w:val="0"/>
      <w:divBdr>
        <w:top w:val="none" w:sz="0" w:space="0" w:color="auto"/>
        <w:left w:val="none" w:sz="0" w:space="0" w:color="auto"/>
        <w:bottom w:val="none" w:sz="0" w:space="0" w:color="auto"/>
        <w:right w:val="none" w:sz="0" w:space="0" w:color="auto"/>
      </w:divBdr>
    </w:div>
    <w:div w:id="1527134971">
      <w:bodyDiv w:val="1"/>
      <w:marLeft w:val="0"/>
      <w:marRight w:val="0"/>
      <w:marTop w:val="0"/>
      <w:marBottom w:val="0"/>
      <w:divBdr>
        <w:top w:val="none" w:sz="0" w:space="0" w:color="auto"/>
        <w:left w:val="none" w:sz="0" w:space="0" w:color="auto"/>
        <w:bottom w:val="none" w:sz="0" w:space="0" w:color="auto"/>
        <w:right w:val="none" w:sz="0" w:space="0" w:color="auto"/>
      </w:divBdr>
    </w:div>
    <w:div w:id="1669407989">
      <w:bodyDiv w:val="1"/>
      <w:marLeft w:val="0"/>
      <w:marRight w:val="0"/>
      <w:marTop w:val="0"/>
      <w:marBottom w:val="0"/>
      <w:divBdr>
        <w:top w:val="none" w:sz="0" w:space="0" w:color="auto"/>
        <w:left w:val="none" w:sz="0" w:space="0" w:color="auto"/>
        <w:bottom w:val="none" w:sz="0" w:space="0" w:color="auto"/>
        <w:right w:val="none" w:sz="0" w:space="0" w:color="auto"/>
      </w:divBdr>
    </w:div>
    <w:div w:id="1826507348">
      <w:bodyDiv w:val="1"/>
      <w:marLeft w:val="0"/>
      <w:marRight w:val="0"/>
      <w:marTop w:val="0"/>
      <w:marBottom w:val="0"/>
      <w:divBdr>
        <w:top w:val="none" w:sz="0" w:space="0" w:color="auto"/>
        <w:left w:val="none" w:sz="0" w:space="0" w:color="auto"/>
        <w:bottom w:val="none" w:sz="0" w:space="0" w:color="auto"/>
        <w:right w:val="none" w:sz="0" w:space="0" w:color="auto"/>
      </w:divBdr>
    </w:div>
    <w:div w:id="1868643200">
      <w:bodyDiv w:val="1"/>
      <w:marLeft w:val="0"/>
      <w:marRight w:val="0"/>
      <w:marTop w:val="0"/>
      <w:marBottom w:val="0"/>
      <w:divBdr>
        <w:top w:val="none" w:sz="0" w:space="0" w:color="auto"/>
        <w:left w:val="none" w:sz="0" w:space="0" w:color="auto"/>
        <w:bottom w:val="none" w:sz="0" w:space="0" w:color="auto"/>
        <w:right w:val="none" w:sz="0" w:space="0" w:color="auto"/>
      </w:divBdr>
    </w:div>
    <w:div w:id="1970240816">
      <w:bodyDiv w:val="1"/>
      <w:marLeft w:val="0"/>
      <w:marRight w:val="0"/>
      <w:marTop w:val="0"/>
      <w:marBottom w:val="0"/>
      <w:divBdr>
        <w:top w:val="none" w:sz="0" w:space="0" w:color="auto"/>
        <w:left w:val="none" w:sz="0" w:space="0" w:color="auto"/>
        <w:bottom w:val="none" w:sz="0" w:space="0" w:color="auto"/>
        <w:right w:val="none" w:sz="0" w:space="0" w:color="auto"/>
      </w:divBdr>
    </w:div>
    <w:div w:id="21469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po.dolnyslask.pl/o-projekcie/przeczytaj-analizy-raporty-i-podsumowania/ewaluacj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po.dolnyslask.pl/o-projekcie/przeczytaj-analizy-raporty-i-podsumowania/sprawozdania/" TargetMode="External"/><Relationship Id="rId17" Type="http://schemas.openxmlformats.org/officeDocument/2006/relationships/hyperlink" Target="https://zdm.waw.pl/wp-content/uploads/2020/11/Pomiary-ruchu-rowerowego-2020-w-Warszawie-raport.pdf" TargetMode="External"/><Relationship Id="rId2" Type="http://schemas.openxmlformats.org/officeDocument/2006/relationships/numbering" Target="numbering.xml"/><Relationship Id="rId16" Type="http://schemas.openxmlformats.org/officeDocument/2006/relationships/hyperlink" Target="https://www.ewaluacja.gov.pl/strony/monitorowanie/lista-wskaznikow-kluczowych/"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rateg.stat.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dl.stat.gov.pl/bdl/sta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ABCD-AC7E-4D02-8011-F4300D6C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188</Pages>
  <Words>78864</Words>
  <Characters>473187</Characters>
  <Application>Microsoft Office Word</Application>
  <DocSecurity>0</DocSecurity>
  <Lines>3943</Lines>
  <Paragraphs>1101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Gancarz</dc:creator>
  <cp:lastModifiedBy>Justyna Kocor</cp:lastModifiedBy>
  <cp:revision>8</cp:revision>
  <cp:lastPrinted>2022-11-28T08:52:00Z</cp:lastPrinted>
  <dcterms:created xsi:type="dcterms:W3CDTF">2022-11-27T16:57:00Z</dcterms:created>
  <dcterms:modified xsi:type="dcterms:W3CDTF">2022-12-15T12:07:00Z</dcterms:modified>
</cp:coreProperties>
</file>