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E1B7A" w14:textId="479AC1B6" w:rsidR="001E2A11" w:rsidRDefault="001E2A11" w:rsidP="001E2A11">
      <w:pPr>
        <w:ind w:left="6372"/>
      </w:pPr>
      <w:r>
        <w:rPr>
          <w:rFonts w:cs="Calibri"/>
        </w:rPr>
        <w:t xml:space="preserve">Załącznik nr </w:t>
      </w:r>
      <w:r>
        <w:rPr>
          <w:rFonts w:cs="Calibri"/>
        </w:rPr>
        <w:t xml:space="preserve">3 </w:t>
      </w:r>
      <w:r>
        <w:rPr>
          <w:rFonts w:cs="Calibri"/>
        </w:rPr>
        <w:t xml:space="preserve">do programu </w:t>
      </w:r>
      <w:r>
        <w:rPr>
          <w:color w:val="000000"/>
        </w:rPr>
        <w:t>Fundusze Europejskie dla Dolnego Śląska 2021-2027</w:t>
      </w:r>
    </w:p>
    <w:p w14:paraId="2C96A4F4" w14:textId="20960417" w:rsidR="00783E0F" w:rsidRDefault="00783E0F" w:rsidP="00644235">
      <w:pPr>
        <w:spacing w:before="100" w:after="0" w:line="240" w:lineRule="auto"/>
        <w:rPr>
          <w:rFonts w:ascii="Times New Roman" w:eastAsia="Times New Roman" w:hAnsi="Times New Roman" w:cs="Times New Roman"/>
          <w:bCs/>
          <w:noProof/>
          <w:color w:val="000000"/>
          <w:kern w:val="32"/>
          <w:sz w:val="24"/>
          <w:szCs w:val="32"/>
        </w:rPr>
      </w:pPr>
      <w:r w:rsidRPr="00783E0F">
        <w:rPr>
          <w:rFonts w:ascii="Times New Roman" w:eastAsia="Times New Roman" w:hAnsi="Times New Roman" w:cs="Times New Roman"/>
          <w:bCs/>
          <w:noProof/>
          <w:color w:val="000000"/>
          <w:kern w:val="32"/>
          <w:sz w:val="24"/>
          <w:szCs w:val="32"/>
        </w:rPr>
        <w:t xml:space="preserve">Opis spełnienia Warunków podstawowych </w:t>
      </w:r>
    </w:p>
    <w:p w14:paraId="0175DA91" w14:textId="5E383002" w:rsidR="00644235" w:rsidRPr="00644235" w:rsidRDefault="00644235" w:rsidP="00644235">
      <w:pPr>
        <w:spacing w:before="100" w:after="0" w:line="240" w:lineRule="auto"/>
        <w:rPr>
          <w:rFonts w:ascii="Times New Roman" w:eastAsia="Times New Roman" w:hAnsi="Times New Roman" w:cs="Times New Roman"/>
          <w:noProof/>
          <w:color w:val="000000"/>
          <w:sz w:val="0"/>
          <w:szCs w:val="24"/>
        </w:rPr>
      </w:pPr>
      <w:r w:rsidRPr="00644235">
        <w:rPr>
          <w:rFonts w:ascii="Times New Roman" w:eastAsia="Times New Roman" w:hAnsi="Times New Roman" w:cs="Times New Roman"/>
          <w:noProof/>
          <w:color w:val="000000"/>
          <w:sz w:val="24"/>
          <w:szCs w:val="24"/>
        </w:rPr>
        <w:t>Podstawa prawna: art. 22 ust. 3 lit. i) rozporządzenia w sprawie wspólnych przepisów</w:t>
      </w:r>
    </w:p>
    <w:p w14:paraId="214E9344" w14:textId="77777777" w:rsidR="00644235" w:rsidRPr="00644235" w:rsidRDefault="00644235" w:rsidP="00644235">
      <w:pPr>
        <w:spacing w:before="100" w:after="0" w:line="240" w:lineRule="auto"/>
        <w:rPr>
          <w:rFonts w:ascii="Times New Roman" w:eastAsia="Times New Roman" w:hAnsi="Times New Roman" w:cs="Times New Roman"/>
          <w:noProof/>
          <w:color w:val="000000"/>
          <w:sz w:val="24"/>
          <w:szCs w:val="24"/>
          <w:lang w:val="en-US"/>
        </w:rPr>
      </w:pPr>
      <w:r w:rsidRPr="00644235">
        <w:rPr>
          <w:rFonts w:ascii="Times New Roman" w:eastAsia="Times New Roman" w:hAnsi="Times New Roman" w:cs="Times New Roman"/>
          <w:noProof/>
          <w:color w:val="000000"/>
          <w:sz w:val="24"/>
          <w:szCs w:val="24"/>
          <w:lang w:val="en-US"/>
        </w:rPr>
        <w:t>Tabela 12: Warunki podstawowe</w:t>
      </w:r>
    </w:p>
    <w:p w14:paraId="5E746015" w14:textId="77777777" w:rsidR="00644235" w:rsidRPr="00644235" w:rsidRDefault="00644235" w:rsidP="00644235">
      <w:pPr>
        <w:spacing w:before="100" w:after="0" w:line="240" w:lineRule="auto"/>
        <w:rPr>
          <w:rFonts w:ascii="Times New Roman" w:eastAsia="Times New Roman" w:hAnsi="Times New Roman" w:cs="Times New Roman"/>
          <w:noProof/>
          <w:color w:val="000000"/>
          <w:sz w:val="12"/>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800"/>
        <w:gridCol w:w="1600"/>
        <w:gridCol w:w="1000"/>
        <w:gridCol w:w="2800"/>
        <w:gridCol w:w="1000"/>
        <w:gridCol w:w="3400"/>
        <w:gridCol w:w="3400"/>
      </w:tblGrid>
      <w:tr w:rsidR="00644235" w:rsidRPr="00EE14D2" w14:paraId="4E182368" w14:textId="77777777" w:rsidTr="00644235">
        <w:trPr>
          <w:tblHeader/>
          <w:jc w:val="center"/>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96FCCE"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Warunek podstawowy</w:t>
            </w:r>
          </w:p>
        </w:tc>
        <w:tc>
          <w:tcPr>
            <w:tcW w:w="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6D2DAD"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Fundusz</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7DFA39"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Cel szczegółowy</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F53545"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Spełnienie warunku podstawowego</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098CBB"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Kryteria</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68B4BB"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Spełnienie kryteriów</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EA38C2"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Odniesienie do odpowiednich dokumentów</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90479D"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Uzasadnienie</w:t>
            </w:r>
          </w:p>
        </w:tc>
      </w:tr>
      <w:tr w:rsidR="00644235" w:rsidRPr="00EE14D2" w14:paraId="4EBC99F7" w14:textId="77777777" w:rsidTr="00644235">
        <w:trPr>
          <w:jc w:val="center"/>
        </w:trPr>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1330AA"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1. Skuteczne mechanizmy monitorowania rynku zamówień publicznych</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3EA21A"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DDB00F"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B82FF4"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Tak</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146AE6"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Istnienie mechanizmów monitorowania obejmujących wszystkie umowy w sprawie zamówień publicznych oraz postępowania w sprawie tych zamówień w ramach Funduszy zgodnie z prawodawstwem Unii dotyczącym zamówień. Wymóg ten obejmuje:</w:t>
            </w:r>
          </w:p>
          <w:p w14:paraId="5555C96D"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1. rozwiązania mające zapewnić gromadzenie faktycznych i wiarygodnych danych dotyczących postępowań w sprawie zamówień publicznych o wartości powyżej unijnych progów zgodnie z obowiązkami sprawozdawczymi na mocy art. 83 i 84 dyrektywy 2014/24/UE oraz art. 99 i 100 dyrektywy 2014/25/UE;</w:t>
            </w:r>
          </w:p>
          <w:p w14:paraId="571D4C90"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0F14B8"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E28CBC" w14:textId="77777777" w:rsidR="00BD41C0" w:rsidRPr="00EE14D2" w:rsidRDefault="00BD41C0" w:rsidP="00BD41C0">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Warunek spełniony poprzez Ustawę z dnia 11 września 2019 r. - Prawo zamówień publicznych (Dz.U. 2019 poz. 2019) oraz Rozporządzenia Ministra Rozwoju i Finansów z dnia 15 grudnia 2016 r. w sprawie informacji zawartych w rocznym sprawozdaniu o udzielonych zamówieniach, jego wzoru oraz sposobu przekazywania (Dz. U. 2016 poz. 2038). Zgodnie z Art. 83 i 84 dyrektywy 2014/24/UE oraz art. 99 i 100 dyrektywy 2014/25/UE) Urząd Zamówień Publicznych (UZP) przygotowuje co 3 lata sprawozdania z monitorowania sytemu zamówień publicznych oparte o dane otrzymywane od zamawiających w rocznych sprawozdaniach o udzielonych zamówieniach publicznych, dane pochodzące z bazy TED (Tenders Electronic Daily będącej „Suplementem do Dziennika Urzędowego Unii Europejskiej") oraz informacje o wynikach kontroli  prowadzonych przez Prezesa UZP. </w:t>
            </w:r>
          </w:p>
          <w:p w14:paraId="0A3DCDFC" w14:textId="77777777" w:rsidR="00BD41C0" w:rsidRPr="00EE14D2" w:rsidRDefault="00BD41C0" w:rsidP="00BD41C0">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 xml:space="preserve">UZP ma dostęp do wszystkich danych wymaganych w ramach warunkowości podstawowej łącznie z danymi dotyczącymi finalnej ceny po wykonaniu zamówienia. W przypadku podejrzenia zmowy przetargowej, UZP przekazuje informację w tym zakresie do UOKiK, z którym na podstawie odrębnego porozumienia realizowana jest współpraca obu instytucji i wymiana informacji. </w:t>
            </w:r>
          </w:p>
          <w:p w14:paraId="0013ED2E" w14:textId="77777777" w:rsidR="00BD41C0" w:rsidRPr="00EE14D2" w:rsidRDefault="00BD41C0" w:rsidP="00BD41C0">
            <w:pPr>
              <w:spacing w:before="100" w:after="0" w:line="240" w:lineRule="auto"/>
              <w:rPr>
                <w:rFonts w:ascii="Times New Roman" w:eastAsia="Times New Roman" w:hAnsi="Times New Roman" w:cs="Times New Roman"/>
                <w:noProof/>
                <w:color w:val="000000"/>
                <w:sz w:val="20"/>
                <w:szCs w:val="20"/>
              </w:rPr>
            </w:pPr>
          </w:p>
          <w:p w14:paraId="3694B8CA" w14:textId="177EACC5" w:rsidR="00644235" w:rsidRPr="00EE14D2" w:rsidRDefault="00BD41C0" w:rsidP="00BD41C0">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Link do ustawy: http://isap.sejm.gov.pl/isap.nsf/download.xsp/WDU20190002019/U/D20192019Lj.pdf</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81F5BA"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Zgodnie z obowiązkami wynikającymi z dyrektyw, UZP przygotowuje co 3 lata sprawozdania z monitorowania sytemu zamówień publicznych oparte o dane otrzymywane od zamawiających w rocznych sprawozdaniach o udzielonych zamówieniach publicznych, dane pochodzące z TED oraz informacje o wynikach kontroli prowadzonych przez Prezesa UZP.</w:t>
            </w:r>
          </w:p>
        </w:tc>
      </w:tr>
      <w:tr w:rsidR="00644235" w:rsidRPr="00EE14D2" w14:paraId="11712B3E" w14:textId="77777777" w:rsidTr="00644235">
        <w:trPr>
          <w:jc w:val="center"/>
        </w:trPr>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6B77D1"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E06AAA"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68B826"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6D7314"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E4A7F9"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2. rozwiązania mające zapewnić, by dane obejmowały co najmniej następujące elementy: </w:t>
            </w:r>
          </w:p>
          <w:p w14:paraId="7D0CCFE6"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a) jakość i natężenie konkurencji: nazwiska/nazwy zwycięskich oferentów, liczba oferentów na początku postępowania oraz wartość umowy; </w:t>
            </w:r>
          </w:p>
          <w:p w14:paraId="6F909F97"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b) informacja o ostatecznej cenie po zakończeniu postępowania i o udziale MŚP jako bezpośrednich oferentów, w przypadku gdy systemy krajowe podają takie informacje;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475992"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7326D4"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p w14:paraId="731B7B5A" w14:textId="77777777" w:rsidR="00A115EC" w:rsidRPr="00EE14D2" w:rsidRDefault="00A115EC" w:rsidP="00A115E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Warunek spełniony poprzez Ustawę z dnia 11 września 2019 r. - Prawo zamówień publicznych (Dz.U. 2019 poz. 2019) oraz Rozporządzenia Ministra Rozwoju i Finansów z dnia 15 grudnia 2016 r. w sprawie informacji zawartych w rocznym sprawozdaniu o udzielonych zamówieniach, jego wzoru oraz sposobu przekazywania (Dz. U. 2016 poz. 2038). Zgodnie z Art. 83 i 84 dyrektywy 2014/24/UE oraz art. 99 i 100 dyrektywy 2014/25/UE) Urząd Zamówień Publicznych (UZP) przygotowuje co 3 lata sprawozdania z </w:t>
            </w:r>
            <w:r w:rsidRPr="00EE14D2">
              <w:rPr>
                <w:rFonts w:ascii="Times New Roman" w:eastAsia="Times New Roman" w:hAnsi="Times New Roman" w:cs="Times New Roman"/>
                <w:noProof/>
                <w:color w:val="000000"/>
                <w:sz w:val="20"/>
                <w:szCs w:val="20"/>
              </w:rPr>
              <w:lastRenderedPageBreak/>
              <w:t xml:space="preserve">monitorowania sytemu zamówień publicznych oparte o dane otrzymywane od zamawiających w rocznych sprawozdaniach o udzielonych zamówieniach publicznych, dane pochodzące z bazy TED (Tenders Electronic Daily będącej „Suplementem do Dziennika Urzędowego Unii Europejskiej") oraz informacje o wynikach kontroli  prowadzonych przez Prezesa UZP. </w:t>
            </w:r>
          </w:p>
          <w:p w14:paraId="00582143" w14:textId="77777777" w:rsidR="00A115EC" w:rsidRPr="00EE14D2" w:rsidRDefault="00A115EC" w:rsidP="00A115E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UZP ma dostęp do wszystkich danych wymaganych w ramach warunkowości podstawowej łącznie z danymi dotyczącymi finalnej ceny po wykonaniu zamówienia. W przypadku podejrzenia zmowy przetargowej, UZP przekazuje informację w tym zakresie do UOKiK, z którym na podstawie odrębnego porozumienia realizowana jest współpraca obu instytucji i wymiana informacji. </w:t>
            </w:r>
          </w:p>
          <w:p w14:paraId="5000BAAA" w14:textId="77777777" w:rsidR="00A115EC" w:rsidRPr="00EE14D2" w:rsidRDefault="00A115EC" w:rsidP="00A115EC">
            <w:pPr>
              <w:spacing w:before="100" w:after="0" w:line="240" w:lineRule="auto"/>
              <w:rPr>
                <w:rFonts w:ascii="Times New Roman" w:eastAsia="Times New Roman" w:hAnsi="Times New Roman" w:cs="Times New Roman"/>
                <w:noProof/>
                <w:color w:val="000000"/>
                <w:sz w:val="20"/>
                <w:szCs w:val="20"/>
              </w:rPr>
            </w:pPr>
          </w:p>
          <w:p w14:paraId="6C52E92A" w14:textId="4705F5DC" w:rsidR="00A115EC" w:rsidRPr="00EE14D2" w:rsidRDefault="00A115EC" w:rsidP="00A115E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Link do ustawy: http://isap.sejm.gov.pl/isap.nsf/download.xsp/WDU20190002019/U/D20192019Lj.pdf</w:t>
            </w:r>
          </w:p>
          <w:p w14:paraId="66AE328E"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D65B16"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UZP posiada dostęp do wszystkich danych wymaganych w ramach warunkowości podstawowej (dane pochodzą z bazy TED prowadzonej przez KE  ze sprawozdań rocznych przedkładanych Prezesowi UZP przez zamawiających oraz bazy BZP.</w:t>
            </w:r>
          </w:p>
        </w:tc>
      </w:tr>
      <w:tr w:rsidR="00644235" w:rsidRPr="00EE14D2" w14:paraId="41E81EFE" w14:textId="77777777" w:rsidTr="00644235">
        <w:trPr>
          <w:jc w:val="center"/>
        </w:trPr>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94B19B"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6E571C"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1091CF"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B6745D"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9AD62C"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3. rozwiązania mające zapewnić monitorowanie i analizę danych przez właściwe organy krajowe </w:t>
            </w:r>
            <w:r w:rsidRPr="00EE14D2">
              <w:rPr>
                <w:rFonts w:ascii="Times New Roman" w:eastAsia="Times New Roman" w:hAnsi="Times New Roman" w:cs="Times New Roman"/>
                <w:noProof/>
                <w:color w:val="000000"/>
                <w:sz w:val="20"/>
                <w:szCs w:val="20"/>
              </w:rPr>
              <w:lastRenderedPageBreak/>
              <w:t>zgodnie z art. 83 ust. 2 dyrektywy 2014/24/UE i art. 99 ust. 2 dyrektywy 2014/25/UE;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173AEE"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lastRenderedPageBreak/>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10EDA8"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p w14:paraId="01D618D0" w14:textId="77777777" w:rsidR="00A115EC" w:rsidRPr="00EE14D2" w:rsidRDefault="00A115EC" w:rsidP="00A115E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Warunek spełniony poprzez Ustawę z dnia 11 września 2019 r. - Prawo </w:t>
            </w:r>
            <w:r w:rsidRPr="00EE14D2">
              <w:rPr>
                <w:rFonts w:ascii="Times New Roman" w:eastAsia="Times New Roman" w:hAnsi="Times New Roman" w:cs="Times New Roman"/>
                <w:noProof/>
                <w:color w:val="000000"/>
                <w:sz w:val="20"/>
                <w:szCs w:val="20"/>
              </w:rPr>
              <w:lastRenderedPageBreak/>
              <w:t xml:space="preserve">zamówień publicznych (Dz.U. 2019 poz. 2019) oraz Rozporządzenia Ministra Rozwoju i Finansów z dnia 15 grudnia 2016 r. w sprawie informacji zawartych w rocznym sprawozdaniu o udzielonych zamówieniach, jego wzoru oraz sposobu przekazywania (Dz. U. 2016 poz. 2038). Zgodnie z Art. 83 i 84 dyrektywy 2014/24/UE oraz art. 99 i 100 dyrektywy 2014/25/UE) Urząd Zamówień Publicznych (UZP) przygotowuje co 3 lata sprawozdania z monitorowania sytemu zamówień publicznych oparte o dane otrzymywane od zamawiających w rocznych sprawozdaniach o udzielonych zamówieniach publicznych, dane pochodzące z bazy TED (Tenders Electronic Daily będącej „Suplementem do Dziennika Urzędowego Unii Europejskiej") oraz informacje o wynikach kontroli  prowadzonych przez Prezesa UZP. </w:t>
            </w:r>
          </w:p>
          <w:p w14:paraId="0D829192" w14:textId="77777777" w:rsidR="00A115EC" w:rsidRPr="00EE14D2" w:rsidRDefault="00A115EC" w:rsidP="00A115E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UZP ma dostęp do wszystkich danych wymaganych w ramach warunkowości podstawowej łącznie z danymi dotyczącymi finalnej ceny po wykonaniu zamówienia. W przypadku podejrzenia zmowy przetargowej, UZP przekazuje informację w tym zakresie do UOKiK, z którym na podstawie odrębnego porozumienia realizowana </w:t>
            </w:r>
            <w:r w:rsidRPr="00EE14D2">
              <w:rPr>
                <w:rFonts w:ascii="Times New Roman" w:eastAsia="Times New Roman" w:hAnsi="Times New Roman" w:cs="Times New Roman"/>
                <w:noProof/>
                <w:color w:val="000000"/>
                <w:sz w:val="20"/>
                <w:szCs w:val="20"/>
              </w:rPr>
              <w:lastRenderedPageBreak/>
              <w:t xml:space="preserve">jest współpraca obu instytucji i wymiana informacji. </w:t>
            </w:r>
          </w:p>
          <w:p w14:paraId="651755BF" w14:textId="77777777" w:rsidR="00A115EC" w:rsidRPr="00EE14D2" w:rsidRDefault="00A115EC" w:rsidP="00A115EC">
            <w:pPr>
              <w:spacing w:before="100" w:after="0" w:line="240" w:lineRule="auto"/>
              <w:rPr>
                <w:rFonts w:ascii="Times New Roman" w:eastAsia="Times New Roman" w:hAnsi="Times New Roman" w:cs="Times New Roman"/>
                <w:noProof/>
                <w:color w:val="000000"/>
                <w:sz w:val="20"/>
                <w:szCs w:val="20"/>
              </w:rPr>
            </w:pPr>
          </w:p>
          <w:p w14:paraId="3AC0A986" w14:textId="4B416AB6" w:rsidR="00A115EC" w:rsidRPr="00EE14D2" w:rsidRDefault="00A115EC" w:rsidP="00A115E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Link do ustawy: http://isap.sejm.gov.pl/isap.nsf/download.xsp/WDU20190002019/U/D20192019Lj.pdf</w:t>
            </w:r>
          </w:p>
          <w:p w14:paraId="1AB7ADBE"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912293"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 xml:space="preserve">Zgodnie z obowiązkami wynikającymi z dyrektyw, UZP przygotowuje co 3 lata sprawozdania z monitorowania sytemu </w:t>
            </w:r>
            <w:r w:rsidRPr="00EE14D2">
              <w:rPr>
                <w:rFonts w:ascii="Times New Roman" w:eastAsia="Times New Roman" w:hAnsi="Times New Roman" w:cs="Times New Roman"/>
                <w:noProof/>
                <w:color w:val="000000"/>
                <w:sz w:val="20"/>
                <w:szCs w:val="20"/>
              </w:rPr>
              <w:lastRenderedPageBreak/>
              <w:t>zamówień publicznych oparte o dane otrzymywane od zamawiających w rocznych sprawozdaniach o udzielonych zamówieniach publicznych, dane pochodzące z TED oraz informacje o wynikach kontroli prowadzonych przez Prezesa UZP.</w:t>
            </w:r>
          </w:p>
        </w:tc>
      </w:tr>
      <w:tr w:rsidR="00644235" w:rsidRPr="00EE14D2" w14:paraId="78532E1E" w14:textId="77777777" w:rsidTr="00644235">
        <w:trPr>
          <w:jc w:val="center"/>
        </w:trPr>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F9DBF5"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77E5C7"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B6B75E"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A57FB4"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2109DC"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4. rozwiązania mające zapewnić, by wyniki analiz były udostępniane publicznie zgodnie z art. 83 ust. 3 dyrektywy 2014/24/UE oraz art. 99 ust. 3 dyrektywy 2014/25/UE;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84254C"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404F41" w14:textId="2ACF1716"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FF0000"/>
                <w:sz w:val="20"/>
                <w:szCs w:val="20"/>
              </w:rPr>
              <w:t xml:space="preserve"> </w:t>
            </w:r>
          </w:p>
          <w:p w14:paraId="2053FA90" w14:textId="77777777" w:rsidR="00A115EC" w:rsidRPr="00EE14D2" w:rsidRDefault="00A115EC" w:rsidP="00A115E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Warunek spełniony poprzez Ustawę z dnia 11 września 2019 r. - Prawo zamówień publicznych (Dz.U. 2019 poz. 2019) oraz Rozporządzenia Ministra Rozwoju i Finansów z dnia 15 grudnia 2016 r. w sprawie informacji zawartych w rocznym sprawozdaniu o udzielonych zamówieniach, jego wzoru oraz sposobu przekazywania (Dz. U. 2016 poz. 2038). Zgodnie z Art. 83 i 84 dyrektywy 2014/24/UE oraz art. 99 i 100 dyrektywy 2014/25/UE) Urząd Zamówień Publicznych (UZP) przygotowuje co 3 lata sprawozdania z monitorowania sytemu zamówień publicznych oparte o dane otrzymywane od zamawiających w rocznych sprawozdaniach o udzielonych zamówieniach publicznych, dane pochodzące z bazy TED (Tenders Electronic Daily będącej „Suplementem do Dziennika Urzędowego Unii </w:t>
            </w:r>
            <w:r w:rsidRPr="00EE14D2">
              <w:rPr>
                <w:rFonts w:ascii="Times New Roman" w:eastAsia="Times New Roman" w:hAnsi="Times New Roman" w:cs="Times New Roman"/>
                <w:noProof/>
                <w:color w:val="000000"/>
                <w:sz w:val="20"/>
                <w:szCs w:val="20"/>
              </w:rPr>
              <w:lastRenderedPageBreak/>
              <w:t xml:space="preserve">Europejskiej") oraz informacje o wynikach kontroli  prowadzonych przez Prezesa UZP. </w:t>
            </w:r>
          </w:p>
          <w:p w14:paraId="50C02999" w14:textId="77777777" w:rsidR="00A115EC" w:rsidRPr="00EE14D2" w:rsidRDefault="00A115EC" w:rsidP="00A115E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UZP ma dostęp do wszystkich danych wymaganych w ramach warunkowości podstawowej łącznie z danymi dotyczącymi finalnej ceny po wykonaniu zamówienia. W przypadku podejrzenia zmowy przetargowej, UZP przekazuje informację w tym zakresie do UOKiK, z którym na podstawie odrębnego porozumienia realizowana jest współpraca obu instytucji i wymiana informacji. </w:t>
            </w:r>
          </w:p>
          <w:p w14:paraId="7708B0C4" w14:textId="77777777" w:rsidR="00A115EC" w:rsidRPr="00EE14D2" w:rsidRDefault="00A115EC" w:rsidP="00A115EC">
            <w:pPr>
              <w:spacing w:before="100" w:after="0" w:line="240" w:lineRule="auto"/>
              <w:rPr>
                <w:rFonts w:ascii="Times New Roman" w:eastAsia="Times New Roman" w:hAnsi="Times New Roman" w:cs="Times New Roman"/>
                <w:noProof/>
                <w:color w:val="000000"/>
                <w:sz w:val="20"/>
                <w:szCs w:val="20"/>
              </w:rPr>
            </w:pPr>
          </w:p>
          <w:p w14:paraId="5E2D437C" w14:textId="23723568" w:rsidR="00644235" w:rsidRPr="00EE14D2" w:rsidRDefault="00A115EC" w:rsidP="00A115E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Link do ustawy: http://isap.sejm.gov.pl/isap.nsf/download.xsp/WDU20190002019/U/D20192019Lj.pdf</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82C1D8"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UZP publikuje na swojej stronie roczne raporty z funkcjonowania systemu zamówień publicznych oraz okresowe Biuletyny Informacyjne.</w:t>
            </w:r>
          </w:p>
        </w:tc>
      </w:tr>
      <w:tr w:rsidR="00644235" w:rsidRPr="00EE14D2" w14:paraId="3516ABD0" w14:textId="77777777" w:rsidTr="00644235">
        <w:trPr>
          <w:jc w:val="center"/>
        </w:trPr>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1D2D03"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548629"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ABA3F8"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BE291B"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3B9347"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5. rozwiązania mające zapewnić, by wszelkie informacje wskazujące na przypadki podejrzewanej zmowy przetargowej były przekazywane właściwym organom krajowym zgodnie z art. 83 ust. 2 dyrektywy 2014/24/UE oraz art. 99 ust. 2 dyrektywy 2014/25/UE.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8DD38C"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2392AA" w14:textId="77777777" w:rsidR="00CF34A6" w:rsidRPr="00EE14D2" w:rsidRDefault="00CF34A6" w:rsidP="00CF34A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Warunek spełniony poprzez Ustawę z dnia 11 września 2019 r. - Prawo zamówień publicznych (Dz.U. 2019 poz. 2019) oraz Rozporządzenia Ministra Rozwoju i Finansów z dnia 15 grudnia 2016 r. w sprawie informacji zawartych w rocznym sprawozdaniu o udzielonych zamówieniach, jego wzoru oraz sposobu przekazywania (Dz. U. 2016 poz. 2038). Zgodnie z Art. 83 i 84 dyrektywy 2014/24/UE oraz art. 99 i 100 dyrektywy 2014/25/UE) Urząd Zamówień Publicznych (UZP) </w:t>
            </w:r>
            <w:r w:rsidRPr="00EE14D2">
              <w:rPr>
                <w:rFonts w:ascii="Times New Roman" w:eastAsia="Times New Roman" w:hAnsi="Times New Roman" w:cs="Times New Roman"/>
                <w:noProof/>
                <w:color w:val="000000"/>
                <w:sz w:val="20"/>
                <w:szCs w:val="20"/>
              </w:rPr>
              <w:lastRenderedPageBreak/>
              <w:t xml:space="preserve">przygotowuje co 3 lata sprawozdania z monitorowania sytemu zamówień publicznych oparte o dane otrzymywane od zamawiających w rocznych sprawozdaniach o udzielonych zamówieniach publicznych, dane pochodzące z bazy TED (Tenders Electronic Daily będącej „Suplementem do Dziennika Urzędowego Unii Europejskiej") oraz informacje o wynikach kontroli  prowadzonych przez Prezesa UZP. </w:t>
            </w:r>
          </w:p>
          <w:p w14:paraId="09BE811E" w14:textId="77777777" w:rsidR="00CF34A6" w:rsidRPr="00EE14D2" w:rsidRDefault="00CF34A6" w:rsidP="00CF34A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UZP ma dostęp do wszystkich danych wymaganych w ramach warunkowości podstawowej łącznie z danymi dotyczącymi finalnej ceny po wykonaniu zamówienia. W przypadku podejrzenia zmowy przetargowej, UZP przekazuje informację w tym zakresie do UOKiK, z którym na podstawie odrębnego porozumienia realizowana jest współpraca obu instytucji i wymiana informacji. </w:t>
            </w:r>
          </w:p>
          <w:p w14:paraId="6C6C0AF3" w14:textId="77777777" w:rsidR="00CF34A6" w:rsidRPr="00EE14D2" w:rsidRDefault="00CF34A6" w:rsidP="00CF34A6">
            <w:pPr>
              <w:spacing w:before="100" w:after="0" w:line="240" w:lineRule="auto"/>
              <w:rPr>
                <w:rFonts w:ascii="Times New Roman" w:eastAsia="Times New Roman" w:hAnsi="Times New Roman" w:cs="Times New Roman"/>
                <w:noProof/>
                <w:color w:val="000000"/>
                <w:sz w:val="20"/>
                <w:szCs w:val="20"/>
              </w:rPr>
            </w:pPr>
          </w:p>
          <w:p w14:paraId="0B504365" w14:textId="07ED0F2E" w:rsidR="00644235" w:rsidRPr="00EE14D2" w:rsidRDefault="00CF34A6" w:rsidP="00CF34A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Link do ustawy: http://isap.sejm.gov.pl/isap.nsf/download.xsp/WDU20190002019/U/D20192019Lj.pdf</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36242E"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W przypadku powstania w toku kontroli prowadzonej przez UZP podejrzenia, że w postepowaniu mogło dojść do zmowy przetargowej UZP przekazuje stosowną informację w tym zakresie do UOKIK. Pomiędzy UZP i UOKIK zostało także podpisane porozumienie zakładające współpracę obydwu instytucji, wymianę informacji i doświadczeń. Niezależnie od powyższego instytucje oraz podmioty zamawiające mogą bezpośrednio zwrócić się do UOKIK w przypadku podejrzenia zmowy przetargowej.</w:t>
            </w:r>
          </w:p>
        </w:tc>
      </w:tr>
      <w:tr w:rsidR="00644235" w:rsidRPr="00EE14D2" w14:paraId="1CA2010D" w14:textId="77777777" w:rsidTr="00644235">
        <w:trPr>
          <w:jc w:val="center"/>
        </w:trPr>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CA1FC2"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2. Narzędzia i zdolności umożliwiające skuteczne </w:t>
            </w:r>
            <w:r w:rsidRPr="00EE14D2">
              <w:rPr>
                <w:rFonts w:ascii="Times New Roman" w:eastAsia="Times New Roman" w:hAnsi="Times New Roman" w:cs="Times New Roman"/>
                <w:noProof/>
                <w:color w:val="000000"/>
                <w:sz w:val="20"/>
                <w:szCs w:val="20"/>
              </w:rPr>
              <w:lastRenderedPageBreak/>
              <w:t>stosowanie zasad pomocy państwa</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311D1D"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368786"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F9FD0C"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Tak</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6D65E9"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Instytucje zarządzające dysponują narzędziami i zdolnościami umożliwiającymi </w:t>
            </w:r>
            <w:r w:rsidRPr="00EE14D2">
              <w:rPr>
                <w:rFonts w:ascii="Times New Roman" w:eastAsia="Times New Roman" w:hAnsi="Times New Roman" w:cs="Times New Roman"/>
                <w:noProof/>
                <w:color w:val="000000"/>
                <w:sz w:val="20"/>
                <w:szCs w:val="20"/>
              </w:rPr>
              <w:lastRenderedPageBreak/>
              <w:t xml:space="preserve">im weryfikację zgodności z zasadami pomocy państwa: </w:t>
            </w:r>
          </w:p>
          <w:p w14:paraId="17EB9076"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1. w odniesieniu do przedsiębiorstw znajdujących się w trudnej sytuacji oraz objętych wymogiem odzyskania pomocy.</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11B93D"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lastRenderedPageBreak/>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CE91AA" w14:textId="77777777" w:rsidR="00962355" w:rsidRPr="00EE14D2" w:rsidRDefault="00962355" w:rsidP="0096235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Spełnienie warunku zapewnia ustawa z dnia 30 kwietnia 2004 r. o postępowaniu w sprawach dotyczących pomocy publicznej (Dz. U. z 2018 r., poz. 362) </w:t>
            </w:r>
            <w:r w:rsidRPr="00EE14D2">
              <w:rPr>
                <w:rFonts w:ascii="Times New Roman" w:eastAsia="Times New Roman" w:hAnsi="Times New Roman" w:cs="Times New Roman"/>
                <w:noProof/>
                <w:color w:val="000000"/>
                <w:sz w:val="20"/>
                <w:szCs w:val="20"/>
              </w:rPr>
              <w:lastRenderedPageBreak/>
              <w:t xml:space="preserve">Zgodnie z art. 31b pkt 2) ustawy Prezes UOKiK ma obowiązek ogłaszania w Biuletynie Informacji Publicznej na stronie internetowej informacji o decyzjach KE dotyczących zwrotu pomocy publicznej. Jednocześnie, zgodnie z art. 37 ust. 5 ustawy, podmioty udzielające pomocy mają obowiązek uzyskać od przedsiębiorców ubiegających się o pomoc publiczną informacje umożliwiające stwierdzenie, czy dany przedsiębiorca znajduje się w trudnej sytuacji na dzień udzielenia pomocy. Funkcję krajowego organu ds. pomocy państwa, odpowiedzialnego za skuteczne wdrażanie i stosowanie unijnych przepisów w zakresie pomocy publicznej, pełni Prezes UOKiK (a w zakresie pomocy publicznej w sektorze rolnym i rybołówstwa - Minister Rolnictwa i Rozwoju Wsi). Zgodnie z ww. ustawą, Prezes UOKiK opiniuje projekty programów pomocowych i pomocy indywidualnej, w tym projekty finansowane w ramach środków strukturalnych, notyfikuje je KE, reprezentuje rząd polski w postępowaniu przez Komisją oraz monitoruje pomoc publiczną udzielaną przedsiębiorcom. Ustawa reguluje także obowiązki w zakresie monitorowania pomocy udzielanej polskim przedsiębiorcom, tj.: gromadzenia, przetwarzania oraz </w:t>
            </w:r>
            <w:r w:rsidRPr="00EE14D2">
              <w:rPr>
                <w:rFonts w:ascii="Times New Roman" w:eastAsia="Times New Roman" w:hAnsi="Times New Roman" w:cs="Times New Roman"/>
                <w:noProof/>
                <w:color w:val="000000"/>
                <w:sz w:val="20"/>
                <w:szCs w:val="20"/>
              </w:rPr>
              <w:lastRenderedPageBreak/>
              <w:t xml:space="preserve">przekazywana informacji związanych z pomocą publiczną. </w:t>
            </w:r>
          </w:p>
          <w:p w14:paraId="77B6D7FC" w14:textId="77777777" w:rsidR="00962355" w:rsidRPr="00EE14D2" w:rsidRDefault="00962355" w:rsidP="0096235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Link do ustawy : http://isap.sejm.gov.pl/isap.nsf/download.xsp/WDU20041231291/U/D20041291Lj.pdf</w:t>
            </w:r>
          </w:p>
          <w:p w14:paraId="27C5282B" w14:textId="77777777" w:rsidR="00962355" w:rsidRPr="00EE14D2" w:rsidRDefault="00962355" w:rsidP="00644235">
            <w:pPr>
              <w:spacing w:before="100" w:after="0" w:line="240" w:lineRule="auto"/>
              <w:rPr>
                <w:rFonts w:ascii="Times New Roman" w:eastAsia="Times New Roman" w:hAnsi="Times New Roman" w:cs="Times New Roman"/>
                <w:noProof/>
                <w:color w:val="000000"/>
                <w:sz w:val="20"/>
                <w:szCs w:val="20"/>
              </w:rPr>
            </w:pPr>
          </w:p>
          <w:p w14:paraId="46CF49F9"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p w14:paraId="1955B67E"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46BBDF"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 xml:space="preserve">Zgodnie z art. 31b pkt 2) ustawy z dnia 30 kwietnia 2004 r. o postępowaniu w sprawach dotyczących pomocy publicznej (Dz. U. z 2021 r., poz. 743  </w:t>
            </w:r>
            <w:r w:rsidRPr="00EE14D2">
              <w:rPr>
                <w:rFonts w:ascii="Times New Roman" w:eastAsia="Times New Roman" w:hAnsi="Times New Roman" w:cs="Times New Roman"/>
                <w:noProof/>
                <w:color w:val="000000"/>
                <w:sz w:val="20"/>
                <w:szCs w:val="20"/>
              </w:rPr>
              <w:lastRenderedPageBreak/>
              <w:t>ze zm.) Prezes UOKiK ma obowiązek ogłaszania w Biuletynie Informacji Publicznej na stronie www informacji o decyzjach KE dotyczących zwrotu pomocy publicznej. Jednocześnie, podmioty udzielające pomocy są zobligowane do zbadania warunków dopuszczalności pomocy publicznej. Zgodnie z art. 37 ust. 5 ustawy, podmioty udzielające pomocy mają obowiązek uzyskać od przedsiębiorców ubiegających się o pomoc publiczną informacje umożliwiające stwierdzenie, czy dany przedsiębiorca znajduje się w trudnej sytuacji na dzień udzielenia pomocy. Co do zasady dotyczy to też sprawozdań finansowych za okres 3 ostatnich lat obrotowych, sporządzonych zgodnie z przepisami o rachunkowości, na podstawie których weryfikowana jest poprawność przedstawianych danych. W przypadku podmiotów objętych postępowaniem upadłościowym wszelkie zdarzenia w tych postępowaniach są obwieszczane, a dodatkowo przedsiębiorca obowiązany jest posługiwać się nazwą firmy wraz z oznaczeniem „w restrukturyzacji” lub „w upadłości”.</w:t>
            </w:r>
          </w:p>
        </w:tc>
      </w:tr>
      <w:tr w:rsidR="00644235" w:rsidRPr="00EE14D2" w14:paraId="56292A6E" w14:textId="77777777" w:rsidTr="00644235">
        <w:trPr>
          <w:jc w:val="center"/>
        </w:trPr>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0F1B8E"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A0C32A"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6C2562"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E2F5A6"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F69B00"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2. poprzez dostęp do specjalistycznych porad i wytycznych w kwestiach pomocy państwa udzielanych przez ekspertów ds. pomocy państwa z podmiotów lokalnych lub krajowych.</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A52398"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5AF77E" w14:textId="77777777" w:rsidR="00962355" w:rsidRPr="00EE14D2" w:rsidRDefault="00962355" w:rsidP="0096235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Spełnienie warunku zapewnia ustawa z dnia 30 kwietnia 2004 r. o postępowaniu w sprawach dotyczących pomocy publicznej (Dz. U. z 2018 r., poz. 362) Zgodnie z art. 31b pkt 2) ustawy Prezes UOKiK ma obowiązek ogłaszania w Biuletynie Informacji Publicznej na stronie internetowej informacji o decyzjach KE dotyczących zwrotu pomocy publicznej. Jednocześnie, zgodnie z art. 37 ust. 5 ustawy, podmioty udzielające pomocy mają obowiązek uzyskać od przedsiębiorców ubiegających się o pomoc publiczną informacje umożliwiające stwierdzenie, czy dany przedsiębiorca znajduje się w trudnej sytuacji na dzień udzielenia pomocy. Funkcję krajowego organu ds. pomocy państwa, odpowiedzialnego za skuteczne wdrażanie i stosowanie unijnych przepisów w zakresie pomocy publicznej, pełni Prezes UOKiK (a w </w:t>
            </w:r>
            <w:r w:rsidRPr="00EE14D2">
              <w:rPr>
                <w:rFonts w:ascii="Times New Roman" w:eastAsia="Times New Roman" w:hAnsi="Times New Roman" w:cs="Times New Roman"/>
                <w:noProof/>
                <w:color w:val="000000"/>
                <w:sz w:val="20"/>
                <w:szCs w:val="20"/>
              </w:rPr>
              <w:lastRenderedPageBreak/>
              <w:t xml:space="preserve">zakresie pomocy publicznej w sektorze rolnym i rybołówstwa - Minister Rolnictwa i Rozwoju Wsi). Zgodnie z ww. ustawą, Prezes UOKiK opiniuje projekty programów pomocowych i pomocy indywidualnej, w tym projekty finansowane w ramach środków strukturalnych, notyfikuje je KE, reprezentuje rząd polski w postępowaniu przez Komisją oraz monitoruje pomoc publiczną udzielaną przedsiębiorcom. Ustawa reguluje także obowiązki w zakresie monitorowania pomocy udzielanej polskim przedsiębiorcom, tj.: gromadzenia, przetwarzania oraz przekazywana informacji związanych z pomocą publiczną. </w:t>
            </w:r>
          </w:p>
          <w:p w14:paraId="61D57D0E" w14:textId="77777777" w:rsidR="00962355" w:rsidRPr="00EE14D2" w:rsidRDefault="00962355" w:rsidP="0096235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Link do ustawy : http://isap.sejm.gov.pl/isap.nsf/download.xsp/WDU20041231291/U/D20041291Lj.pdf</w:t>
            </w:r>
          </w:p>
          <w:p w14:paraId="38A6119B"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p w14:paraId="55FE4365"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6C5C9A"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 xml:space="preserve">Funkcję krajowego organu ds. pomocy państwa, odpowiedzialnego za skuteczne wdrażanie i stosowanie unijnych przepisów pomocy publicznej, pełni Prezes UOKiK, a w zakresie pomocy publicznej w sektorze rolnym i rybołówstwa - Minister Rolnictwa i Rozwoju Wsi. Prezes UOKiK opiniuje wytyczne dotyczące pomocy publicznej, projekty programów pomocowych i pomocy indywidualnej, w tym finansowane ze środków strukturalnych, notyfikuje je KE, reprezentuje rząd polski w postępowaniu przed Komisją oraz monitoruje udzielaną pomoc publiczną. Ustawa reguluje obowiązki w zakresie monitorowania pomocy udzielanej przedsiębiorcom, tj. gromadzenia, przetwarzania oraz przekazywana informacji w tym zakresie. UOKiK zapewnia pełną informację na stronie urzędu i zależnie </w:t>
            </w:r>
            <w:r w:rsidRPr="00EE14D2">
              <w:rPr>
                <w:rFonts w:ascii="Times New Roman" w:eastAsia="Times New Roman" w:hAnsi="Times New Roman" w:cs="Times New Roman"/>
                <w:noProof/>
                <w:color w:val="000000"/>
                <w:sz w:val="20"/>
                <w:szCs w:val="20"/>
              </w:rPr>
              <w:lastRenderedPageBreak/>
              <w:t>od potrzeb prowadzi dla instytucji wdrażających programy warsztaty dotyczące stosowania pomocy publicznej. W ramach współpracy z UOKiK 2 grupy robocze ds. pomocy publicznej udzielanej w ramach funduszy strukturalnych polityki spójności (dla krajowych i regionalnych programów), koordynowane przez MFiPR, opracowują horyzontalne interpretacje dotyczące udzielania pomocy publicznej.</w:t>
            </w:r>
          </w:p>
        </w:tc>
      </w:tr>
      <w:tr w:rsidR="00644235" w:rsidRPr="00EE14D2" w14:paraId="74E64B3C" w14:textId="77777777" w:rsidTr="00644235">
        <w:trPr>
          <w:jc w:val="center"/>
        </w:trPr>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4D976E"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3. Skuteczne stosowanie i wdrożenie Karty praw podstawowych</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B705CB"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660461"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C2C997"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Nie</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BC8337"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Istnienie skutecznych mechanizmów służących zapewnieniu zgodności z Kartą praw podstawowych Unii Europejskiej („Karta”), które obejmują: </w:t>
            </w:r>
          </w:p>
          <w:p w14:paraId="2502BB42"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1. ustalenia mające zapewnić zgodność programów </w:t>
            </w:r>
            <w:r w:rsidRPr="00EE14D2">
              <w:rPr>
                <w:rFonts w:ascii="Times New Roman" w:eastAsia="Times New Roman" w:hAnsi="Times New Roman" w:cs="Times New Roman"/>
                <w:noProof/>
                <w:color w:val="000000"/>
                <w:sz w:val="20"/>
                <w:szCs w:val="20"/>
              </w:rPr>
              <w:lastRenderedPageBreak/>
              <w:t>wspieranych z Funduszy i ich wdrażania z odpowiednimi postanowieniami Karty;</w:t>
            </w:r>
          </w:p>
          <w:p w14:paraId="74D6AA7D"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57839B"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lastRenderedPageBreak/>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60B770" w14:textId="4DA5CE45" w:rsidR="00E246C4" w:rsidRPr="00EE14D2" w:rsidRDefault="00E246C4"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W celu spełnienia warunku wypracowano jednolitą procedurę określającą obowiązki wszystkich instytucji zaangażowanych we wdrażanie programów operacyjnych w zakresie zapewnienia ich zgodności z Kartą Praw Podstawowych (KPP). Procedura obejmuje monitorowanie, przygotowanie i zgłaszanie podejrzeń o </w:t>
            </w:r>
            <w:r w:rsidRPr="00EE14D2">
              <w:rPr>
                <w:rFonts w:ascii="Times New Roman" w:eastAsia="Times New Roman" w:hAnsi="Times New Roman" w:cs="Times New Roman"/>
                <w:noProof/>
                <w:color w:val="000000"/>
                <w:sz w:val="20"/>
                <w:szCs w:val="20"/>
              </w:rPr>
              <w:lastRenderedPageBreak/>
              <w:t xml:space="preserve">niezgodności projektów z KPP i dotyczy wszystkich programów realizowanych w ramach wskazanych 8 funduszy.  Procedura dotyczy weryfikacji zgodności z KPP zarówno na etapie złożenia wniosku o dofinansowanie jak i w trakcie realizacji projektów. Podejrzenia o niezgodności projektów i/lub działań Beneficjenta lub IP/IW/IZ z KPP zgłaszane są odpowiednio do IP/IW/IZ/Rzecznika Funduszy UE (w zakresie programów finansowanych z EFMRA, FAM, IZGW i FBW istnieje właściwy odpowiednich Rzecznika Funduszy ).   Właściwa instytucja dokonuje analizy, podejmuje czynności w celu zweryfikowania stanu faktycznego i rozstrzyga o zasadności zgłoszenia. W przypadku potwierdzenia naruszenia artykułów KPP w zależności od charakteru sprawy właściwa instytucja przekazuje zgłoszenie naruszenia do odpowiednich służb, tj. RPO, PIP, Rzecznika Praw Pacjenta lub/i właściwych organów ścigania. IZ Programu przygotowuje roczną zbiorczą informację o wszystkich zgłoszeniach dotyczących niezgodności projektów z KPP, w celu rozpatrzenia przez KM Programu oraz prowadzi w politykę informacyjną w ww. obszarze. KM podejmuje decyzję o podjęciu właściwych działań zaradczych w </w:t>
            </w:r>
            <w:r w:rsidRPr="00EE14D2">
              <w:rPr>
                <w:rFonts w:ascii="Times New Roman" w:eastAsia="Times New Roman" w:hAnsi="Times New Roman" w:cs="Times New Roman"/>
                <w:noProof/>
                <w:color w:val="000000"/>
                <w:sz w:val="20"/>
                <w:szCs w:val="20"/>
              </w:rPr>
              <w:lastRenderedPageBreak/>
              <w:t>odniesieniu do zgłoszonych przypadków.</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6A0D45"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 xml:space="preserve">Jednolita procedura dotyczy weryfikacji zgodności z KPP zarówno na etapie złożenia wniosku o dofinansowanie jak i trakcie realizacji projektów. Podejrzenia o niezgodności projektów i/lub działań Beneficjenta lub IP/IW/IZ z KPP zgłaszane są odpowiednio do IP/IW/IZ/Rzecznika Funduszy UE (w przypadku programów finansowanych z </w:t>
            </w:r>
            <w:r w:rsidRPr="00EE14D2">
              <w:rPr>
                <w:rFonts w:ascii="Times New Roman" w:eastAsia="Times New Roman" w:hAnsi="Times New Roman" w:cs="Times New Roman"/>
                <w:noProof/>
                <w:color w:val="000000"/>
                <w:sz w:val="20"/>
                <w:szCs w:val="20"/>
              </w:rPr>
              <w:lastRenderedPageBreak/>
              <w:t xml:space="preserve">EFMRA, FAM, IZGW i FBW istnieje właściwy odpowiednik). Właściwa instytucja dokonuje analizy, podejmuje czynności weryfikujące stan faktyczny i rozstrzyga o zasadności zgłoszenia. W przypadku potwierdzenia naruszenia artykułów KPP, w zależności od charakteru sprawy, właściwa instytucja przekazuje zgłoszenie naruszenia do odpowiednich służb, tj. RPO, PIP, Rzecznika Praw Pacjenta lub/i właściwych organów ścigania. IZ programu odpowiedzialna jest również za prowadzenie polityki informacyjnej w ww. obszarze. </w:t>
            </w:r>
          </w:p>
          <w:p w14:paraId="1E8BD1C8"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Zdaniem strony polskiej warunek jest spełniony zgodnie ze stanowiskiem z 7 lipca 2022 r., jednakże wobec braku reakcji KE na to stanowisko - status warunku został oznaczony jako niespełniony.</w:t>
            </w:r>
          </w:p>
          <w:p w14:paraId="74FBA498"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r>
      <w:tr w:rsidR="00644235" w:rsidRPr="00EE14D2" w14:paraId="25757A85" w14:textId="77777777" w:rsidTr="00644235">
        <w:trPr>
          <w:jc w:val="center"/>
        </w:trPr>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E12BEA"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5E983B"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0302AD"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8A6869"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D45B83"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2. rozwiązania dotyczące zgłaszania komitetowi monitorującemu przypadków niezgodności operacji wspieranych z Funduszy z Kartą oraz skarg o nieprzestrzeganie Karty złożonych zgodnie z rozwiązaniami przyjętymi na mocy art. 69 ust. 7.</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C7827D"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E5BD56" w14:textId="7AC952FD" w:rsidR="00E246C4" w:rsidRPr="00EE14D2" w:rsidRDefault="00E246C4"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W celu spełnienia warunku wypracowano jednolitą procedurę określającą obowiązki wszystkich instytucji zaangażowanych we wdrażanie programów operacyjnych w zakresie zapewnienia ich zgodności z Kartą Praw Podstawowych (KPP). Procedura obejmuje monitorowanie, przygotowanie i zgłaszanie podejrzeń o niezgodności projektów z KPP i dotyczy wszystkich programów realizowanych w ramach wskazanych 8 funduszy.  Procedura dotyczy weryfikacji zgodności z KPP zarówno na etapie złożenia wniosku o dofinansowanie jak i w trakcie realizacji projektów. Podejrzenia o niezgodności projektów i/lub działań Beneficjenta lub IP/IW/IZ z KPP zgłaszane są odpowiednio do IP/IW/IZ/Rzecznika Funduszy UE (w zakresie programów finansowanych z EFMRA, FAM, IZGW i FBW istnieje właściwy odpowiednich Rzecznika Funduszy ).   Właściwa instytucja dokonuje analizy, podejmuje czynności w celu zweryfikowania stanu faktycznego i rozstrzyga o zasadności zgłoszenia. W przypadku potwierdzenia naruszenia artykułów KPP w zależności od charakteru sprawy właściwa instytucja przekazuje zgłoszenie </w:t>
            </w:r>
            <w:r w:rsidRPr="00EE14D2">
              <w:rPr>
                <w:rFonts w:ascii="Times New Roman" w:eastAsia="Times New Roman" w:hAnsi="Times New Roman" w:cs="Times New Roman"/>
                <w:noProof/>
                <w:color w:val="000000"/>
                <w:sz w:val="20"/>
                <w:szCs w:val="20"/>
              </w:rPr>
              <w:lastRenderedPageBreak/>
              <w:t>naruszenia do odpowiednich służb, tj. RPO, PIP, Rzecznika Praw Pacjenta lub/i właściwych organów ścigania. IZ Programu przygotowuje roczną zbiorczą informację o wszystkich zgłoszeniach dotyczących niezgodności projektów z KPP, w celu rozpatrzenia przez KM Programu oraz prowadzi w politykę informacyjną w ww. obszarze. KM podejmuje decyzję o podjęciu właściwych działań zaradczych w odniesieniu do zgłoszonych przypadków.</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9D9AD4"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 xml:space="preserve">Procedura uwzględnia obowiązek IZ Programu w zakresie przygotowania rocznej zbiorczej informacji o wszystkich zgłoszeniach dotyczących niezgodności projektów z KPP oraz skarg, w celu rozpatrzenia przez KM Programu. KM podejmuje decyzję o podjęciu właściwych działań zaradczych w odniesieniu do zgłoszonych przypadków. </w:t>
            </w:r>
          </w:p>
          <w:p w14:paraId="4649AA55"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Zdaniem strony polskiej warunek jest spełniony zgodnie ze stanowiskiem z 7 lipca 2022 r., jednakże wobec braku reakcji KE na to stanowisko - status warunku został oznaczony jako niespełniony.</w:t>
            </w:r>
          </w:p>
          <w:p w14:paraId="13184756"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r>
      <w:tr w:rsidR="00644235" w:rsidRPr="00EE14D2" w14:paraId="71F77237" w14:textId="77777777" w:rsidTr="00644235">
        <w:trPr>
          <w:jc w:val="center"/>
        </w:trPr>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EA16B6"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4. Wdrażanie i stosowanie Konwencji ONZ o prawach osób niepełnosprawnych zgodnie z decyzją Rady 2010/48/WE</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760826"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239750"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709521"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Tak</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15EE3F"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Istnienie krajowych ram zapewniających realizację Konwencji o prawach osób niepełnosprawnych, które obejmują: </w:t>
            </w:r>
          </w:p>
          <w:p w14:paraId="2A61F03B"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1. cele ogólne obejmujące wymierne wartości docelowe, mechanizmy gromadzenia danych i monitorowania;</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49DF54"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B86C34" w14:textId="1C56A716" w:rsidR="00E246C4" w:rsidRPr="00EE14D2" w:rsidRDefault="00E246C4" w:rsidP="00E246C4">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Warunek spełniony jest poprzez przyjęcie Strategii na rzecz Osób z Niepełnosprawnościami 2021-2030 przyjętej Uchwałą nr 27 Rady Ministrów z dnia 16 lutego 2021 r. oraz przyjętą w dniu 7.06.2022 r. Strategią rozwoju usług społecznych, polityka publiczna do roku 2030 (z perspektywą do 2035 r.). Strategia rozwoju usług społecznych zakłada realizację procesu deinstytucjonalizacji, czyli przechodzenia od opieki o charakterze instytucjonalnym do opieki świadczonej w środowisku rodzinnym i społeczności lokalnej. Usługi społeczne będą koncentrować się na rodzinie i dzieciach, seniorach, osobach z niepełnosprawnościami oraz osobach z zaburzeniami psychicznymi i w kryzysie bezdomności. W ramach zapewnienia </w:t>
            </w:r>
            <w:r w:rsidRPr="00EE14D2">
              <w:rPr>
                <w:rFonts w:ascii="Times New Roman" w:eastAsia="Times New Roman" w:hAnsi="Times New Roman" w:cs="Times New Roman"/>
                <w:noProof/>
                <w:color w:val="000000"/>
                <w:sz w:val="20"/>
                <w:szCs w:val="20"/>
              </w:rPr>
              <w:lastRenderedPageBreak/>
              <w:t>wsparcia dla osób z niepełnosprawnościami zaplanowano działania z zakresu wspierania niezależności i zaplanowano wdrożenie systemowej usługi mieszkalnictwa wspomaganego (Cel szczegółowy nr 3). Rozwijane będą mieszkania wspomagane z koszykiem zróżnicowanych usług oraz będą podejmowane działania z zakresu rozwoju i upowszechniania Centrów Opiekuńczo-Mieszkalnych.</w:t>
            </w:r>
          </w:p>
          <w:p w14:paraId="6E1BF75B" w14:textId="77777777" w:rsidR="00E246C4" w:rsidRPr="00EE14D2" w:rsidRDefault="00E246C4" w:rsidP="00E246C4">
            <w:pPr>
              <w:spacing w:before="100" w:after="0" w:line="240" w:lineRule="auto"/>
              <w:rPr>
                <w:rFonts w:ascii="Times New Roman" w:eastAsia="Times New Roman" w:hAnsi="Times New Roman" w:cs="Times New Roman"/>
                <w:noProof/>
                <w:color w:val="000000"/>
                <w:sz w:val="20"/>
                <w:szCs w:val="20"/>
              </w:rPr>
            </w:pPr>
          </w:p>
          <w:p w14:paraId="41ED50A0" w14:textId="77777777" w:rsidR="00E246C4" w:rsidRPr="00EE14D2" w:rsidRDefault="00E246C4" w:rsidP="00E246C4">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Link do dokumentu:</w:t>
            </w:r>
          </w:p>
          <w:p w14:paraId="483AD9A0" w14:textId="77777777" w:rsidR="00E246C4" w:rsidRPr="00EE14D2" w:rsidRDefault="00E246C4" w:rsidP="00E246C4">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https://dziennikustaw.gov.pl/MP/rok/2021/pozycja/218 </w:t>
            </w:r>
          </w:p>
          <w:p w14:paraId="14BB9E41" w14:textId="77777777" w:rsidR="00E246C4" w:rsidRPr="00EE14D2" w:rsidRDefault="00E246C4" w:rsidP="00E246C4">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https://isap.sejm.gov.pl/isap.nsf/download.xsp/WMP20220000767/O/M20220767.pdf</w:t>
            </w:r>
          </w:p>
          <w:p w14:paraId="7CB2CFE4" w14:textId="77777777" w:rsidR="00E246C4" w:rsidRPr="00EE14D2" w:rsidRDefault="00E246C4" w:rsidP="00E246C4">
            <w:pPr>
              <w:spacing w:before="100" w:after="0" w:line="240" w:lineRule="auto"/>
              <w:rPr>
                <w:rFonts w:ascii="Times New Roman" w:eastAsia="Times New Roman" w:hAnsi="Times New Roman" w:cs="Times New Roman"/>
                <w:noProof/>
                <w:color w:val="000000"/>
                <w:sz w:val="20"/>
                <w:szCs w:val="20"/>
              </w:rPr>
            </w:pPr>
          </w:p>
          <w:p w14:paraId="72DE6B71" w14:textId="77777777" w:rsidR="00E246C4" w:rsidRPr="00EE14D2" w:rsidRDefault="00E246C4" w:rsidP="00E246C4">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W zakresie zgodności przygotowania i wdrażania programów współfinansowanych w ramach 8 funduszy z postanowieniami Konwencji o prawach osób niepełnosprawnych (KPON), w tym zgłaszania komitetowi monitorującemu przypadków niezgodności operacji wspieranych przez fundusze z KPON, przyjęto jednolitą procedurę na poziomie umowy </w:t>
            </w:r>
            <w:r w:rsidRPr="00EE14D2">
              <w:rPr>
                <w:rFonts w:ascii="Times New Roman" w:eastAsia="Times New Roman" w:hAnsi="Times New Roman" w:cs="Times New Roman"/>
                <w:noProof/>
                <w:color w:val="000000"/>
                <w:sz w:val="20"/>
                <w:szCs w:val="20"/>
              </w:rPr>
              <w:lastRenderedPageBreak/>
              <w:t xml:space="preserve">partnerstwa oraz dla każdego z programów. </w:t>
            </w:r>
          </w:p>
          <w:p w14:paraId="05556412" w14:textId="59CCB394" w:rsidR="00644235" w:rsidRPr="00EE14D2" w:rsidRDefault="00E246C4" w:rsidP="00E246C4">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Procedura dotyczy weryfikacji zgodności z KPON zarówno na etapie złożenia wniosku o dofinansowanie jak i w trakcie realizacji projektów. Podejrzenia o niezgodności projektów i/lub działań Beneficjenta lub IP/IW/IZ z KPON zgłaszane są odpowiednio do IP/IW/IZ/Rzecznika Funduszy UE (w zakresie programów finansowanych z EFMRA, FAM, IZGW i FBW istnieje właściwy odpowiednich Rzecznika Funduszy ).  Właściwa instytucja dokonuje analizy, podejmuje czynności w celu zweryfikowania stanu faktycznego i rozstrzyga o zasadności zgłoszenia. W przypadku potwierdzenia naruszenia artykułów KPON w zależności od charakteru sprawy właściwa instytucja przekazuje zgłoszenie naruszenia do odpowiednich służb, tj. RPO, PIP, Rzecznika Praw Pacjenta lub/i właściwych organów ścigania. IZ Programu przygotowuje roczną zbiorczą informację o wszystkich zgłoszeniach dotyczących niezgodności projektów z KPON, w celu rozpatrzenia i akceptacji przez KM Programu oraz prowadzi w politykę informacyjną w ww. obszarze. KM podejmuje decyzję o podjęciu właściwych działań zaradczych </w:t>
            </w:r>
            <w:r w:rsidRPr="00EE14D2">
              <w:rPr>
                <w:rFonts w:ascii="Times New Roman" w:eastAsia="Times New Roman" w:hAnsi="Times New Roman" w:cs="Times New Roman"/>
                <w:noProof/>
                <w:color w:val="000000"/>
                <w:sz w:val="20"/>
                <w:szCs w:val="20"/>
              </w:rPr>
              <w:lastRenderedPageBreak/>
              <w:t>w odniesieniu do zgłoszonych przypadków..</w:t>
            </w:r>
          </w:p>
          <w:p w14:paraId="37ECB226"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7B2AB5"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 xml:space="preserve">Ramy polityki krajowej dla zapewnienia wdrażania realizacji KPON stanowi Strategia na rzecz Osób z Niepełnosprawnościami 2021-2030 przyjęta przez Radę Ministrów 16 lutego 2021 r., która określa cele i działania do osiągnięcia w oznaczonym czasie ze wskaźnikami i odpowiedzialnymi podmiotami, a także mechanizmy monitoringu realizacji celów i działań oraz gromadzenia danych w tym zakresie. Ponadto, w zakresie realizacji procesu deinstytucjonalizacji usług społecznych, m.in. dla osób. z niepełnosprawnościami (OzN) odpowiednim dokumentem strategicznym jest również Strategia rozwoju usług społecznych, polityka publiczna do roku 2030 (z perspektywą </w:t>
            </w:r>
            <w:r w:rsidRPr="00EE14D2">
              <w:rPr>
                <w:rFonts w:ascii="Times New Roman" w:eastAsia="Times New Roman" w:hAnsi="Times New Roman" w:cs="Times New Roman"/>
                <w:noProof/>
                <w:color w:val="000000"/>
                <w:sz w:val="20"/>
                <w:szCs w:val="20"/>
              </w:rPr>
              <w:lastRenderedPageBreak/>
              <w:t>do 2035 r.) przyjęta przez Radę Ministrów 7.06.2022 r (SRUS).</w:t>
            </w:r>
          </w:p>
          <w:p w14:paraId="26221F7F"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Przyjęcie i wdrożenie SRUS umożliwia zatem realizację celów w obszarze deinstytucjonalizacji wskazanych w Strategii na rzecz Osób z Niepełnosprawnościami 2021-2030 oraz zapewni monitoring realizacji wskaźników dotyczących tego obszaru dla OzN. </w:t>
            </w:r>
          </w:p>
          <w:p w14:paraId="061F1864"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r>
      <w:tr w:rsidR="00644235" w:rsidRPr="00EE14D2" w14:paraId="5C3BF95E" w14:textId="77777777" w:rsidTr="00644235">
        <w:trPr>
          <w:jc w:val="center"/>
        </w:trPr>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E5A988"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A5A27E"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579EAD"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6F4A0E"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78FAEA"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2. rozwiązania mające zapewnić, by w ramach przygotowywania i wdrażania programów odpowiednio zostały odzwierciedlone polityka, prawodawstwo i normy w zakresie dostępności;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3EB85A"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632060" w14:textId="77777777" w:rsidR="00E246C4" w:rsidRPr="00EE14D2" w:rsidRDefault="00E246C4" w:rsidP="00E246C4">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Warunek spełniony jest poprzez przyjęcie Strategii na rzecz Osób z Niepełnosprawnościami 2021-2030 przyjętej Uchwałą nr 27 Rady Ministrów z dnia 16 lutego 2021 r. oraz przyjętą w dniu 7.06.2022 r. Strategią rozwoju usług społecznych, polityka publiczna do roku 2030 (z perspektywą do 2035 r.). Strategia rozwoju usług społecznych zakłada realizację procesu deinstytucjonalizacji, czyli przechodzenia od opieki o charakterze instytucjonalnym do opieki świadczonej w środowisku rodzinnym i społeczności lokalnej. Usługi społeczne będą koncentrować się na rodzinie i dzieciach, seniorach, osobach z niepełnosprawnościami oraz osobach z zaburzeniami psychicznymi i w kryzysie bezdomności. W ramach zapewnienia wsparcia dla osób z niepełnosprawnościami zaplanowano działania z zakresu wspierania niezależności i zaplanowano wdrożenie systemowej usługi mieszkalnictwa wspomaganego (Cel szczegółowy nr 3). Rozwijane będą mieszkania wspomagane z koszykiem zróżnicowanych usług oraz będą </w:t>
            </w:r>
            <w:r w:rsidRPr="00EE14D2">
              <w:rPr>
                <w:rFonts w:ascii="Times New Roman" w:eastAsia="Times New Roman" w:hAnsi="Times New Roman" w:cs="Times New Roman"/>
                <w:noProof/>
                <w:color w:val="000000"/>
                <w:sz w:val="20"/>
                <w:szCs w:val="20"/>
              </w:rPr>
              <w:lastRenderedPageBreak/>
              <w:t>podejmowane działania z zakresu rozwoju i upowszechniania Centrów Opiekuńczo-Mieszkalnych.</w:t>
            </w:r>
          </w:p>
          <w:p w14:paraId="1BDDFD63" w14:textId="77777777" w:rsidR="00E246C4" w:rsidRPr="00EE14D2" w:rsidRDefault="00E246C4" w:rsidP="00E246C4">
            <w:pPr>
              <w:spacing w:before="100" w:after="0" w:line="240" w:lineRule="auto"/>
              <w:rPr>
                <w:rFonts w:ascii="Times New Roman" w:eastAsia="Times New Roman" w:hAnsi="Times New Roman" w:cs="Times New Roman"/>
                <w:noProof/>
                <w:color w:val="000000"/>
                <w:sz w:val="20"/>
                <w:szCs w:val="20"/>
              </w:rPr>
            </w:pPr>
          </w:p>
          <w:p w14:paraId="2E4E71C5" w14:textId="77777777" w:rsidR="00E246C4" w:rsidRPr="00EE14D2" w:rsidRDefault="00E246C4" w:rsidP="00E246C4">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Link do dokumentu:</w:t>
            </w:r>
          </w:p>
          <w:p w14:paraId="126F4BE4" w14:textId="77777777" w:rsidR="00E246C4" w:rsidRPr="00EE14D2" w:rsidRDefault="00E246C4" w:rsidP="00E246C4">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https://dziennikustaw.gov.pl/MP/rok/2021/pozycja/218 </w:t>
            </w:r>
          </w:p>
          <w:p w14:paraId="52BF1B94" w14:textId="77777777" w:rsidR="00E246C4" w:rsidRPr="00EE14D2" w:rsidRDefault="00E246C4" w:rsidP="00E246C4">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https://isap.sejm.gov.pl/isap.nsf/download.xsp/WMP20220000767/O/M20220767.pdf</w:t>
            </w:r>
          </w:p>
          <w:p w14:paraId="6163A1A1" w14:textId="77777777" w:rsidR="00E246C4" w:rsidRPr="00EE14D2" w:rsidRDefault="00E246C4" w:rsidP="00E246C4">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W zakresie zgodności przygotowania i wdrażania programów współfinansowanych w ramach 8 funduszy z postanowieniami Konwencji o prawach osób niepełnosprawnych (KPON), w tym zgłaszania komitetowi monitorującemu przypadków niezgodności operacji wspieranych przez fundusze z KPON, przyjęto jednolitą procedurę na poziomie umowy partnerstwa oraz dla każdego z programów. </w:t>
            </w:r>
          </w:p>
          <w:p w14:paraId="3ED67A43" w14:textId="463C8976" w:rsidR="00644235" w:rsidRPr="00EE14D2" w:rsidRDefault="00E246C4" w:rsidP="00E246C4">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Procedura dotyczy weryfikacji zgodności z KPON zarówno na etapie złożenia wniosku o dofinansowanie jak i w trakcie realizacji projektów. Podejrzenia o niezgodności projektów i/lub działań Beneficjenta lub IP/IW/IZ z KPON zgłaszane są odpowiednio do IP/IW/IZ/Rzecznika Funduszy UE (w zakresie programów finansowanych z </w:t>
            </w:r>
            <w:r w:rsidRPr="00EE14D2">
              <w:rPr>
                <w:rFonts w:ascii="Times New Roman" w:eastAsia="Times New Roman" w:hAnsi="Times New Roman" w:cs="Times New Roman"/>
                <w:noProof/>
                <w:color w:val="000000"/>
                <w:sz w:val="20"/>
                <w:szCs w:val="20"/>
              </w:rPr>
              <w:lastRenderedPageBreak/>
              <w:t>EFMRA, FAM, IZGW i FBW istnieje właściwy odpowiednich Rzecznika Funduszy ).  Właściwa instytucja dokonuje analizy, podejmuje czynności w celu zweryfikowania stanu faktycznego i rozstrzyga o zasadności zgłoszenia. W przypadku potwierdzenia naruszenia artykułów KPON w zależności od charakteru sprawy właściwa instytucja przekazuje zgłoszenie naruszenia do odpowiednich służb, tj. RPO, PIP, Rzecznika Praw Pacjenta lub/i właściwych organów ścigania. IZ Programu przygotowuje roczną zbiorczą informację o wszystkich zgłoszeniach dotyczących niezgodności projektów z KPON, w celu rozpatrzenia i akceptacji przez KM Programu oraz prowadzi w politykę informacyjną w ww. obszarze. KM podejmuje decyzję o podjęciu właściwych działań zaradczych w odniesieniu do zgłoszonych przypadków..</w:t>
            </w:r>
          </w:p>
          <w:p w14:paraId="451D4264"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88DF4E"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 xml:space="preserve">Kryterium zostanie spełnione poprzez zobowiązanie IZ do realizacji następujących działań: </w:t>
            </w:r>
          </w:p>
          <w:p w14:paraId="33EB792C"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(1)</w:t>
            </w:r>
            <w:r w:rsidRPr="00EE14D2">
              <w:rPr>
                <w:rFonts w:ascii="Times New Roman" w:eastAsia="Times New Roman" w:hAnsi="Times New Roman" w:cs="Times New Roman"/>
                <w:noProof/>
                <w:color w:val="000000"/>
                <w:sz w:val="20"/>
                <w:szCs w:val="20"/>
              </w:rPr>
              <w:tab/>
              <w:t>wskazania konkretnych artykułów KPON związanych z zakresem wsparcia planowanym do realizacji w ramach programu,</w:t>
            </w:r>
          </w:p>
          <w:p w14:paraId="6B944B8C"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(2)</w:t>
            </w:r>
            <w:r w:rsidRPr="00EE14D2">
              <w:rPr>
                <w:rFonts w:ascii="Times New Roman" w:eastAsia="Times New Roman" w:hAnsi="Times New Roman" w:cs="Times New Roman"/>
                <w:noProof/>
                <w:color w:val="000000"/>
                <w:sz w:val="20"/>
                <w:szCs w:val="20"/>
              </w:rPr>
              <w:tab/>
              <w:t>zapewnienia zgodności z KPON wszelkich procesów i procedur realizowanych na każdym etapie wdrażania programu, tj. programowania, wyboru i realizacji projektów, a także kontroli projektów, monitorowania i ewaluacji, co znajdzie odzwierciedlenie m.in. w treści procedur/wytycznych/regulaminów określających sposób realizacji poszczególnych procesów związanych z wdrażaniem programu,</w:t>
            </w:r>
          </w:p>
          <w:p w14:paraId="33232D66"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(3)</w:t>
            </w:r>
            <w:r w:rsidRPr="00EE14D2">
              <w:rPr>
                <w:rFonts w:ascii="Times New Roman" w:eastAsia="Times New Roman" w:hAnsi="Times New Roman" w:cs="Times New Roman"/>
                <w:noProof/>
                <w:color w:val="000000"/>
                <w:sz w:val="20"/>
                <w:szCs w:val="20"/>
              </w:rPr>
              <w:tab/>
              <w:t>oceny projektów pod kątem kryterium dotyczącego zgodności z KPON,</w:t>
            </w:r>
          </w:p>
          <w:p w14:paraId="67917F7D"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(4)</w:t>
            </w:r>
            <w:r w:rsidRPr="00EE14D2">
              <w:rPr>
                <w:rFonts w:ascii="Times New Roman" w:eastAsia="Times New Roman" w:hAnsi="Times New Roman" w:cs="Times New Roman"/>
                <w:noProof/>
                <w:color w:val="000000"/>
                <w:sz w:val="20"/>
                <w:szCs w:val="20"/>
              </w:rPr>
              <w:tab/>
              <w:t>zapewnienia stosowania standardów dostępności poprzez Wytyczne określające standardy zapewniania dostępności w inwestycjach finansowanych w ramach polityki spójności,</w:t>
            </w:r>
          </w:p>
          <w:p w14:paraId="53D4CBA8"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(5)</w:t>
            </w:r>
            <w:r w:rsidRPr="00EE14D2">
              <w:rPr>
                <w:rFonts w:ascii="Times New Roman" w:eastAsia="Times New Roman" w:hAnsi="Times New Roman" w:cs="Times New Roman"/>
                <w:noProof/>
                <w:color w:val="000000"/>
                <w:sz w:val="20"/>
                <w:szCs w:val="20"/>
              </w:rPr>
              <w:tab/>
              <w:t>realizacji działań informacyjnych/świadomościowych związanych z przestrzeganiem KPON,</w:t>
            </w:r>
          </w:p>
          <w:p w14:paraId="2595BF6E"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(6)</w:t>
            </w:r>
            <w:r w:rsidRPr="00EE14D2">
              <w:rPr>
                <w:rFonts w:ascii="Times New Roman" w:eastAsia="Times New Roman" w:hAnsi="Times New Roman" w:cs="Times New Roman"/>
                <w:noProof/>
                <w:color w:val="000000"/>
                <w:sz w:val="20"/>
                <w:szCs w:val="20"/>
              </w:rPr>
              <w:tab/>
              <w:t>wprowadzenia do systemu realizacji programu procedury zgłaszania podejrzeń i skarg dotyczących niezgodności interwencji/działań z KPON.</w:t>
            </w:r>
          </w:p>
          <w:p w14:paraId="7CDD98CD"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r>
      <w:tr w:rsidR="00644235" w:rsidRPr="00EE14D2" w14:paraId="05740B39" w14:textId="77777777" w:rsidTr="00644235">
        <w:trPr>
          <w:jc w:val="center"/>
        </w:trPr>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DA5F99"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9218E4"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D1D864"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674E05"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28D98E"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3. rozwiązania dotyczące sprawozdawania komitetowi monitorującemu przypadków niezgodności operacji wspieranych z Funduszy z Konwencją oraz skarg o nieprzestrzeganie Konwencji złożonych zgodnie z </w:t>
            </w:r>
            <w:r w:rsidRPr="00EE14D2">
              <w:rPr>
                <w:rFonts w:ascii="Times New Roman" w:eastAsia="Times New Roman" w:hAnsi="Times New Roman" w:cs="Times New Roman"/>
                <w:noProof/>
                <w:color w:val="000000"/>
                <w:sz w:val="20"/>
                <w:szCs w:val="20"/>
              </w:rPr>
              <w:lastRenderedPageBreak/>
              <w:t>rozwiązaniami przyjętymi na mocy art. 69 ust. 7.</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2ED7DB"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lastRenderedPageBreak/>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C323F8"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p w14:paraId="4B9325D8" w14:textId="77777777" w:rsidR="00BB70EF" w:rsidRPr="00EE14D2" w:rsidRDefault="00BB70EF" w:rsidP="00BB70E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Warunek spełniony jest poprzez przyjęcie Strategii na rzecz Osób z Niepełnosprawnościami 2021-2030 przyjętej Uchwałą nr 27 Rady Ministrów z dnia 16 lutego 2021 r. oraz przyjętą w dniu 7.06.2022 r. Strategią rozwoju usług społecznych, polityka </w:t>
            </w:r>
            <w:r w:rsidRPr="00EE14D2">
              <w:rPr>
                <w:rFonts w:ascii="Times New Roman" w:eastAsia="Times New Roman" w:hAnsi="Times New Roman" w:cs="Times New Roman"/>
                <w:noProof/>
                <w:color w:val="000000"/>
                <w:sz w:val="20"/>
                <w:szCs w:val="20"/>
              </w:rPr>
              <w:lastRenderedPageBreak/>
              <w:t>publiczna do roku 2030 (z perspektywą do 2035 r.). Strategia rozwoju usług społecznych zakłada realizację procesu deinstytucjonalizacji, czyli przechodzenia od opieki o charakterze instytucjonalnym do opieki świadczonej w środowisku rodzinnym i społeczności lokalnej. Usługi społeczne będą koncentrować się na rodzinie i dzieciach, seniorach, osobach z niepełnosprawnościami oraz osobach z zaburzeniami psychicznymi i w kryzysie bezdomności. W ramach zapewnienia wsparcia dla osób z niepełnosprawnościami zaplanowano działania z zakresu wspierania niezależności i zaplanowano wdrożenie systemowej usługi mieszkalnictwa wspomaganego (Cel szczegółowy nr 3). Rozwijane będą mieszkania wspomagane z koszykiem zróżnicowanych usług oraz będą podejmowane działania z zakresu rozwoju i upowszechniania Centrów Opiekuńczo-Mieszkalnych.</w:t>
            </w:r>
          </w:p>
          <w:p w14:paraId="671FA124" w14:textId="77777777" w:rsidR="00BB70EF" w:rsidRPr="00EE14D2" w:rsidRDefault="00BB70EF" w:rsidP="00BB70EF">
            <w:pPr>
              <w:spacing w:before="100" w:after="0" w:line="240" w:lineRule="auto"/>
              <w:rPr>
                <w:rFonts w:ascii="Times New Roman" w:eastAsia="Times New Roman" w:hAnsi="Times New Roman" w:cs="Times New Roman"/>
                <w:noProof/>
                <w:color w:val="000000"/>
                <w:sz w:val="20"/>
                <w:szCs w:val="20"/>
              </w:rPr>
            </w:pPr>
          </w:p>
          <w:p w14:paraId="4375C954" w14:textId="77777777" w:rsidR="00BB70EF" w:rsidRPr="00EE14D2" w:rsidRDefault="00BB70EF" w:rsidP="00BB70E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Link do dokumentu:</w:t>
            </w:r>
          </w:p>
          <w:p w14:paraId="18B980E5" w14:textId="77777777" w:rsidR="00BB70EF" w:rsidRPr="00EE14D2" w:rsidRDefault="00BB70EF" w:rsidP="00BB70E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https://dziennikustaw.gov.pl/MP/rok/2021/pozycja/218 </w:t>
            </w:r>
          </w:p>
          <w:p w14:paraId="1F92A1D1" w14:textId="77777777" w:rsidR="00BB70EF" w:rsidRPr="00EE14D2" w:rsidRDefault="00BB70EF" w:rsidP="00BB70E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https://isap.sejm.gov.pl/isap.nsf/download.xsp/WMP20220000767/O/M20220767.pdf</w:t>
            </w:r>
          </w:p>
          <w:p w14:paraId="2F64DD9B" w14:textId="77777777" w:rsidR="00BB70EF" w:rsidRPr="00EE14D2" w:rsidRDefault="00BB70EF" w:rsidP="00BB70E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 xml:space="preserve">W zakresie zgodności przygotowania i wdrażania programów współfinansowanych w ramach 8 funduszy z postanowieniami Konwencji o prawach osób niepełnosprawnych (KPON), w tym zgłaszania komitetowi monitorującemu przypadków niezgodności operacji wspieranych przez fundusze z KPON, przyjęto jednolitą procedurę na poziomie umowy partnerstwa oraz dla każdego z programów. </w:t>
            </w:r>
          </w:p>
          <w:p w14:paraId="6F47964A" w14:textId="7F0BEE07" w:rsidR="00644235" w:rsidRPr="00EE14D2" w:rsidRDefault="00BB70EF" w:rsidP="00BB70E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Procedura dotyczy weryfikacji zgodności z KPON zarówno na etapie złożenia wniosku o dofinansowanie jak i w trakcie realizacji projektów. Podejrzenia o niezgodności projektów i/lub działań Beneficjenta lub IP/IW/IZ z KPON zgłaszane są odpowiednio do IP/IW/IZ/Rzecznika Funduszy UE (w zakresie programów finansowanych z EFMRA, FAM, IZGW i FBW istnieje właściwy odpowiednich Rzecznika Funduszy ).  Właściwa instytucja dokonuje analizy, podejmuje czynności w celu zweryfikowania stanu faktycznego i rozstrzyga o zasadności zgłoszenia. W przypadku potwierdzenia naruszenia artykułów KPON w zależności od charakteru sprawy właściwa instytucja przekazuje zgłoszenie naruszenia do odpowiednich służb, tj. RPO, PIP, Rzecznika Praw </w:t>
            </w:r>
            <w:r w:rsidRPr="00EE14D2">
              <w:rPr>
                <w:rFonts w:ascii="Times New Roman" w:eastAsia="Times New Roman" w:hAnsi="Times New Roman" w:cs="Times New Roman"/>
                <w:noProof/>
                <w:color w:val="000000"/>
                <w:sz w:val="20"/>
                <w:szCs w:val="20"/>
              </w:rPr>
              <w:lastRenderedPageBreak/>
              <w:t>Pacjenta lub/i właściwych organów ścigania. IZ Programu przygotowuje roczną zbiorczą informację o wszystkich zgłoszeniach dotyczących niezgodności projektów z KPON, w celu rozpatrzenia i akceptacji przez KM Programu oraz prowadzi w politykę informacyjną w ww. obszarze. KM podejmuje decyzję o podjęciu właściwych działań zaradczych w odniesieniu do zgłoszonych przypadków.</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5D93BD"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Kryterium zostanie spełnione poprzez wprowadzenie obowiązkowego rocznego raportowania Komitetowi Monitorującemu o zgłoszonych przypadkach niezgodności interwencji/działań z KPON oraz skargach na nieprzestrzeganie KPON.</w:t>
            </w:r>
          </w:p>
          <w:p w14:paraId="28F98112"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KM będzie informowany o charakterze i liczbie skarg i przypadków niezgodności interwencji realizowanej w ramach programu z zapisami KPON oraz o tym, jakie czynności w związku z ich wystąpieniem podjęły właściwe instytucje. W przypadku naruszeń systemowych lub powtarzających się, po przedstawieniu sprawozdania przez IZ, KM będzie mógł powziąć szereg działań, aby przeciwdziałać ich występowaniu w przyszłości.</w:t>
            </w:r>
          </w:p>
          <w:p w14:paraId="06D946FD"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Zakres prerogatyw KM w tym względzie zostanie określony w regulaminie KM, w oparciu o minimalne uprawnienia określone dla KM wszystkich programów, w tym: (1) możliwość powołania grupy roboczej do rozpatrzenia danego zagadnienia/zidentyfikowanego problemu, (2) przeprowadzenie dalszych analiz w celu opracowania szczegółowych zaleceń/rekomendacji dotyczących najbardziej powtarzalnych naruszeń, czy też (3) intensyfikacji prowadzonych działań świadomościowych i informacyjnych.</w:t>
            </w:r>
          </w:p>
          <w:p w14:paraId="58851B45"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r>
      <w:tr w:rsidR="00644235" w:rsidRPr="00EE14D2" w14:paraId="48C3C384" w14:textId="77777777" w:rsidTr="00644235">
        <w:trPr>
          <w:jc w:val="center"/>
        </w:trPr>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DF456D"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1.1. Dobre zarządzanie krajową lub regionalną strategią inteligentnej specjalizacji</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773785"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p w14:paraId="4F99C9C0"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EFRR</w:t>
            </w:r>
          </w:p>
          <w:p w14:paraId="59DD9BD2"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AFB5A9"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p w14:paraId="60D8DD39"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RSO1.1. Rozwijanie i wzmacnianie zdolności badawczych i innowacyjnych oraz wykorzystywanie zaawansowanych technologii</w:t>
            </w:r>
          </w:p>
          <w:p w14:paraId="7AABC2D3"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5E00CE"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Tak</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51A4E4"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Strategia (strategie) inteligentnej specjalizacji powinna (powinny) być wspierana przez: </w:t>
            </w:r>
          </w:p>
          <w:p w14:paraId="1E2FB8AA"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1. aktualną analizę wyzwań związanych z upowszechnianiem innowacji oraz cyfryzacją;</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CC12B9"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F70930" w14:textId="3D979ACD" w:rsidR="00644235" w:rsidRPr="00EE14D2" w:rsidRDefault="00644235" w:rsidP="00644235">
            <w:pPr>
              <w:spacing w:before="100" w:after="0" w:line="240" w:lineRule="auto"/>
              <w:rPr>
                <w:rFonts w:ascii="Times New Roman" w:eastAsia="Times New Roman" w:hAnsi="Times New Roman" w:cs="Times New Roman"/>
                <w:noProof/>
                <w:color w:val="FF0000"/>
                <w:sz w:val="20"/>
                <w:szCs w:val="20"/>
              </w:rPr>
            </w:pPr>
            <w:r w:rsidRPr="00EE14D2">
              <w:rPr>
                <w:rFonts w:ascii="Times New Roman" w:eastAsia="Times New Roman" w:hAnsi="Times New Roman" w:cs="Times New Roman"/>
                <w:noProof/>
                <w:sz w:val="20"/>
                <w:szCs w:val="20"/>
              </w:rPr>
              <w:t xml:space="preserve">Poziom krajowy: </w:t>
            </w:r>
          </w:p>
          <w:p w14:paraId="4BD71A28" w14:textId="77777777" w:rsidR="001E025D" w:rsidRPr="00EE14D2" w:rsidRDefault="001E025D" w:rsidP="001E025D">
            <w:pPr>
              <w:spacing w:before="100" w:after="0" w:line="240" w:lineRule="auto"/>
              <w:rPr>
                <w:rFonts w:ascii="Times New Roman" w:eastAsia="Times New Roman" w:hAnsi="Times New Roman" w:cs="Times New Roman"/>
                <w:noProof/>
                <w:color w:val="000000" w:themeColor="text1"/>
                <w:sz w:val="20"/>
                <w:szCs w:val="20"/>
              </w:rPr>
            </w:pPr>
            <w:r w:rsidRPr="00EE14D2">
              <w:rPr>
                <w:rFonts w:ascii="Times New Roman" w:eastAsia="Times New Roman" w:hAnsi="Times New Roman" w:cs="Times New Roman"/>
                <w:noProof/>
                <w:color w:val="000000" w:themeColor="text1"/>
                <w:sz w:val="20"/>
                <w:szCs w:val="20"/>
              </w:rPr>
              <w:t xml:space="preserve">Spełnieniem warunku są mechanizmy wskazane w Strategii na rzecz Odpowiedzialnego Rozwoju w celu dot. trwałego wzrostu gospodarczego opartego coraz silniej o wiedzę, dane i doskonałość organizacyjną, a także w projekcie Strategii Produktywności 2030 oraz Krajowej Inteligentnej Specjalizacji (KIS) i Regionalnych Inteligentnych Specjalizacjach (RIS) z uwzględnieniem procesu przedsiębiorczego odkrywania jako kluczowego elementu koncepcji inteligentnej specjalizacji. Minister wł. ds. gospodarki odpowiada za: opracowanie koncepcji, wdrażanie, proces przedsiębiorczego odkrywania, monitorowanie, ewaluację oraz koordynację i monitorowanie KIS i RIS. Jako element ciągłego procesu przedsiębiorczego odkrywania oraz </w:t>
            </w:r>
            <w:r w:rsidRPr="00EE14D2">
              <w:rPr>
                <w:rFonts w:ascii="Times New Roman" w:eastAsia="Times New Roman" w:hAnsi="Times New Roman" w:cs="Times New Roman"/>
                <w:noProof/>
                <w:color w:val="000000" w:themeColor="text1"/>
                <w:sz w:val="20"/>
                <w:szCs w:val="20"/>
              </w:rPr>
              <w:lastRenderedPageBreak/>
              <w:t>monitorowania inteligentnych specjalizacji prowadzone są prace związane z aktualizacją dokumentu kierunkowego KIS, kontynuowane są prace związane z rozbudową i zasilaniem danymi narzędzia interaktywnego do monitorowania krajowych i regionalnych inteligentnych specjalizacji oraz dedykowanej strony internetowej smart.gov.pl, a także  przeprowadzane są analizy m.in. dot. zasobów i potencjału technologicznego w jednostkach naukowych , identyfikacji trendów rozwojowych w obszarze technologii, wypracowania metodologii przełożenia klasyfikacji kodów PKD na KIS oraz opracowania metodologii w zakresie map drogowych w obszarach KIS.</w:t>
            </w:r>
          </w:p>
          <w:p w14:paraId="1613517E" w14:textId="77777777" w:rsidR="001E025D" w:rsidRPr="00EE14D2" w:rsidRDefault="001E025D" w:rsidP="001E025D">
            <w:pPr>
              <w:spacing w:before="100" w:after="0" w:line="240" w:lineRule="auto"/>
              <w:rPr>
                <w:rFonts w:ascii="Times New Roman" w:eastAsia="Times New Roman" w:hAnsi="Times New Roman" w:cs="Times New Roman"/>
                <w:noProof/>
                <w:color w:val="000000" w:themeColor="text1"/>
                <w:sz w:val="20"/>
                <w:szCs w:val="20"/>
              </w:rPr>
            </w:pPr>
            <w:r w:rsidRPr="00EE14D2">
              <w:rPr>
                <w:rFonts w:ascii="Times New Roman" w:eastAsia="Times New Roman" w:hAnsi="Times New Roman" w:cs="Times New Roman"/>
                <w:noProof/>
                <w:color w:val="000000" w:themeColor="text1"/>
                <w:sz w:val="20"/>
                <w:szCs w:val="20"/>
              </w:rPr>
              <w:t xml:space="preserve">Za najważniejsze transformacje które musi skutecznie przejść polska gospodarka uznano: budowę gospodarki o obiegu zamkniętym, rozwój przemysłu 4.0, cyfryzację przedsiębiorstw i gospodarkę neutralną klimatycznie. </w:t>
            </w:r>
          </w:p>
          <w:p w14:paraId="7E2A03E5" w14:textId="77777777" w:rsidR="001E025D" w:rsidRPr="00EE14D2" w:rsidRDefault="001E025D" w:rsidP="001E025D">
            <w:pPr>
              <w:spacing w:before="100" w:after="0" w:line="240" w:lineRule="auto"/>
              <w:rPr>
                <w:rFonts w:ascii="Times New Roman" w:eastAsia="Times New Roman" w:hAnsi="Times New Roman" w:cs="Times New Roman"/>
                <w:noProof/>
                <w:color w:val="000000" w:themeColor="text1"/>
                <w:sz w:val="20"/>
                <w:szCs w:val="20"/>
              </w:rPr>
            </w:pPr>
            <w:r w:rsidRPr="00EE14D2">
              <w:rPr>
                <w:rFonts w:ascii="Times New Roman" w:eastAsia="Times New Roman" w:hAnsi="Times New Roman" w:cs="Times New Roman"/>
                <w:noProof/>
                <w:color w:val="000000" w:themeColor="text1"/>
                <w:sz w:val="20"/>
                <w:szCs w:val="20"/>
              </w:rPr>
              <w:t xml:space="preserve">W każdym z ww. obszarów podejmowanych jest szereg działań opisanych odpowiednio m.in. w  SOR, Mapie GOZ, Polityce Przemysłowej Polski, ustawie o Fundacji Platforma Przemysłu Przyszłości, programach Mój Prąd i Czyste Powietrze, koncepcji procesu standaryzacji Hubów Innowacji </w:t>
            </w:r>
            <w:r w:rsidRPr="00EE14D2">
              <w:rPr>
                <w:rFonts w:ascii="Times New Roman" w:eastAsia="Times New Roman" w:hAnsi="Times New Roman" w:cs="Times New Roman"/>
                <w:noProof/>
                <w:color w:val="000000" w:themeColor="text1"/>
                <w:sz w:val="20"/>
                <w:szCs w:val="20"/>
              </w:rPr>
              <w:lastRenderedPageBreak/>
              <w:t>Cyfrowych, Polityce SI, Polityce Danych, koncepcji Szkoły Głównej Kompetencji Cyfrowych oraz Strategii Transformacji do Gospodarki Neutralnej Klimatycznie.</w:t>
            </w:r>
          </w:p>
          <w:p w14:paraId="66F768F8" w14:textId="04B94994" w:rsidR="001E025D" w:rsidRPr="00EE14D2" w:rsidRDefault="001E025D" w:rsidP="001E025D">
            <w:pPr>
              <w:spacing w:before="100" w:after="0" w:line="240" w:lineRule="auto"/>
              <w:rPr>
                <w:rFonts w:ascii="Times New Roman" w:eastAsia="Times New Roman" w:hAnsi="Times New Roman" w:cs="Times New Roman"/>
                <w:noProof/>
                <w:color w:val="000000" w:themeColor="text1"/>
                <w:sz w:val="20"/>
                <w:szCs w:val="20"/>
              </w:rPr>
            </w:pPr>
            <w:r w:rsidRPr="00EE14D2">
              <w:rPr>
                <w:rFonts w:ascii="Times New Roman" w:eastAsia="Times New Roman" w:hAnsi="Times New Roman" w:cs="Times New Roman"/>
                <w:noProof/>
                <w:color w:val="000000" w:themeColor="text1"/>
                <w:sz w:val="20"/>
                <w:szCs w:val="20"/>
              </w:rPr>
              <w:t>Ponadto w celu spełnienia warunku promowana jest współpraca międzyregionalna i ponadnarodowa w obszarach inteligentnych specjalizacji (np. Partnerstwa S3 przy KE, Interreg, EIT, Horyzont 2020, Innovoucher, TravelGrants, projekty Grupy Wyszehradzkiej, TeamNet, bilateralne projekty akceleracyjne), a także internacjonalizacja polskich firm np.: Umiędzynarodowienie Krajowych Klastrów Kluczowych, Brand, Go to Brand, Poland Prize, Polskie Mosty Technologiczne, Granty na Eurogranty.</w:t>
            </w:r>
          </w:p>
          <w:p w14:paraId="62A696BF" w14:textId="77777777" w:rsidR="00FC78D6" w:rsidRPr="00EE14D2" w:rsidRDefault="00FC78D6" w:rsidP="00FC78D6">
            <w:pPr>
              <w:spacing w:before="100" w:after="0" w:line="240" w:lineRule="auto"/>
              <w:rPr>
                <w:rFonts w:ascii="Times New Roman" w:eastAsia="Times New Roman" w:hAnsi="Times New Roman" w:cs="Times New Roman"/>
                <w:noProof/>
                <w:color w:val="000000" w:themeColor="text1"/>
                <w:sz w:val="20"/>
                <w:szCs w:val="20"/>
              </w:rPr>
            </w:pPr>
            <w:r w:rsidRPr="00EE14D2">
              <w:rPr>
                <w:rFonts w:ascii="Times New Roman" w:eastAsia="Times New Roman" w:hAnsi="Times New Roman" w:cs="Times New Roman"/>
                <w:noProof/>
                <w:color w:val="000000" w:themeColor="text1"/>
                <w:sz w:val="20"/>
                <w:szCs w:val="20"/>
              </w:rPr>
              <w:t>Strategia na rzecz Odpowiedzialnego Rozwoju -  Ministerstwo Funduszy i Polityki Regionalnej</w:t>
            </w:r>
          </w:p>
          <w:p w14:paraId="2BF206D0" w14:textId="77777777" w:rsidR="00FC78D6" w:rsidRPr="00EE14D2" w:rsidRDefault="00FC78D6" w:rsidP="00FC78D6">
            <w:pPr>
              <w:spacing w:before="100" w:after="0" w:line="240" w:lineRule="auto"/>
              <w:rPr>
                <w:rFonts w:ascii="Times New Roman" w:eastAsia="Times New Roman" w:hAnsi="Times New Roman" w:cs="Times New Roman"/>
                <w:noProof/>
                <w:color w:val="000000" w:themeColor="text1"/>
                <w:sz w:val="20"/>
                <w:szCs w:val="20"/>
              </w:rPr>
            </w:pPr>
            <w:r w:rsidRPr="00EE14D2">
              <w:rPr>
                <w:rFonts w:ascii="Times New Roman" w:eastAsia="Times New Roman" w:hAnsi="Times New Roman" w:cs="Times New Roman"/>
                <w:noProof/>
                <w:color w:val="000000" w:themeColor="text1"/>
                <w:sz w:val="20"/>
                <w:szCs w:val="20"/>
              </w:rPr>
              <w:t>https://www.gov.pl/web/fundusze-regiony/informacje-o-strategii-na-rzecz-odpowiedzialnego-rozwoju</w:t>
            </w:r>
          </w:p>
          <w:p w14:paraId="7EFC22D7" w14:textId="77777777" w:rsidR="00FC78D6" w:rsidRPr="00EE14D2" w:rsidRDefault="00FC78D6" w:rsidP="00FC78D6">
            <w:pPr>
              <w:spacing w:before="100" w:after="0" w:line="240" w:lineRule="auto"/>
              <w:rPr>
                <w:rFonts w:ascii="Times New Roman" w:eastAsia="Times New Roman" w:hAnsi="Times New Roman" w:cs="Times New Roman"/>
                <w:noProof/>
                <w:color w:val="000000" w:themeColor="text1"/>
                <w:sz w:val="20"/>
                <w:szCs w:val="20"/>
              </w:rPr>
            </w:pPr>
          </w:p>
          <w:p w14:paraId="29D184AC" w14:textId="77777777" w:rsidR="00FC78D6" w:rsidRPr="00EE14D2" w:rsidRDefault="00FC78D6" w:rsidP="00FC78D6">
            <w:pPr>
              <w:spacing w:before="100" w:after="0" w:line="240" w:lineRule="auto"/>
              <w:rPr>
                <w:rFonts w:ascii="Times New Roman" w:eastAsia="Times New Roman" w:hAnsi="Times New Roman" w:cs="Times New Roman"/>
                <w:noProof/>
                <w:color w:val="000000" w:themeColor="text1"/>
                <w:sz w:val="20"/>
                <w:szCs w:val="20"/>
              </w:rPr>
            </w:pPr>
            <w:r w:rsidRPr="00EE14D2">
              <w:rPr>
                <w:rFonts w:ascii="Times New Roman" w:eastAsia="Times New Roman" w:hAnsi="Times New Roman" w:cs="Times New Roman"/>
                <w:noProof/>
                <w:color w:val="000000" w:themeColor="text1"/>
                <w:sz w:val="20"/>
                <w:szCs w:val="20"/>
              </w:rPr>
              <w:t>Strategia Produktywności (projekt) - Ministerstwo Rozwoju i Technologii</w:t>
            </w:r>
          </w:p>
          <w:p w14:paraId="65DB89FB" w14:textId="77777777" w:rsidR="00FC78D6" w:rsidRPr="00EE14D2" w:rsidRDefault="00FC78D6" w:rsidP="00FC78D6">
            <w:pPr>
              <w:spacing w:before="100" w:after="0" w:line="240" w:lineRule="auto"/>
              <w:rPr>
                <w:rFonts w:ascii="Times New Roman" w:eastAsia="Times New Roman" w:hAnsi="Times New Roman" w:cs="Times New Roman"/>
                <w:noProof/>
                <w:color w:val="000000" w:themeColor="text1"/>
                <w:sz w:val="20"/>
                <w:szCs w:val="20"/>
              </w:rPr>
            </w:pPr>
            <w:r w:rsidRPr="00EE14D2">
              <w:rPr>
                <w:rFonts w:ascii="Times New Roman" w:eastAsia="Times New Roman" w:hAnsi="Times New Roman" w:cs="Times New Roman"/>
                <w:noProof/>
                <w:color w:val="000000" w:themeColor="text1"/>
                <w:sz w:val="20"/>
                <w:szCs w:val="20"/>
              </w:rPr>
              <w:t>https://www.gov.pl/web/rozwoj-praca-technologia/konsultacje-publiczne-projektu-strategii-produktywnosci-2031</w:t>
            </w:r>
          </w:p>
          <w:p w14:paraId="324957AC" w14:textId="77777777" w:rsidR="00FC78D6" w:rsidRPr="00EE14D2" w:rsidRDefault="00FC78D6" w:rsidP="00FC78D6">
            <w:pPr>
              <w:spacing w:before="100" w:after="0" w:line="240" w:lineRule="auto"/>
              <w:rPr>
                <w:rFonts w:ascii="Times New Roman" w:eastAsia="Times New Roman" w:hAnsi="Times New Roman" w:cs="Times New Roman"/>
                <w:noProof/>
                <w:color w:val="000000" w:themeColor="text1"/>
                <w:sz w:val="20"/>
                <w:szCs w:val="20"/>
              </w:rPr>
            </w:pPr>
          </w:p>
          <w:p w14:paraId="42B53421" w14:textId="77777777" w:rsidR="00FC78D6" w:rsidRPr="00EE14D2" w:rsidRDefault="00FC78D6" w:rsidP="00FC78D6">
            <w:pPr>
              <w:spacing w:before="100" w:after="0" w:line="240" w:lineRule="auto"/>
              <w:rPr>
                <w:rFonts w:ascii="Times New Roman" w:eastAsia="Times New Roman" w:hAnsi="Times New Roman" w:cs="Times New Roman"/>
                <w:noProof/>
                <w:color w:val="000000" w:themeColor="text1"/>
                <w:sz w:val="20"/>
                <w:szCs w:val="20"/>
              </w:rPr>
            </w:pPr>
            <w:r w:rsidRPr="00EE14D2">
              <w:rPr>
                <w:rFonts w:ascii="Times New Roman" w:eastAsia="Times New Roman" w:hAnsi="Times New Roman" w:cs="Times New Roman"/>
                <w:noProof/>
                <w:color w:val="000000" w:themeColor="text1"/>
                <w:sz w:val="20"/>
                <w:szCs w:val="20"/>
              </w:rPr>
              <w:t xml:space="preserve">Raport Organizacji Współpracy Gospodarczej i Rozwoju – OECD Economic Survey Poland z 2018 r., którego tematem przewodnim było wzmocnienie innowacyjności w Polsce - OECD </w:t>
            </w:r>
          </w:p>
          <w:p w14:paraId="3C9DBD3D" w14:textId="77777777" w:rsidR="00FC78D6" w:rsidRPr="00EE14D2" w:rsidRDefault="00FC78D6" w:rsidP="00FC78D6">
            <w:pPr>
              <w:spacing w:before="100" w:after="0" w:line="240" w:lineRule="auto"/>
              <w:rPr>
                <w:rFonts w:ascii="Times New Roman" w:eastAsia="Times New Roman" w:hAnsi="Times New Roman" w:cs="Times New Roman"/>
                <w:noProof/>
                <w:color w:val="000000" w:themeColor="text1"/>
                <w:sz w:val="20"/>
                <w:szCs w:val="20"/>
              </w:rPr>
            </w:pPr>
            <w:r w:rsidRPr="00EE14D2">
              <w:rPr>
                <w:rFonts w:ascii="Times New Roman" w:eastAsia="Times New Roman" w:hAnsi="Times New Roman" w:cs="Times New Roman"/>
                <w:noProof/>
                <w:color w:val="000000" w:themeColor="text1"/>
                <w:sz w:val="20"/>
                <w:szCs w:val="20"/>
              </w:rPr>
              <w:t>https://www.oecd-ilibrary.org/economics/oecd-economic-surveys-poland-2018_eco_surveys-pol-2018-en</w:t>
            </w:r>
          </w:p>
          <w:p w14:paraId="0A71B28B" w14:textId="77777777" w:rsidR="00FC78D6" w:rsidRPr="00EE14D2" w:rsidRDefault="00FC78D6" w:rsidP="00FC78D6">
            <w:pPr>
              <w:spacing w:before="100" w:after="0" w:line="240" w:lineRule="auto"/>
              <w:rPr>
                <w:rFonts w:ascii="Times New Roman" w:eastAsia="Times New Roman" w:hAnsi="Times New Roman" w:cs="Times New Roman"/>
                <w:noProof/>
                <w:color w:val="000000" w:themeColor="text1"/>
                <w:sz w:val="20"/>
                <w:szCs w:val="20"/>
              </w:rPr>
            </w:pPr>
          </w:p>
          <w:p w14:paraId="46DB28C1" w14:textId="77777777" w:rsidR="00FC78D6" w:rsidRPr="00EE14D2" w:rsidRDefault="00FC78D6" w:rsidP="00FC78D6">
            <w:pPr>
              <w:spacing w:before="100" w:after="0" w:line="240" w:lineRule="auto"/>
              <w:rPr>
                <w:rFonts w:ascii="Times New Roman" w:eastAsia="Times New Roman" w:hAnsi="Times New Roman" w:cs="Times New Roman"/>
                <w:noProof/>
                <w:color w:val="000000" w:themeColor="text1"/>
                <w:sz w:val="20"/>
                <w:szCs w:val="20"/>
              </w:rPr>
            </w:pPr>
            <w:r w:rsidRPr="00EE14D2">
              <w:rPr>
                <w:rFonts w:ascii="Times New Roman" w:eastAsia="Times New Roman" w:hAnsi="Times New Roman" w:cs="Times New Roman"/>
                <w:noProof/>
                <w:color w:val="000000" w:themeColor="text1"/>
                <w:sz w:val="20"/>
                <w:szCs w:val="20"/>
              </w:rPr>
              <w:t>Smart Industry Polska 2019 oraz Smart Industry Polska 2018-  Ministerstwo Rozwoju i Technologii</w:t>
            </w:r>
          </w:p>
          <w:p w14:paraId="60B75F09" w14:textId="77777777" w:rsidR="00FC78D6" w:rsidRPr="00EE14D2" w:rsidRDefault="00FC78D6" w:rsidP="00FC78D6">
            <w:pPr>
              <w:spacing w:before="100" w:after="0" w:line="240" w:lineRule="auto"/>
              <w:rPr>
                <w:rFonts w:ascii="Times New Roman" w:eastAsia="Times New Roman" w:hAnsi="Times New Roman" w:cs="Times New Roman"/>
                <w:noProof/>
                <w:color w:val="000000" w:themeColor="text1"/>
                <w:sz w:val="20"/>
                <w:szCs w:val="20"/>
              </w:rPr>
            </w:pPr>
            <w:r w:rsidRPr="00EE14D2">
              <w:rPr>
                <w:rFonts w:ascii="Times New Roman" w:eastAsia="Times New Roman" w:hAnsi="Times New Roman" w:cs="Times New Roman"/>
                <w:noProof/>
                <w:color w:val="000000" w:themeColor="text1"/>
                <w:sz w:val="20"/>
                <w:szCs w:val="20"/>
              </w:rPr>
              <w:t>https://publikacje.siemens-info.com/ebook/554/raport-smart-industry-polska-2019</w:t>
            </w:r>
          </w:p>
          <w:p w14:paraId="75C5BDD3" w14:textId="77777777" w:rsidR="00FC78D6" w:rsidRPr="00EE14D2" w:rsidRDefault="00FC78D6" w:rsidP="00FC78D6">
            <w:pPr>
              <w:spacing w:before="100" w:after="0" w:line="240" w:lineRule="auto"/>
              <w:rPr>
                <w:rFonts w:ascii="Times New Roman" w:eastAsia="Times New Roman" w:hAnsi="Times New Roman" w:cs="Times New Roman"/>
                <w:noProof/>
                <w:color w:val="000000" w:themeColor="text1"/>
                <w:sz w:val="20"/>
                <w:szCs w:val="20"/>
              </w:rPr>
            </w:pPr>
            <w:r w:rsidRPr="00EE14D2">
              <w:rPr>
                <w:rFonts w:ascii="Times New Roman" w:eastAsia="Times New Roman" w:hAnsi="Times New Roman" w:cs="Times New Roman"/>
                <w:noProof/>
                <w:color w:val="000000" w:themeColor="text1"/>
                <w:sz w:val="20"/>
                <w:szCs w:val="20"/>
              </w:rPr>
              <w:t>https://publikacje.siemens-info.com/ebook/165/raport-smart-industry-polska-2018</w:t>
            </w:r>
          </w:p>
          <w:p w14:paraId="3E103486" w14:textId="77777777" w:rsidR="00FC78D6" w:rsidRPr="00EE14D2" w:rsidRDefault="00FC78D6" w:rsidP="00FC78D6">
            <w:pPr>
              <w:spacing w:before="100" w:after="0" w:line="240" w:lineRule="auto"/>
              <w:rPr>
                <w:rFonts w:ascii="Times New Roman" w:eastAsia="Times New Roman" w:hAnsi="Times New Roman" w:cs="Times New Roman"/>
                <w:noProof/>
                <w:color w:val="000000" w:themeColor="text1"/>
                <w:sz w:val="20"/>
                <w:szCs w:val="20"/>
              </w:rPr>
            </w:pPr>
          </w:p>
          <w:p w14:paraId="0EBBCFAD" w14:textId="77777777" w:rsidR="00FC78D6" w:rsidRPr="00EE14D2" w:rsidRDefault="00FC78D6" w:rsidP="00FC78D6">
            <w:pPr>
              <w:spacing w:before="100" w:after="0" w:line="240" w:lineRule="auto"/>
              <w:rPr>
                <w:rFonts w:ascii="Times New Roman" w:eastAsia="Times New Roman" w:hAnsi="Times New Roman" w:cs="Times New Roman"/>
                <w:noProof/>
                <w:color w:val="000000" w:themeColor="text1"/>
                <w:sz w:val="20"/>
                <w:szCs w:val="20"/>
              </w:rPr>
            </w:pPr>
            <w:r w:rsidRPr="00EE14D2">
              <w:rPr>
                <w:rFonts w:ascii="Times New Roman" w:eastAsia="Times New Roman" w:hAnsi="Times New Roman" w:cs="Times New Roman"/>
                <w:noProof/>
                <w:color w:val="000000" w:themeColor="text1"/>
                <w:sz w:val="20"/>
                <w:szCs w:val="20"/>
              </w:rPr>
              <w:t>Analizy dot. digitalizacji i przemysłu 4.0 będące podstawą działań FPPP - Fundacja Platforma Przemysłu Przyszłości</w:t>
            </w:r>
          </w:p>
          <w:p w14:paraId="5348529C" w14:textId="561ACEE7" w:rsidR="00FC78D6" w:rsidRPr="00EE14D2" w:rsidRDefault="00FC78D6" w:rsidP="00FC78D6">
            <w:pPr>
              <w:spacing w:before="100" w:after="0" w:line="240" w:lineRule="auto"/>
              <w:rPr>
                <w:rFonts w:ascii="Times New Roman" w:eastAsia="Times New Roman" w:hAnsi="Times New Roman" w:cs="Times New Roman"/>
                <w:noProof/>
                <w:color w:val="000000" w:themeColor="text1"/>
                <w:sz w:val="20"/>
                <w:szCs w:val="20"/>
              </w:rPr>
            </w:pPr>
            <w:r w:rsidRPr="00EE14D2">
              <w:rPr>
                <w:rFonts w:ascii="Times New Roman" w:eastAsia="Times New Roman" w:hAnsi="Times New Roman" w:cs="Times New Roman"/>
                <w:noProof/>
                <w:color w:val="000000" w:themeColor="text1"/>
                <w:sz w:val="20"/>
                <w:szCs w:val="20"/>
              </w:rPr>
              <w:t>https://przemyslprzyszlosci.gov.pl/baza-wiedzy/biblioteka-4-0/</w:t>
            </w:r>
          </w:p>
          <w:p w14:paraId="5228694D" w14:textId="77777777" w:rsidR="00644235" w:rsidRPr="00EE14D2" w:rsidRDefault="00644235" w:rsidP="00644235">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Poziom regionalny:</w:t>
            </w:r>
          </w:p>
          <w:p w14:paraId="65C646C7" w14:textId="77777777" w:rsidR="00644235" w:rsidRPr="00EE14D2" w:rsidRDefault="00644235" w:rsidP="00644235">
            <w:pPr>
              <w:spacing w:before="100" w:after="0" w:line="240" w:lineRule="auto"/>
              <w:rPr>
                <w:rFonts w:ascii="Times New Roman" w:eastAsia="Times New Roman" w:hAnsi="Times New Roman" w:cs="Times New Roman"/>
                <w:noProof/>
                <w:color w:val="FF0000"/>
                <w:sz w:val="20"/>
                <w:szCs w:val="20"/>
              </w:rPr>
            </w:pPr>
          </w:p>
          <w:p w14:paraId="096D55F5" w14:textId="77777777" w:rsidR="0059062C" w:rsidRPr="00EE14D2" w:rsidRDefault="0059062C" w:rsidP="0059062C">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*Dolnośląska Strategia Innowacji 2030 (dokument przyjęty przez Zarząd Województwa Dolnośląskiego 5 stycznia 2021 r. uchwałą nr 3270/VI/21) (https://umwd.dolnyslask.pl/gospodarka/dolnoslaska-strategia-innowacji-2030/  )</w:t>
            </w:r>
          </w:p>
          <w:p w14:paraId="42874483" w14:textId="77777777" w:rsidR="0059062C" w:rsidRPr="00EE14D2" w:rsidRDefault="0059062C" w:rsidP="0059062C">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wraz z załącznikiem pn. Diagnoza innowacyjności Dolnego Śląska (Rozdział 5 i 6) (https://umwd.dolnyslask.pl/gospodarka/dolnoslaska-strategia-innowacji-2030/aktualnosci/artykul/zarzad-wojewodztwa-dolnoslaskiego-przyjal-dolnoslaska-strategie-innowacji-2030/); </w:t>
            </w:r>
          </w:p>
          <w:p w14:paraId="5A5C2B62" w14:textId="77777777" w:rsidR="0059062C" w:rsidRPr="00EE14D2" w:rsidRDefault="0059062C" w:rsidP="0059062C">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 Uchwała nr 3798/VI/21 Zarządu Województwa Dolnośląskiego z dnia 1 czerwca 2021 r. w sprawie powołania Grupy Roboczej ds. Inteligentnych Specjalizacji; </w:t>
            </w:r>
          </w:p>
          <w:p w14:paraId="1CF9279E" w14:textId="77777777" w:rsidR="0059062C" w:rsidRPr="00EE14D2" w:rsidRDefault="0059062C" w:rsidP="0059062C">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 Uchwała nr 4715/VI/21 Zarządu Województwa Dolnośląskiego z dnia 21 grudnia 2021 r. w sprawie określenia składu Grupy Roboczej ds. Inteligentnych Specjalizacji (https://umwd.dolnyslask.pl/gospodarka/dolnoslaskie-inteligentne-specjalizacje/grupa-robocza-ds-inteligentnych-specjalizacji/  ); </w:t>
            </w:r>
          </w:p>
          <w:p w14:paraId="1D71AA26" w14:textId="77777777" w:rsidR="0059062C" w:rsidRPr="00EE14D2" w:rsidRDefault="0059062C" w:rsidP="0059062C">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*Uchwała nr4314/VI/21 Zarządu Województwa Dolnośląskiego z dnia </w:t>
            </w:r>
            <w:r w:rsidRPr="00EE14D2">
              <w:rPr>
                <w:rFonts w:ascii="Times New Roman" w:eastAsia="Times New Roman" w:hAnsi="Times New Roman" w:cs="Times New Roman"/>
                <w:noProof/>
                <w:sz w:val="20"/>
                <w:szCs w:val="20"/>
              </w:rPr>
              <w:lastRenderedPageBreak/>
              <w:t>21września 2021 r. w sprawie powołania Grupy Ekspertów ds. Dolnośląskiej Strategii Innowacji 2030 (https://umwd.dolnyslask.pl/gospodarka/dolnoslaska-strategia-innowacji-2030/grupa-ekspertow-ds-dolnoslaskiej-strategii-innowacji-2030/artykul/grupa-ekspertow-ds-dolnoslaskiej-strategii-innowacji-2030/)</w:t>
            </w:r>
          </w:p>
          <w:p w14:paraId="2C992DCD" w14:textId="77777777" w:rsidR="0059062C" w:rsidRPr="00EE14D2" w:rsidRDefault="0059062C" w:rsidP="0059062C">
            <w:pPr>
              <w:spacing w:before="100" w:after="0" w:line="240" w:lineRule="auto"/>
              <w:rPr>
                <w:rFonts w:ascii="Times New Roman" w:eastAsia="Times New Roman" w:hAnsi="Times New Roman" w:cs="Times New Roman"/>
                <w:noProof/>
                <w:sz w:val="20"/>
                <w:szCs w:val="20"/>
              </w:rPr>
            </w:pPr>
          </w:p>
          <w:p w14:paraId="0B7EDB95" w14:textId="77777777" w:rsidR="0059062C" w:rsidRPr="00EE14D2" w:rsidRDefault="0059062C" w:rsidP="0059062C">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*Raport monitoringowy Regionalnej Strategii Innowacji województwa dolnośląskiego z uwzględnieniem Ram strategicznych na rzecz inteligentnych specjalizacji Dolnego Śląska.</w:t>
            </w:r>
          </w:p>
          <w:p w14:paraId="1CBA88E5" w14:textId="77777777" w:rsidR="0059062C" w:rsidRPr="00EE14D2" w:rsidRDefault="0059062C" w:rsidP="0059062C">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*Monitoring kontekstowy Inteligentnych Specjalizacji Dolnego Śląska.</w:t>
            </w:r>
          </w:p>
          <w:p w14:paraId="3B2281A6" w14:textId="77777777" w:rsidR="0059062C" w:rsidRPr="00EE14D2" w:rsidRDefault="0059062C" w:rsidP="0059062C">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*Diagnoza i trendy rozwojowe dolnośląskiej inteligentnej specjalizacji: Branży chemicznej i farmaceutycznej.</w:t>
            </w:r>
          </w:p>
          <w:p w14:paraId="35D48995" w14:textId="77777777" w:rsidR="0059062C" w:rsidRPr="00EE14D2" w:rsidRDefault="0059062C" w:rsidP="0059062C">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*Diagnoza i trendy rozwojowe dolnośląskiej inteligentnej specjalizacji:  Produkcja maszyn i urządzeń, obróbka materiałów.</w:t>
            </w:r>
          </w:p>
          <w:p w14:paraId="35AEEF86" w14:textId="77777777" w:rsidR="0059062C" w:rsidRPr="00EE14D2" w:rsidRDefault="0059062C" w:rsidP="0059062C">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*Diagnoza i trendy rozwojowe dolnośląskiej inteligentnej specjalizacji: Surowce naturalne i wtórne.</w:t>
            </w:r>
          </w:p>
          <w:p w14:paraId="1327ABB8" w14:textId="77777777" w:rsidR="0059062C" w:rsidRPr="00EE14D2" w:rsidRDefault="0059062C" w:rsidP="0059062C">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*Diagnoza i trendy rozwojowe dolnośląskiej inteligentnej specjalizacji: Żywność wysokiej jakości.</w:t>
            </w:r>
          </w:p>
          <w:p w14:paraId="73F3629F" w14:textId="77777777" w:rsidR="0059062C" w:rsidRPr="00EE14D2" w:rsidRDefault="0059062C" w:rsidP="0059062C">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lastRenderedPageBreak/>
              <w:t>*Ewaluacja Regionalnej Strategii Innowacji Województwa Dolnośląskiego na lata 2011-2020.</w:t>
            </w:r>
          </w:p>
          <w:p w14:paraId="5B1B511E" w14:textId="77777777" w:rsidR="0059062C" w:rsidRPr="00EE14D2" w:rsidRDefault="0059062C" w:rsidP="0059062C">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*Badanie diagnozy i trendów rozwojowych w dolnośląskiej inteligentnej specjalizacji: Technologie informacyjno-komunikacyjne (ICT).</w:t>
            </w:r>
          </w:p>
          <w:p w14:paraId="4203C058" w14:textId="77777777" w:rsidR="0059062C" w:rsidRPr="00EE14D2" w:rsidRDefault="0059062C" w:rsidP="0059062C">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*Badanie diagnozy i trendów rozwojowych w dolnośląskiej inteligentnej specjalizacji: Mobilność przestrzenna.</w:t>
            </w:r>
          </w:p>
          <w:p w14:paraId="24F6BEA5" w14:textId="77777777" w:rsidR="0059062C" w:rsidRPr="00EE14D2" w:rsidRDefault="0059062C" w:rsidP="0059062C">
            <w:pPr>
              <w:spacing w:before="100" w:after="0" w:line="240" w:lineRule="auto"/>
              <w:rPr>
                <w:rFonts w:ascii="Times New Roman" w:eastAsia="Times New Roman" w:hAnsi="Times New Roman" w:cs="Times New Roman"/>
                <w:noProof/>
                <w:sz w:val="20"/>
                <w:szCs w:val="20"/>
              </w:rPr>
            </w:pPr>
          </w:p>
          <w:p w14:paraId="28FC8F24" w14:textId="77777777" w:rsidR="0059062C" w:rsidRPr="00EE14D2" w:rsidRDefault="0059062C" w:rsidP="0059062C">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Link do badań i raportów: https://umwd.dolnyslask.pl/gospodarka/dolnoslaskie-inteligentne-specjalizacje/monitoring-dolnoslaskich-inteligentnych-specjalizacji/   </w:t>
            </w:r>
          </w:p>
          <w:p w14:paraId="7A7F6161" w14:textId="77777777" w:rsidR="0059062C" w:rsidRPr="00EE14D2" w:rsidRDefault="0059062C" w:rsidP="00644235">
            <w:pPr>
              <w:spacing w:before="100" w:after="0" w:line="240" w:lineRule="auto"/>
              <w:rPr>
                <w:rFonts w:ascii="Times New Roman" w:eastAsia="Times New Roman" w:hAnsi="Times New Roman" w:cs="Times New Roman"/>
                <w:noProof/>
                <w:sz w:val="20"/>
                <w:szCs w:val="20"/>
              </w:rPr>
            </w:pPr>
          </w:p>
          <w:p w14:paraId="543E92F8"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991FEA" w14:textId="14FA3FE8" w:rsidR="00644235" w:rsidRPr="00EE14D2" w:rsidRDefault="00644235" w:rsidP="00644235">
            <w:pPr>
              <w:spacing w:before="100" w:after="0" w:line="240" w:lineRule="auto"/>
              <w:rPr>
                <w:rFonts w:ascii="Times New Roman" w:eastAsia="Times New Roman" w:hAnsi="Times New Roman" w:cs="Times New Roman"/>
                <w:noProof/>
                <w:color w:val="FF0000"/>
                <w:sz w:val="20"/>
                <w:szCs w:val="20"/>
              </w:rPr>
            </w:pPr>
            <w:r w:rsidRPr="00EE14D2">
              <w:rPr>
                <w:rFonts w:ascii="Times New Roman" w:eastAsia="Times New Roman" w:hAnsi="Times New Roman" w:cs="Times New Roman"/>
                <w:noProof/>
                <w:color w:val="000000"/>
                <w:sz w:val="20"/>
                <w:szCs w:val="20"/>
              </w:rPr>
              <w:lastRenderedPageBreak/>
              <w:t xml:space="preserve">Poziom krajowy: </w:t>
            </w:r>
          </w:p>
          <w:p w14:paraId="6D3683DF" w14:textId="7D2800B8"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Kryterium spełnione poprzez:</w:t>
            </w:r>
          </w:p>
          <w:p w14:paraId="5F6DF626"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w:t>
            </w:r>
            <w:r w:rsidRPr="00EE14D2">
              <w:rPr>
                <w:rFonts w:ascii="Times New Roman" w:eastAsia="Times New Roman" w:hAnsi="Times New Roman" w:cs="Times New Roman"/>
                <w:noProof/>
                <w:sz w:val="20"/>
                <w:szCs w:val="20"/>
              </w:rPr>
              <w:tab/>
              <w:t xml:space="preserve">Wyzwania w zakresie rozwoju innowacyjności zidentyfikowano w Strategii na rzecz Odpowiedzialnego Rozwoju (w ramach opisu celu dotyczącego trwałego wzrostu gospodarczego opartego coraz silniej o wiedzę, dane i doskonałość organizacyjną), a także w projekcie Strategii Produktywności </w:t>
            </w:r>
          </w:p>
          <w:p w14:paraId="1888FEA0"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w:t>
            </w:r>
            <w:r w:rsidRPr="00EE14D2">
              <w:rPr>
                <w:rFonts w:ascii="Times New Roman" w:eastAsia="Times New Roman" w:hAnsi="Times New Roman" w:cs="Times New Roman"/>
                <w:noProof/>
                <w:sz w:val="20"/>
                <w:szCs w:val="20"/>
              </w:rPr>
              <w:tab/>
              <w:t xml:space="preserve">Bieżąca identyfikacja i analiza barier odbywa się w ramach posiedzeń Rady ds. Innowacyjności oraz Międzyresortowego Zespołu ds. Innowacyjności. </w:t>
            </w:r>
          </w:p>
          <w:p w14:paraId="1F00EF0E" w14:textId="5A9D0C67" w:rsidR="0059062C"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w:t>
            </w:r>
            <w:r w:rsidRPr="00EE14D2">
              <w:rPr>
                <w:rFonts w:ascii="Times New Roman" w:eastAsia="Times New Roman" w:hAnsi="Times New Roman" w:cs="Times New Roman"/>
                <w:noProof/>
                <w:sz w:val="20"/>
                <w:szCs w:val="20"/>
              </w:rPr>
              <w:tab/>
              <w:t xml:space="preserve">Analizy specjalistyczne prowadzone są także w zakresie barier oraz potrzeb rozwojowych różnych podmiotów uczestniczących w procesie </w:t>
            </w:r>
            <w:r w:rsidRPr="00EE14D2">
              <w:rPr>
                <w:rFonts w:ascii="Times New Roman" w:eastAsia="Times New Roman" w:hAnsi="Times New Roman" w:cs="Times New Roman"/>
                <w:noProof/>
                <w:sz w:val="20"/>
                <w:szCs w:val="20"/>
              </w:rPr>
              <w:lastRenderedPageBreak/>
              <w:t>przedsiębiorczego odkrywania oraz w transferze i dyfuzji innowacji (np. Grup Roboczych ds. Krajowych Inteligentnych Specjalizacji) oraz analizy barier dotyczących poszczególnych zagadnień tematycznych jak np. cyfryzacji czy przemysłu 4.0. Analiza barier przeprowadzana jest także na poziomie regionalnym w celu uwzględnienia rozwiązań w działaniach podejmowanych na poziomie krajowym.</w:t>
            </w:r>
          </w:p>
          <w:p w14:paraId="306A5376"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Poziom regionalny:</w:t>
            </w:r>
          </w:p>
          <w:p w14:paraId="24C534D5"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Analiza wyzwań i barier w obszarze projektowanej polityki wsparcia innowacji w regionie wraz z ich ujęciem w podziale na zidentyfikowane inteligentne specjalizacje została na Dolnym Śląsku po raz pierwszy wykonana w 2015 w formie załącznika do Regionalnej Strategii Innowacji dla Województwa Dolnośląskiego na lata 2011-2020 pn. „Ramy strategiczne na rzecz inteligentnych specjalizacji Dolnego Śląska”. Należy jednak podkreślić, że sam proces został zainicjowany znacznie wcześniej, wraz z pracami nad „Regionalną Strategią Innowacji dla Województwa Dolnośląskiego 2011 – 2020. W strategii tej, zostały zdefiniowane tzw. branże kluczowe oraz specjalizacje – naukowo </w:t>
            </w:r>
            <w:r w:rsidRPr="00EE14D2">
              <w:rPr>
                <w:rFonts w:ascii="Times New Roman" w:eastAsia="Times New Roman" w:hAnsi="Times New Roman" w:cs="Times New Roman"/>
                <w:noProof/>
                <w:sz w:val="20"/>
                <w:szCs w:val="20"/>
              </w:rPr>
              <w:lastRenderedPageBreak/>
              <w:t xml:space="preserve">– technologiczne w przekroju funkcjonujących </w:t>
            </w:r>
          </w:p>
          <w:p w14:paraId="3C88A7B9"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w regionie ośrodków naukowych oraz przedsiębiorstw. Ze względu na konieczność uzupełnienia dokumentu o obszary inteligentnych specjalizacji i w oparciu o filozofię Procesu Przedsiębiorczego Odkrywania (PPO) podjęte zostały kroki, aby wskazać te najważniejsze obszary rozwojowe </w:t>
            </w:r>
          </w:p>
          <w:p w14:paraId="6197291A"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w Województwie Dolnośląskim. Ich zidentyfikowanie zostało poprzedzone konsultacjami ze środowiskiem biznesu, nauki </w:t>
            </w:r>
          </w:p>
          <w:p w14:paraId="7F10B823"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i społeczeństwa obywatelskiego. które były prowadzone </w:t>
            </w:r>
          </w:p>
          <w:p w14:paraId="3F7513EC"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w okresie od grudnia 2013 do grudnia 2014 r. Opis podjętych wówczas działań znajduje się w załączonym „Dolnośląskim raporcie regionalnym”. </w:t>
            </w:r>
          </w:p>
          <w:p w14:paraId="098A0C4B"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p>
          <w:p w14:paraId="10065EA2"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Wstępny kształt dokumentu „Ramy strategiczne na rzecz inteligentnych specjalizacji Dolnego Śląska” został opracowany przez Wydział Gospodarki Urzędu Marszałkowskiego Województwa Dolnośląskiego. Jego  metodologia jest opisana w załączonym „Dolnośląskim raporcie regionalnym”. </w:t>
            </w:r>
          </w:p>
          <w:p w14:paraId="5F6927F8"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Zidentyfikowano 6 branż:</w:t>
            </w:r>
          </w:p>
          <w:p w14:paraId="602F3AFF"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lastRenderedPageBreak/>
              <w:t>•</w:t>
            </w:r>
            <w:r w:rsidRPr="00EE14D2">
              <w:rPr>
                <w:rFonts w:ascii="Times New Roman" w:eastAsia="Times New Roman" w:hAnsi="Times New Roman" w:cs="Times New Roman"/>
                <w:noProof/>
                <w:sz w:val="20"/>
                <w:szCs w:val="20"/>
              </w:rPr>
              <w:tab/>
              <w:t xml:space="preserve">branża chemiczna i farmaceutyczna </w:t>
            </w:r>
          </w:p>
          <w:p w14:paraId="0EF723AE"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w:t>
            </w:r>
            <w:r w:rsidRPr="00EE14D2">
              <w:rPr>
                <w:rFonts w:ascii="Times New Roman" w:eastAsia="Times New Roman" w:hAnsi="Times New Roman" w:cs="Times New Roman"/>
                <w:noProof/>
                <w:sz w:val="20"/>
                <w:szCs w:val="20"/>
              </w:rPr>
              <w:tab/>
              <w:t xml:space="preserve">mobilność przestrzenna </w:t>
            </w:r>
          </w:p>
          <w:p w14:paraId="3A2071EC"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w:t>
            </w:r>
            <w:r w:rsidRPr="00EE14D2">
              <w:rPr>
                <w:rFonts w:ascii="Times New Roman" w:eastAsia="Times New Roman" w:hAnsi="Times New Roman" w:cs="Times New Roman"/>
                <w:noProof/>
                <w:sz w:val="20"/>
                <w:szCs w:val="20"/>
              </w:rPr>
              <w:tab/>
              <w:t xml:space="preserve">żywność wysokiej jakości </w:t>
            </w:r>
          </w:p>
          <w:p w14:paraId="09BF4EEB"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w:t>
            </w:r>
            <w:r w:rsidRPr="00EE14D2">
              <w:rPr>
                <w:rFonts w:ascii="Times New Roman" w:eastAsia="Times New Roman" w:hAnsi="Times New Roman" w:cs="Times New Roman"/>
                <w:noProof/>
                <w:sz w:val="20"/>
                <w:szCs w:val="20"/>
              </w:rPr>
              <w:tab/>
              <w:t xml:space="preserve">surowce naturalne i wtórne </w:t>
            </w:r>
          </w:p>
          <w:p w14:paraId="0B433B3B"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w:t>
            </w:r>
            <w:r w:rsidRPr="00EE14D2">
              <w:rPr>
                <w:rFonts w:ascii="Times New Roman" w:eastAsia="Times New Roman" w:hAnsi="Times New Roman" w:cs="Times New Roman"/>
                <w:noProof/>
                <w:sz w:val="20"/>
                <w:szCs w:val="20"/>
              </w:rPr>
              <w:tab/>
              <w:t xml:space="preserve">produkcja maszyn i urządzeń, obróbka materiałów </w:t>
            </w:r>
          </w:p>
          <w:p w14:paraId="2D440034"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w:t>
            </w:r>
            <w:r w:rsidRPr="00EE14D2">
              <w:rPr>
                <w:rFonts w:ascii="Times New Roman" w:eastAsia="Times New Roman" w:hAnsi="Times New Roman" w:cs="Times New Roman"/>
                <w:noProof/>
                <w:sz w:val="20"/>
                <w:szCs w:val="20"/>
              </w:rPr>
              <w:tab/>
              <w:t>technologie informacyjno-komunikacyjne (ICT)</w:t>
            </w:r>
          </w:p>
          <w:p w14:paraId="24C8A674"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p>
          <w:p w14:paraId="40A688A2"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oraz powołano 6 Grup Roboczych ds. Inteligentnych Specjalizacji na Dolnym Śląsku, zwanych dalej Grupami Roboczymi. Ich zadaniem była m.in. krytyczna ocena wskazanych branż i pomoc w opracowaniu szczegółowego opisu każdej ze specjalizacji, monitoring wskazanych obszarów oraz zapewnienie stałej kooperacji pomiędzy stroną samorządową a sektorem nauki i biznesu a także pomoc </w:t>
            </w:r>
          </w:p>
          <w:p w14:paraId="4FD4762F"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w zidentyfikowaniu pożądanych kierunków inwestowania środków publicznych w projekty innowacyjne.</w:t>
            </w:r>
          </w:p>
          <w:p w14:paraId="24C6BFEB"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Każda z powołanych Grup Roboczych składała się </w:t>
            </w:r>
          </w:p>
          <w:p w14:paraId="77BD61DA"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z reprezentantów przedsiębiorstw innowacyjnych </w:t>
            </w:r>
          </w:p>
          <w:p w14:paraId="375FCCFA"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lastRenderedPageBreak/>
              <w:t xml:space="preserve">z regionu, instytucji otoczenia biznesu, jednostek naukowo – badawczych, uczelni dolnośląskich jak również przedstawiciela samorządu województwa.  </w:t>
            </w:r>
          </w:p>
          <w:p w14:paraId="71475222"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W szczegółach praca Grup i jej członków oraz zaangażowanie UMWD w wydarzenia związane z upowszechnieniem innowacji i cyfryzacją opisane zostały w Raporcie stanowiącym załącznik do Tabeli.</w:t>
            </w:r>
          </w:p>
          <w:p w14:paraId="5826CED9"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p>
          <w:p w14:paraId="63DA3545"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Przełom 2017/2018 stanowił pierwszą okazję dla podsumowań dotychczasowo podjętych działań w ramach PPO na bazie obowiązującej Dolnośląskiej Strategii Innowacji 2011 – 2020. W latach 2017 – 2019 zrealizowano szereg pogłębionych badań  diagnostycznych, każdej z Inteligentnych specjalizacji:</w:t>
            </w:r>
          </w:p>
          <w:p w14:paraId="453A7B1F"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w:t>
            </w:r>
            <w:r w:rsidRPr="00EE14D2">
              <w:rPr>
                <w:rFonts w:ascii="Times New Roman" w:eastAsia="Times New Roman" w:hAnsi="Times New Roman" w:cs="Times New Roman"/>
                <w:noProof/>
                <w:sz w:val="20"/>
                <w:szCs w:val="20"/>
              </w:rPr>
              <w:tab/>
              <w:t>Badanie diagnozy i trendów rozwojowych dolnośląskiej inteligentnej specjalizacji: surowce naturalne</w:t>
            </w:r>
          </w:p>
          <w:p w14:paraId="6F92330B"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 i wtórne</w:t>
            </w:r>
          </w:p>
          <w:p w14:paraId="56BD2495"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w:t>
            </w:r>
            <w:r w:rsidRPr="00EE14D2">
              <w:rPr>
                <w:rFonts w:ascii="Times New Roman" w:eastAsia="Times New Roman" w:hAnsi="Times New Roman" w:cs="Times New Roman"/>
                <w:noProof/>
                <w:sz w:val="20"/>
                <w:szCs w:val="20"/>
              </w:rPr>
              <w:tab/>
              <w:t xml:space="preserve">Badanie diagnozy i trendów rozwojowych dolnośląskiej inteligentnej specjalizacji: branży chemicznej </w:t>
            </w:r>
          </w:p>
          <w:p w14:paraId="31313E13"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i farmaceutycznej</w:t>
            </w:r>
          </w:p>
          <w:p w14:paraId="49271F7E"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lastRenderedPageBreak/>
              <w:t></w:t>
            </w:r>
            <w:r w:rsidRPr="00EE14D2">
              <w:rPr>
                <w:rFonts w:ascii="Times New Roman" w:eastAsia="Times New Roman" w:hAnsi="Times New Roman" w:cs="Times New Roman"/>
                <w:noProof/>
                <w:sz w:val="20"/>
                <w:szCs w:val="20"/>
              </w:rPr>
              <w:tab/>
              <w:t xml:space="preserve">Badanie diagnozy i trendów rozwojowych dolnośląskiej inteligentnej specjalizacji: produkcja maszyn </w:t>
            </w:r>
          </w:p>
          <w:p w14:paraId="7CEFEE46"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i urządzeń, obróbka materiałów</w:t>
            </w:r>
          </w:p>
          <w:p w14:paraId="1B94FAE7"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w:t>
            </w:r>
            <w:r w:rsidRPr="00EE14D2">
              <w:rPr>
                <w:rFonts w:ascii="Times New Roman" w:eastAsia="Times New Roman" w:hAnsi="Times New Roman" w:cs="Times New Roman"/>
                <w:noProof/>
                <w:sz w:val="20"/>
                <w:szCs w:val="20"/>
              </w:rPr>
              <w:tab/>
              <w:t>Badanie diagnozy i trendów rozwojowych dolnośląskiej inteligentnej specjalizacji: żywność wysokiej jakości</w:t>
            </w:r>
          </w:p>
          <w:p w14:paraId="3D6A32FB"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w:t>
            </w:r>
            <w:r w:rsidRPr="00EE14D2">
              <w:rPr>
                <w:rFonts w:ascii="Times New Roman" w:eastAsia="Times New Roman" w:hAnsi="Times New Roman" w:cs="Times New Roman"/>
                <w:noProof/>
                <w:sz w:val="20"/>
                <w:szCs w:val="20"/>
              </w:rPr>
              <w:tab/>
              <w:t>Badanie diagnozy i trendów rozwojowych w dolnośląskiej inteligentnej specjalizacji: Mobilność przestrzenna</w:t>
            </w:r>
          </w:p>
          <w:p w14:paraId="2E329077"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w:t>
            </w:r>
            <w:r w:rsidRPr="00EE14D2">
              <w:rPr>
                <w:rFonts w:ascii="Times New Roman" w:eastAsia="Times New Roman" w:hAnsi="Times New Roman" w:cs="Times New Roman"/>
                <w:noProof/>
                <w:sz w:val="20"/>
                <w:szCs w:val="20"/>
              </w:rPr>
              <w:tab/>
              <w:t>Badanie diagnozy i trendów rozwojowych w dolnośląskiej inteligentnej specjalizacji: Technologie informacyjno-komunikacyjne (ICT)</w:t>
            </w:r>
          </w:p>
          <w:p w14:paraId="64DCF16E"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Celem każdego z badań było uzyskanie rekomendacji wskazujących czy i w jakim kształcie branżę tę nadal należy traktować jako inteligentną specjalizację Dolnego Śląska, biorąc pod uwagę aspekty rozwoju jej innowacyjności i trendy rozwojowe, a także czy istnieją przesłanki do zawężania lub rozszerzania podobszarów specjalizacji.  W ramach każdego  </w:t>
            </w:r>
          </w:p>
          <w:p w14:paraId="0B26FEC0"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z badań Wykonawca przeprowadził rozmowy i ankiety </w:t>
            </w:r>
          </w:p>
          <w:p w14:paraId="7207D3E7"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z uczestnikami Dolnośląskiego Systemu Innowacji tj. m. in. przedsiębiorcami, przedstawicielami jednostek </w:t>
            </w:r>
            <w:r w:rsidRPr="00EE14D2">
              <w:rPr>
                <w:rFonts w:ascii="Times New Roman" w:eastAsia="Times New Roman" w:hAnsi="Times New Roman" w:cs="Times New Roman"/>
                <w:noProof/>
                <w:sz w:val="20"/>
                <w:szCs w:val="20"/>
              </w:rPr>
              <w:lastRenderedPageBreak/>
              <w:t>naukowych, instytucjami otoczenia biznesu, w tym członkami dolnośląskich grup inteligentnych specjalizacji.</w:t>
            </w:r>
          </w:p>
          <w:p w14:paraId="3159420D"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W roku 2017 i 2018 przeprowadzono monitoring Regionalnej Strategii Innowacji dla Województwa Dolnośląskiego na lata 2011-2020 poprzez zebranie wskaźników statystyki publicznej </w:t>
            </w:r>
          </w:p>
          <w:p w14:paraId="4847AD63"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i przeprowadzenie analizy dla każdego celu strategicznego. Dokonano także diagnozy stanu innowacyjności woj. dolnośląskiego w odniesieniu do regionów Unii Europejskiej. W szczególności docelowym punktem przeprowadzonej analizy porównawczej było wskazanie dysproporcji regionalnych, a zwłaszcza określenie syntetycznej pozycji oraz identyfikacja mocnych i słabych stron potencjału innowacyjnego Dolnego Śląska na tle pozostałych regionów. Ponadto analizowano wskaźniki  kontekstowe ogółem dla monitoringu inteligentnych specjalizacji oraz dokonano aktualizacji wartości wskaźników (dla okresu 2014-2016) oraz przedstawiono sytuację województwa dolnośląskiego na tle kraju i innych województw w świetle zestawu wskaźników kontekstowych zaproponowanych w dokumencie strategicznym. Dodatkowo w pracach analitycznych skoncentrowano się na </w:t>
            </w:r>
            <w:r w:rsidRPr="00EE14D2">
              <w:rPr>
                <w:rFonts w:ascii="Times New Roman" w:eastAsia="Times New Roman" w:hAnsi="Times New Roman" w:cs="Times New Roman"/>
                <w:noProof/>
                <w:sz w:val="20"/>
                <w:szCs w:val="20"/>
              </w:rPr>
              <w:lastRenderedPageBreak/>
              <w:t xml:space="preserve">ujęciu branżowym gospodarki na tle kraju oraz koncentracji dziedzin naukowo-technologicznych </w:t>
            </w:r>
          </w:p>
          <w:p w14:paraId="00D37F71"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w świetle danych statystycznych z 2017 roku w porównaniu do 2012 r. </w:t>
            </w:r>
          </w:p>
          <w:p w14:paraId="4CCCC8AC"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p>
          <w:p w14:paraId="673B5848"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W roku 2018, w celu przygotowania się do przeprowadzenia  diagnozy stanu innowacyjności województwa, jako punktu wyjścia do opracowania nowego dokumentu strategicznego </w:t>
            </w:r>
          </w:p>
          <w:p w14:paraId="6AB6B9BD"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z perspektywą do roku 2030, przeprowadzono ewaluację dotychczas wdrażanej strategii RSI WD 2011-2020 („Ewaluacja Regionalnej Strategii Innowacji dla Województwa Dolnośląskiego na lata 2011-2020”) oraz opracowano wnioski </w:t>
            </w:r>
          </w:p>
          <w:p w14:paraId="7F0083F6"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i rekomendacje w tym zakresie.</w:t>
            </w:r>
          </w:p>
          <w:p w14:paraId="51D381AE"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W latach 2019-2020 przeprowadzono „Diagnozę stanu innowacyjności Dolnego Śląska” jako punkt wyjścia dla budowy i określenia wizji, misji, celów strategicznych </w:t>
            </w:r>
          </w:p>
          <w:p w14:paraId="3A22E03B"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i operacyjnych oraz działań nowej strategii - DSI 2030 oraz przyjęcia zaktualizowanego katalogu Inteligentnych Specjalizacji Dolnego Śląska.</w:t>
            </w:r>
          </w:p>
          <w:p w14:paraId="6701001D"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lastRenderedPageBreak/>
              <w:t xml:space="preserve">W roku 2020 prowadzony był proces aktualizacji wdrażanej od 2011 roku Regionalnej Strategii Innowacji dla Województwa Dolnośląskiego na lata 2011-2020, poprzez opracowanie </w:t>
            </w:r>
          </w:p>
          <w:p w14:paraId="2C6E39B8"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i przyjęcie do realizacji ( 5 stycznia 2021 r.) Dolnośląskiej Strategii Innowacji 2030 (dalej DSI 2030). Diagnoza stanu stanowi załącznik do Dolnośląskiej Strategii Innowacji 2030 oraz w formie skróconej znajduje się również w DSI 2030. Jako kluczowe bariery prowadzenia działalności innowacyjnej zidentyfikowano następujące czynniki:</w:t>
            </w:r>
          </w:p>
          <w:p w14:paraId="1BA911E0"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w:t>
            </w:r>
            <w:r w:rsidRPr="00EE14D2">
              <w:rPr>
                <w:rFonts w:ascii="Times New Roman" w:eastAsia="Times New Roman" w:hAnsi="Times New Roman" w:cs="Times New Roman"/>
                <w:noProof/>
                <w:sz w:val="20"/>
                <w:szCs w:val="20"/>
              </w:rPr>
              <w:tab/>
              <w:t xml:space="preserve">utrudniona dostępność do funduszy na finansowanie innowacji i mała zdolność/ skuteczność przedsiębiorstw do pozyskiwania środków finansowych na finansowanie innowacji, </w:t>
            </w:r>
          </w:p>
          <w:p w14:paraId="401F8389"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w:t>
            </w:r>
            <w:r w:rsidRPr="00EE14D2">
              <w:rPr>
                <w:rFonts w:ascii="Times New Roman" w:eastAsia="Times New Roman" w:hAnsi="Times New Roman" w:cs="Times New Roman"/>
                <w:noProof/>
                <w:sz w:val="20"/>
                <w:szCs w:val="20"/>
              </w:rPr>
              <w:tab/>
              <w:t xml:space="preserve">niska efektywność przedsiębiorstw w zakresie wdrażania innowacji, </w:t>
            </w:r>
          </w:p>
          <w:p w14:paraId="1405EB59"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w:t>
            </w:r>
            <w:r w:rsidRPr="00EE14D2">
              <w:rPr>
                <w:rFonts w:ascii="Times New Roman" w:eastAsia="Times New Roman" w:hAnsi="Times New Roman" w:cs="Times New Roman"/>
                <w:noProof/>
                <w:sz w:val="20"/>
                <w:szCs w:val="20"/>
              </w:rPr>
              <w:tab/>
              <w:t>Przeświadczenie przedsiębiorców o braku potrzeby wdrażania innowacji,</w:t>
            </w:r>
          </w:p>
          <w:p w14:paraId="4222813C"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w:t>
            </w:r>
            <w:r w:rsidRPr="00EE14D2">
              <w:rPr>
                <w:rFonts w:ascii="Times New Roman" w:eastAsia="Times New Roman" w:hAnsi="Times New Roman" w:cs="Times New Roman"/>
                <w:noProof/>
                <w:sz w:val="20"/>
                <w:szCs w:val="20"/>
              </w:rPr>
              <w:tab/>
              <w:t xml:space="preserve">mała aktywność firm w zakresie prowadzenia badań, </w:t>
            </w:r>
          </w:p>
          <w:p w14:paraId="40C4B4B6"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lastRenderedPageBreak/>
              <w:t>•</w:t>
            </w:r>
            <w:r w:rsidRPr="00EE14D2">
              <w:rPr>
                <w:rFonts w:ascii="Times New Roman" w:eastAsia="Times New Roman" w:hAnsi="Times New Roman" w:cs="Times New Roman"/>
                <w:noProof/>
                <w:sz w:val="20"/>
                <w:szCs w:val="20"/>
              </w:rPr>
              <w:tab/>
              <w:t>mała podaż specjalistycznych usług i ofert z jednostek badawczo-rozwojowych,</w:t>
            </w:r>
          </w:p>
          <w:p w14:paraId="555582C2"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w:t>
            </w:r>
            <w:r w:rsidRPr="00EE14D2">
              <w:rPr>
                <w:rFonts w:ascii="Times New Roman" w:eastAsia="Times New Roman" w:hAnsi="Times New Roman" w:cs="Times New Roman"/>
                <w:noProof/>
                <w:sz w:val="20"/>
                <w:szCs w:val="20"/>
              </w:rPr>
              <w:tab/>
              <w:t>niska skłonność firm do korzystania z oferty jednostek badawczo rozwojowych,</w:t>
            </w:r>
          </w:p>
          <w:p w14:paraId="4C8621BF"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w:t>
            </w:r>
            <w:r w:rsidRPr="00EE14D2">
              <w:rPr>
                <w:rFonts w:ascii="Times New Roman" w:eastAsia="Times New Roman" w:hAnsi="Times New Roman" w:cs="Times New Roman"/>
                <w:noProof/>
                <w:sz w:val="20"/>
                <w:szCs w:val="20"/>
              </w:rPr>
              <w:tab/>
              <w:t>brak dostępu do wyspecjalizowanych laboratoriów i usług badawczych w IB (parkach i inkubatorach technologicznych),</w:t>
            </w:r>
          </w:p>
          <w:p w14:paraId="50C96AFC"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w:t>
            </w:r>
            <w:r w:rsidRPr="00EE14D2">
              <w:rPr>
                <w:rFonts w:ascii="Times New Roman" w:eastAsia="Times New Roman" w:hAnsi="Times New Roman" w:cs="Times New Roman"/>
                <w:noProof/>
                <w:sz w:val="20"/>
                <w:szCs w:val="20"/>
              </w:rPr>
              <w:tab/>
              <w:t xml:space="preserve">niska dostępność usług proinnowacyjnych świadczonych przez IOB oraz niewystarczająca aktywność klastrów i grup producenckich, niska skłonność firm do współpracy </w:t>
            </w:r>
          </w:p>
          <w:p w14:paraId="5A1A3424"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z partnerami z branży (poza kontaktami czysto kontraktowymi,</w:t>
            </w:r>
          </w:p>
          <w:p w14:paraId="3A4F26D0"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w:t>
            </w:r>
            <w:r w:rsidRPr="00EE14D2">
              <w:rPr>
                <w:rFonts w:ascii="Times New Roman" w:eastAsia="Times New Roman" w:hAnsi="Times New Roman" w:cs="Times New Roman"/>
                <w:noProof/>
                <w:sz w:val="20"/>
                <w:szCs w:val="20"/>
              </w:rPr>
              <w:tab/>
              <w:t>nierównomierny (na poziomie subregionów) dostęp do kadry specjalistów.</w:t>
            </w:r>
          </w:p>
          <w:p w14:paraId="0990DC52"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Na podstawie zidentyfikowanych wyzwań i wąskich gardeł dyfuzji innowacji, ukierunkowano priorytety i obszary, na które Zarząd Województwa Dolnośląskiego będzie przeznaczał środki do roku 2030. Rezultatem identyfikacji potrzeb województwa i Dolnośląskiego Systemu Innowacji </w:t>
            </w:r>
          </w:p>
          <w:p w14:paraId="1560F8B4"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(w szczególności „wąskich gardeł” w dyfuzji innowacji) było opracowanie </w:t>
            </w:r>
            <w:r w:rsidRPr="00EE14D2">
              <w:rPr>
                <w:rFonts w:ascii="Times New Roman" w:eastAsia="Times New Roman" w:hAnsi="Times New Roman" w:cs="Times New Roman"/>
                <w:noProof/>
                <w:sz w:val="20"/>
                <w:szCs w:val="20"/>
              </w:rPr>
              <w:lastRenderedPageBreak/>
              <w:t xml:space="preserve">celów strategicznych. Wskazane w Strategii cztery cele strategiczne odpowiadają na wyzwania, przed jakimi staje województwo dolnośląskie i jego system innowacji w kontekście przemian społecznych i zmian w otoczeniu zewnętrznym – tak bliższym (poziom krajowy), jak i dalszym (poziom europejski i światowy). Cele zostały sformułowane </w:t>
            </w:r>
          </w:p>
          <w:p w14:paraId="4431CCBC"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w oparciu o analizę dostępnych zasobów i potencjału Dolnośląskiego Systemu Innowacji. W ramach realizacji celu 1. Zwiększenie roli innowacji w regionalnej gospodarce i celu 4. Wzmacnianie umiejętności i postaw innowacyjnych Strategia odpowiada na wyzwania związane z budową społeczeństwa cyfrowego, wsparcia transformacji cyfrowej i zaawansowanej automatyzacji procesów w przedsiębiorstwach, co wiąże się </w:t>
            </w:r>
          </w:p>
          <w:p w14:paraId="45881CBE"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z upowszechnianiem technologii cyfrowych i usług, a zwłaszcza ze wzmacnianiem cyfrowych kompetencji mieszkańców, przedsiębiorców i instytucji publicznych.</w:t>
            </w:r>
          </w:p>
          <w:p w14:paraId="11C373B4"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p>
          <w:p w14:paraId="123A693B"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Proces konsultacji społecznych projektu Dolnośląskiej Strategii Innowacji 2030 rozpoczął się 25.06.2020 r. na podstawie uchwały nr  2234/VI/20  Zarządu </w:t>
            </w:r>
            <w:r w:rsidRPr="00EE14D2">
              <w:rPr>
                <w:rFonts w:ascii="Times New Roman" w:eastAsia="Times New Roman" w:hAnsi="Times New Roman" w:cs="Times New Roman"/>
                <w:noProof/>
                <w:sz w:val="20"/>
                <w:szCs w:val="20"/>
              </w:rPr>
              <w:lastRenderedPageBreak/>
              <w:t>Województwa Dolnośląskiego z 23 czerwca 2020 r. i trwał 36 dni kalendarzowych.</w:t>
            </w:r>
          </w:p>
          <w:p w14:paraId="65E3AFAF"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Zaangażowanie się społeczeństwa, partnerów społeczno-gospodarczych, przedstawicieli środowiska naukowo-badawczego i samorządowego w proces konsultacji społecznych, poprzez przekazanie komentarzy, uwag, opinii </w:t>
            </w:r>
          </w:p>
          <w:p w14:paraId="6AD7AFB4"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i postulatów, posłużyło do uzupełnienia i korekty dokumentu.  Uspołecznienie procesu aktualizacji, pozwoliło na możliwie szeroką debatę  publiczną nad dokumentem, dzięki czemu Strategia stała się  dokumentem „przedyskutowanym” </w:t>
            </w:r>
          </w:p>
          <w:p w14:paraId="6F7C7224"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i zaakceptowanym przez szerokie grono podmiotów, które będą angażowane w jej wdrażanie w kolejnych latach.  Opis procesu konsultacji znajduje się Raporcie załączonym do Tabeli.</w:t>
            </w:r>
          </w:p>
          <w:p w14:paraId="1433C2B2"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W nowo przyjętej Strategii przyjęto zauktualizwoany katalog Inteligentnych Specjalizacji Dolnego Śląska, w którym znalazły się cztery specjalizacje główne/wiodące i trzy specjalizacje horyzontalne. Są to: 1. Chemia i medycyna ; 2. Auto-Moto-Aero-Space; 3. Surowce naturalne i wtórne; 4. Maszyny </w:t>
            </w:r>
          </w:p>
          <w:p w14:paraId="20C0E4A2"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i urządzenia; 5. „Zielony ład” - specjalizacja horyzontalna; 6. „Przemysł </w:t>
            </w:r>
            <w:r w:rsidRPr="00EE14D2">
              <w:rPr>
                <w:rFonts w:ascii="Times New Roman" w:eastAsia="Times New Roman" w:hAnsi="Times New Roman" w:cs="Times New Roman"/>
                <w:noProof/>
                <w:sz w:val="20"/>
                <w:szCs w:val="20"/>
              </w:rPr>
              <w:lastRenderedPageBreak/>
              <w:t xml:space="preserve">4.0” - specjalizacja horyzontalna; 7. „Życie wspomagane technologią” - specjalizacja horyzontalna. Nowo zidentyfikowane tzw. specjalizacje horyzontalne pełnią dwojaką rolę: wspomagającą i wzmacniającą wzrost głównych specjalizacji – wprowadzając nowoczesne rozwiązania najważniejszych problemów współczesnego świata we wszystkich branżach i sektorach gospodarki Dolnego Śląska </w:t>
            </w:r>
          </w:p>
          <w:p w14:paraId="230FD6A5"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i integracyjną – pozwalając na badania i rozwój oraz wdrożenia międzysektorowe. W ramach trwającego procesu aktualizacji dolnośląskiego systemu innowacji związanego z przyjęciem nowej Strategii powołane zostały dwa ważne ciała, których zadaniem jest zapewnienie wsparcia merytorycznego </w:t>
            </w:r>
          </w:p>
          <w:p w14:paraId="31AA4FD5"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i organizacyjnego samorządowi województwa, w prowadzeniu Procesu Przedsiębiorczego Odkrywania.</w:t>
            </w:r>
          </w:p>
          <w:p w14:paraId="6DC57AB0"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 </w:t>
            </w:r>
          </w:p>
          <w:p w14:paraId="4C00A9BF"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Pierwszym ciałem jest Grupa ekspertów ds. DSI 2030, która stanowi kluczowy element regionalnego systemu innowacji. </w:t>
            </w:r>
          </w:p>
          <w:p w14:paraId="507CEF4F"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W skład grupy wchodzą doświadczeni eksperci regionalni reprezentujący kluczowe podmioty dolnośląskiego </w:t>
            </w:r>
            <w:r w:rsidRPr="00EE14D2">
              <w:rPr>
                <w:rFonts w:ascii="Times New Roman" w:eastAsia="Times New Roman" w:hAnsi="Times New Roman" w:cs="Times New Roman"/>
                <w:noProof/>
                <w:sz w:val="20"/>
                <w:szCs w:val="20"/>
              </w:rPr>
              <w:lastRenderedPageBreak/>
              <w:t>systemu innowacji: uczelnie wyższe, jednostki badawczo-rozwojowe, instytucje otoczenia biznesu, przedsiębiorstwa oraz samorządy lokalne. Cele i szczegółowy opis grupy znajduje się w Raporcie załączonym do Tabeli oraz w kryterium 1.</w:t>
            </w:r>
          </w:p>
          <w:p w14:paraId="63F58B41"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Drugim ciałem, stanowiącym kontynuację już istniejących poprzednio 6 grup ds. inteligentnych specjalizacji powołanych dla każdej specjalizacji osobno, jest jedna Grupa robocza ds. Inteligentnych Specjalizacji, która stanowi ciało odpowiedzialne za wdrażanie zapisów DSI 2030 oraz budowanie kapitału społecznego wokół zagadnień regionalnej innowacyjności. W skład Grupy Roboczej ds. Inteligentnych Specjalizacji wchodzą przedstawiciele wszystkich interesariuszy regionalnego systemu innowacji – przedsiębiorstw działających w poszczególnych Inteligentnych Specjalizacjach, IOB, wyższych uczelni, przedsiębiorców, samorządów lokalnych oraz instytucji badawczo – rozwojowych. Rolą Grupy Roboczej ds. Inteligentnych Specjalizacji </w:t>
            </w:r>
          </w:p>
          <w:p w14:paraId="5DEC297C"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i pracy jej uczestników jest dostarczenie Zarządowi Województwa rekomendacji, w oparciu o dyskusję uczestników, zgłaszane przez nich postulaty, jak </w:t>
            </w:r>
            <w:r w:rsidRPr="00EE14D2">
              <w:rPr>
                <w:rFonts w:ascii="Times New Roman" w:eastAsia="Times New Roman" w:hAnsi="Times New Roman" w:cs="Times New Roman"/>
                <w:noProof/>
                <w:sz w:val="20"/>
                <w:szCs w:val="20"/>
              </w:rPr>
              <w:lastRenderedPageBreak/>
              <w:t>również wnioski płynące z dyskusji nt. przeprowadzonych pogłębionych analiz w zakresie rozwoju i potrzeb dolnośląskich przedsiębiorstw, aktualnych trendów rozwoju gospodarczego Dolnego Śląska pod kątem identyfikacji przewag konkurencyjnych branż i sektorów oraz efektów wdrażania instrumentów wsparcia, poziomu regionalnego i krajowego. Rolą Grupy jest również wypracowanie mechanizmów skutecznego wsparcia poszczególnych etapów dla rozwoju wskazanych obszarów specjalizacji regionalnych, które mogą stanowić rekomendację dla instytucji zarządzających programami wsparcia przy efektywnym ukierunkowaniu dystrybuowanych środków finansowych, jak również animowanie działań na rzecz współpracy międzysektorowej: przedsiębiorstw, jednostek badawczo-rozwojowych, otoczenia biznesu i partnerów społecznych (w formule konsorcjów, klastrów lub innych form kooperacji), w celu identyfikacji wspólnych przedsięwzięć i realizacji ich przy pomocy programów wsparcia.</w:t>
            </w:r>
          </w:p>
          <w:p w14:paraId="480050F7" w14:textId="77777777"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W ramach trwającego Procesu Przedsiębiorczego Odkrywania przeprowadzono już szereg spotkań i wykonano lub rozpoczęto realizację </w:t>
            </w:r>
            <w:r w:rsidRPr="00EE14D2">
              <w:rPr>
                <w:rFonts w:ascii="Times New Roman" w:eastAsia="Times New Roman" w:hAnsi="Times New Roman" w:cs="Times New Roman"/>
                <w:noProof/>
                <w:sz w:val="20"/>
                <w:szCs w:val="20"/>
              </w:rPr>
              <w:lastRenderedPageBreak/>
              <w:t xml:space="preserve">kilku analiz, a dodatkowe działania są już planowane. Szczegółowo o tych działaniach wspominamy </w:t>
            </w:r>
          </w:p>
          <w:p w14:paraId="0B19252C" w14:textId="4F2EE22E" w:rsidR="00FC78D6" w:rsidRPr="00EE14D2" w:rsidRDefault="00FC78D6" w:rsidP="00FC78D6">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w Raporcie dołączonym do Tabeli.</w:t>
            </w:r>
          </w:p>
          <w:p w14:paraId="2951F8D5"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r>
      <w:tr w:rsidR="00644235" w:rsidRPr="00EE14D2" w14:paraId="27A7E43C" w14:textId="77777777" w:rsidTr="00644235">
        <w:trPr>
          <w:jc w:val="center"/>
        </w:trPr>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308B61"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5FB558"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BCD825"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BCE1EC"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341CD0"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2. istnienie właściwej regionalnej lub krajowej instytucji lub podmiotu odpowiedzialnego za zarządzanie strategią inteligentnej specjalizacji;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42179F"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811783" w14:textId="0256DE11" w:rsidR="00644235" w:rsidRPr="00EE14D2" w:rsidRDefault="00644235" w:rsidP="00A30393">
            <w:pPr>
              <w:spacing w:before="100" w:after="0" w:line="240" w:lineRule="auto"/>
              <w:rPr>
                <w:rFonts w:ascii="Times New Roman" w:eastAsia="Times New Roman" w:hAnsi="Times New Roman" w:cs="Times New Roman"/>
                <w:noProof/>
                <w:color w:val="FF0000"/>
                <w:sz w:val="20"/>
                <w:szCs w:val="20"/>
              </w:rPr>
            </w:pPr>
            <w:r w:rsidRPr="00EE14D2">
              <w:rPr>
                <w:rFonts w:ascii="Times New Roman" w:eastAsia="Times New Roman" w:hAnsi="Times New Roman" w:cs="Times New Roman"/>
                <w:noProof/>
                <w:color w:val="000000"/>
                <w:sz w:val="20"/>
                <w:szCs w:val="20"/>
              </w:rPr>
              <w:t xml:space="preserve">Poziom krajowy: </w:t>
            </w:r>
          </w:p>
          <w:p w14:paraId="458605DA" w14:textId="77777777" w:rsidR="00E42B11" w:rsidRPr="00EE14D2" w:rsidRDefault="00E42B11" w:rsidP="00E42B11">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Spełnieniem warunku są mechanizmy wskazane w Strategii na rzecz Odpowiedzialnego Rozwoju w celu dot. trwałego wzrostu gospodarczego opartego coraz silniej o wiedzę, dane i doskonałość organizacyjną, a także w projekcie Strategii Produktywności 2030 oraz Krajowej Inteligentnej Specjalizacji (KIS) i Regionalnych Inteligentnych Specjalizacjach (RIS) z uwzględnieniem procesu przedsiębiorczego odkrywania jako kluczowego elementu koncepcji inteligentnej specjalizacji. Minister wł. ds. gospodarki odpowiada za: opracowanie koncepcji, wdrażanie, proces przedsiębiorczego odkrywania, monitorowanie, ewaluację oraz koordynację i monitorowanie KIS i RIS. Jako element ciągłego procesu przedsiębiorczego odkrywania oraz monitorowania inteligentnych specjalizacji prowadzone są prace związane z aktualizacją dokumentu kierunkowego KIS, kontynuowane są prace związane z rozbudową i zasilaniem danymi narzędzia </w:t>
            </w:r>
            <w:r w:rsidRPr="00EE14D2">
              <w:rPr>
                <w:rFonts w:ascii="Times New Roman" w:eastAsia="Times New Roman" w:hAnsi="Times New Roman" w:cs="Times New Roman"/>
                <w:noProof/>
                <w:color w:val="000000"/>
                <w:sz w:val="20"/>
                <w:szCs w:val="20"/>
              </w:rPr>
              <w:lastRenderedPageBreak/>
              <w:t>interaktywnego do monitorowania krajowych i regionalnych inteligentnych specjalizacji oraz dedykowanej strony internetowej smart.gov.pl, a także  przeprowadzane są analizy m.in. dot. zasobów i potencjału technologicznego w jednostkach naukowych , identyfikacji trendów rozwojowych w obszarze technologii, wypracowania metodologii przełożenia klasyfikacji kodów PKD na KIS oraz opracowania metodologii w zakresie map drogowych w obszarach KIS.</w:t>
            </w:r>
          </w:p>
          <w:p w14:paraId="419B671E" w14:textId="77777777" w:rsidR="00E42B11" w:rsidRPr="00EE14D2" w:rsidRDefault="00E42B11" w:rsidP="00E42B11">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Za najważniejsze transformacje które musi skutecznie przejść polska gospodarka uznano: budowę gospodarki o obiegu zamkniętym, rozwój przemysłu 4.0, cyfryzację przedsiębiorstw i gospodarkę neutralną klimatycznie. </w:t>
            </w:r>
          </w:p>
          <w:p w14:paraId="01CFCB76" w14:textId="77777777" w:rsidR="00E42B11" w:rsidRPr="00EE14D2" w:rsidRDefault="00E42B11" w:rsidP="00E42B11">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 każdym z ww. obszarów podejmowanych jest szereg działań opisanych odpowiednio m.in. w  SOR, Mapie GOZ, Polityce Przemysłowej Polski, ustawie o Fundacji Platforma Przemysłu Przyszłości, programach Mój Prąd i Czyste Powietrze, koncepcji procesu standaryzacji Hubów Innowacji Cyfrowych, Polityce SI, Polityce Danych, koncepcji Szkoły Głównej Kompetencji Cyfrowych oraz Strategii Transformacji do Gospodarki Neutralnej Klimatycznie.</w:t>
            </w:r>
          </w:p>
          <w:p w14:paraId="216FA49B" w14:textId="3ECF6002" w:rsidR="00644235" w:rsidRPr="00EE14D2" w:rsidRDefault="00E42B11" w:rsidP="00E42B11">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Ponadto w celu spełnienia warunku promowana jest współpraca międzyregionalna i ponadnarodowa w obszarach inteligentnych specjalizacji (np. Partnerstwa S3 przy KE, Interreg, EIT, Horyzont 2020, Innovoucher, TravelGrants, projekty Grupy Wyszehradzkiej, TeamNet, bilateralne projekty akceleracyjne), a także internacjonalizacja polskich firm np.: Umiędzynarodowienie Krajowych Klastrów Kluczowych, Brand, Go to Brand, Poland Prize, Polskie Mosty Technologiczne, Granty na Eurogranty.</w:t>
            </w:r>
          </w:p>
          <w:p w14:paraId="3FC932B4" w14:textId="77777777" w:rsidR="00E42B11" w:rsidRPr="00EE14D2" w:rsidRDefault="00E42B11" w:rsidP="00E42B11">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Dokument Krajowa Inteligentna Specjalizacja -  Ministerstwo Rozwoju i Technologii</w:t>
            </w:r>
          </w:p>
          <w:p w14:paraId="34A3122E" w14:textId="24AAF3A4" w:rsidR="00E42B11" w:rsidRPr="00EE14D2" w:rsidRDefault="00E42B11" w:rsidP="00E42B11">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https://smart.gov.pl</w:t>
            </w:r>
          </w:p>
          <w:p w14:paraId="530A81A2"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Poziom regionalny:</w:t>
            </w:r>
          </w:p>
          <w:p w14:paraId="29BA59D4" w14:textId="77777777" w:rsidR="00AF4CAB" w:rsidRPr="00EE14D2" w:rsidRDefault="00AF4CAB" w:rsidP="00AF4CAB">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*Dolnośląska Strategia Innowacji 2030 (dokument przyjęty przez Zarząd Województwa Dolnośląskiego 5 stycznia 2021 r. uchwałą nr 3270/VI/21). Rozdział 15. System wdrażania i ramy finansowe (https://umwd.dolnyslask.pl/gospodarka/dolnoslaska-strategia-innowacji-2030/  )</w:t>
            </w:r>
          </w:p>
          <w:p w14:paraId="6D14D535" w14:textId="77777777" w:rsidR="00AF4CAB" w:rsidRPr="00EE14D2" w:rsidRDefault="00AF4CAB" w:rsidP="00AF4CAB">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 Uchwała nr 3798/VI/21 Zarządu Województwa Dolnośląskiego z dnia 1 czerwca 2021 r. w sprawie powołania </w:t>
            </w:r>
            <w:r w:rsidRPr="00EE14D2">
              <w:rPr>
                <w:rFonts w:ascii="Times New Roman" w:eastAsia="Times New Roman" w:hAnsi="Times New Roman" w:cs="Times New Roman"/>
                <w:noProof/>
                <w:sz w:val="20"/>
                <w:szCs w:val="20"/>
              </w:rPr>
              <w:lastRenderedPageBreak/>
              <w:t xml:space="preserve">Grupy Roboczej ds. Inteligentnych Specjalizacji; </w:t>
            </w:r>
          </w:p>
          <w:p w14:paraId="53443F20" w14:textId="77777777" w:rsidR="00AF4CAB" w:rsidRPr="00EE14D2" w:rsidRDefault="00AF4CAB" w:rsidP="00AF4CAB">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 Uchwała nr 4715/VI/21 Zarządu Województwa Dolnośląskiego z dnia 21 grudnia 2021 r. w sprawie określenia składu Grupy Roboczej ds. Inteligentnych Specjalizacji (https://umwd.dolnyslask.pl/gospodarka/dolnoslaskie-inteligentne-specjalizacje/grupa-robocza-ds-inteligentnych-specjalizacji/  ); </w:t>
            </w:r>
          </w:p>
          <w:p w14:paraId="0E7E7410" w14:textId="7041A0D3" w:rsidR="00644235" w:rsidRPr="00EE14D2" w:rsidRDefault="00AF4CAB" w:rsidP="00644235">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*Uchwała nr4314/VI/21 Zarządu Województwa Dolnośląskiego z dnia 21września 2021 r. w sprawie powołania Grupy Ekspertów ds. Dolnośląskiej Strategii Innowacji 2030 (https://umwd.dolnyslask.pl/gospodarka/dolnoslaska-strategia-innowacji-2030/grupa-ekspertow-ds-dolnoslaskiej-strategii-innowacji-2030/artykul/grupa-ekspertow-ds-dolnoslaskiej-strategii-innowacji-2030/)</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373247" w14:textId="75CCDDCB"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 xml:space="preserve">Poziom krajowy: </w:t>
            </w:r>
          </w:p>
          <w:p w14:paraId="045443F5" w14:textId="3518B136" w:rsidR="00E42B11" w:rsidRPr="00EE14D2" w:rsidRDefault="00E42B11" w:rsidP="00E42B11">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Kryterium spełnione poprzez: </w:t>
            </w:r>
          </w:p>
          <w:p w14:paraId="2FBFC5D4" w14:textId="77777777" w:rsidR="00E42B11" w:rsidRPr="00EE14D2" w:rsidRDefault="00E42B11" w:rsidP="00E42B11">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Minister wł. ds. gospodarki posiada doświadczenie i kompetencje w zakresie realizacji zadań związanych z inteligentną specjalizacją (tworzenie koncepcji, wdrażanie, proces przedsiębiorczego odkrywania, monitorowanie, ewaluacja)</w:t>
            </w:r>
          </w:p>
          <w:p w14:paraId="6B152CD9" w14:textId="77777777" w:rsidR="00E42B11" w:rsidRPr="00EE14D2" w:rsidRDefault="00E42B11" w:rsidP="00E42B11">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 xml:space="preserve">Prowadzenie przez Ministra wł. ds. gospodarki działań dotyczących koordynacji i monitorowania krajowych i regionalnych inteligentnych specjalizacji </w:t>
            </w:r>
          </w:p>
          <w:p w14:paraId="26665F6E" w14:textId="77777777" w:rsidR="00E42B11" w:rsidRPr="00EE14D2" w:rsidRDefault="00E42B11" w:rsidP="00E42B11">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Prowadzenie przez Ministra wł. ds. gospodarki prac w zakresie polityki innowacyjnej, technologicznej i przemysłowej, m.in. koordynacja prac Rady ds. Innowacyjności  (efekty działania Rady: program Start In Poland, Sieć badawcza Łukasiewicz, ulga na B+R, ulga IP Box, Akademia Menadżera Innowacji, Program Dobry Pomysł,  ustawa o Fundacji Platforma Przemysłu Przyszłości, Reforma nauki –</w:t>
            </w:r>
            <w:r w:rsidRPr="00EE14D2">
              <w:rPr>
                <w:rFonts w:ascii="Times New Roman" w:eastAsia="Times New Roman" w:hAnsi="Times New Roman" w:cs="Times New Roman"/>
                <w:noProof/>
                <w:color w:val="000000"/>
                <w:sz w:val="20"/>
                <w:szCs w:val="20"/>
              </w:rPr>
              <w:lastRenderedPageBreak/>
              <w:t>Konstytucja dla nauki , doktoraty wdrożeniowe, projekt Szkoła dla Innowatora, Mapa GOZ)</w:t>
            </w:r>
          </w:p>
          <w:p w14:paraId="170C1BFB" w14:textId="4067D20F" w:rsidR="00E42B11" w:rsidRPr="00EE14D2" w:rsidRDefault="00E42B11" w:rsidP="00E42B11">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Wskazanie Ministra właściwego ds. gospodarki do koordynowania KIS w dokumencie Krajowa Inteligentna Specjalizacja przez RM</w:t>
            </w:r>
          </w:p>
          <w:p w14:paraId="74908490"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Poziom regionalny:</w:t>
            </w:r>
          </w:p>
          <w:p w14:paraId="040BEA23" w14:textId="55DD9FFA" w:rsidR="00644235" w:rsidRPr="00EE14D2" w:rsidRDefault="00644235" w:rsidP="00A30393">
            <w:pPr>
              <w:spacing w:before="100" w:after="0" w:line="240" w:lineRule="auto"/>
              <w:rPr>
                <w:rFonts w:ascii="Times New Roman" w:eastAsia="Times New Roman" w:hAnsi="Times New Roman" w:cs="Times New Roman"/>
                <w:noProof/>
                <w:color w:val="FF0000"/>
                <w:sz w:val="20"/>
                <w:szCs w:val="20"/>
              </w:rPr>
            </w:pPr>
          </w:p>
          <w:p w14:paraId="4DDE124C" w14:textId="77777777" w:rsidR="00AF4CAB" w:rsidRPr="00EE14D2" w:rsidRDefault="00AF4CAB" w:rsidP="00AF4CAB">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Zarząd Województwa Dolnośląskiego jest właściwym regionalnym organem odpowiedzialnym za zarządzanie RIS3. Na poziomie regionalnym, koordynuje i nadzoruje działania związane z programowaniem, wdrażaniem i monitoringiem Dolnośląskich Inteligentnych Specjalizacji oraz realizacją Procesu Przedsiębiorczego Odkrywania w województwie. Kompetencje Zarządu jako organu wykonawczego Województwa jak również kompetencje Samorządu Województwa w zakresie prowadzenia polityki rozwoju obejmującej m. in. wspieranie rozwoju nauki i współpracy między sferą nauki i gospodarki, popieranie postępu technologicznego oraz innowacji; określa ustawa </w:t>
            </w:r>
          </w:p>
          <w:p w14:paraId="5B70C87F" w14:textId="77777777" w:rsidR="00AF4CAB" w:rsidRPr="00EE14D2" w:rsidRDefault="00AF4CAB" w:rsidP="00AF4CAB">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o samorządzie województwa.</w:t>
            </w:r>
          </w:p>
          <w:p w14:paraId="10C896A4" w14:textId="77777777" w:rsidR="00AF4CAB" w:rsidRPr="00EE14D2" w:rsidRDefault="00AF4CAB" w:rsidP="00AF4CAB">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lastRenderedPageBreak/>
              <w:t xml:space="preserve">Na poziomie operacyjnym, od wielu lat jednostką koordynującą wdrażanie strategii innowacji oraz inteligentnych specjalizacji jest Wydział Rozwoju Gospodarczego (wcześniej Wydział Gospodarki) </w:t>
            </w:r>
          </w:p>
          <w:p w14:paraId="7A47D7A2" w14:textId="77777777" w:rsidR="00AF4CAB" w:rsidRPr="00EE14D2" w:rsidRDefault="00AF4CAB" w:rsidP="00AF4CAB">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w Departamencie Gospodarki, posiadający w swojej strukturze Dział Innowacji odpowiedzialny za wdrażanie celów DSI 2030 oraz inicjowanie szeroko pojętych działań na rzecz rozwoju innowacyjnej gospodarki.  Kompetencje Departamentu Gospodarki oraz Wydziału Rozwoju Gospodarczego </w:t>
            </w:r>
          </w:p>
          <w:p w14:paraId="31285BB0" w14:textId="77777777" w:rsidR="00AF4CAB" w:rsidRPr="00EE14D2" w:rsidRDefault="00AF4CAB" w:rsidP="00AF4CAB">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w przedmiotowym zakresie określone są w Regulaminie Organizacyjnym Urzędu oraz Zarządzeniu Marszałka w sprawie szczegółowego zakresu zadań Departamentu Gospodarki. Dyrektor Wydziału Rozwoju Gospodarczego jest osobą pełniącą stanowisko managera procesu. Tym samym w zakres kompetencji i odpowiedzialności Dyrektora wchodzi:</w:t>
            </w:r>
          </w:p>
          <w:p w14:paraId="74522FE6" w14:textId="77777777" w:rsidR="00AF4CAB" w:rsidRPr="00EE14D2" w:rsidRDefault="00AF4CAB" w:rsidP="00AF4CAB">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w:t>
            </w:r>
            <w:r w:rsidRPr="00EE14D2">
              <w:rPr>
                <w:rFonts w:ascii="Times New Roman" w:eastAsia="Times New Roman" w:hAnsi="Times New Roman" w:cs="Times New Roman"/>
                <w:noProof/>
                <w:sz w:val="20"/>
                <w:szCs w:val="20"/>
              </w:rPr>
              <w:tab/>
              <w:t>zapewnienie poparcia Samorządu dla podejmowanych inicjatyw w ramach realizacji strategii,</w:t>
            </w:r>
          </w:p>
          <w:p w14:paraId="100476E7" w14:textId="77777777" w:rsidR="00AF4CAB" w:rsidRPr="00EE14D2" w:rsidRDefault="00AF4CAB" w:rsidP="00AF4CAB">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w:t>
            </w:r>
            <w:r w:rsidRPr="00EE14D2">
              <w:rPr>
                <w:rFonts w:ascii="Times New Roman" w:eastAsia="Times New Roman" w:hAnsi="Times New Roman" w:cs="Times New Roman"/>
                <w:noProof/>
                <w:sz w:val="20"/>
                <w:szCs w:val="20"/>
              </w:rPr>
              <w:tab/>
              <w:t>koordynacja i monitoring działań związanych z realizacją PPO i wdrażaniem DSI 2030 w ramach UMWD oraz jednostek zewnętrznych</w:t>
            </w:r>
          </w:p>
          <w:p w14:paraId="16524893" w14:textId="77777777" w:rsidR="00AF4CAB" w:rsidRPr="00EE14D2" w:rsidRDefault="00AF4CAB" w:rsidP="00AF4CAB">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lastRenderedPageBreak/>
              <w:t>•</w:t>
            </w:r>
            <w:r w:rsidRPr="00EE14D2">
              <w:rPr>
                <w:rFonts w:ascii="Times New Roman" w:eastAsia="Times New Roman" w:hAnsi="Times New Roman" w:cs="Times New Roman"/>
                <w:noProof/>
                <w:sz w:val="20"/>
                <w:szCs w:val="20"/>
              </w:rPr>
              <w:tab/>
              <w:t>obserwacja i moderacja relacji pomiędzy pozostałymi aktorami regionalnego systemu innowacji,</w:t>
            </w:r>
          </w:p>
          <w:p w14:paraId="6DB6DBE8" w14:textId="77777777" w:rsidR="00AF4CAB" w:rsidRPr="00EE14D2" w:rsidRDefault="00AF4CAB" w:rsidP="00AF4CAB">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w:t>
            </w:r>
            <w:r w:rsidRPr="00EE14D2">
              <w:rPr>
                <w:rFonts w:ascii="Times New Roman" w:eastAsia="Times New Roman" w:hAnsi="Times New Roman" w:cs="Times New Roman"/>
                <w:noProof/>
                <w:sz w:val="20"/>
                <w:szCs w:val="20"/>
              </w:rPr>
              <w:tab/>
              <w:t>zaplanowanie i realizacja projektów strategicznych realizowanych wyłącznie przez UMWD lub we współpracy z innymi podmiotami (np. ośrodkami akademickimi, jednostkami B+R, czy tez Instytucjami Otoczenia Biznesu),</w:t>
            </w:r>
          </w:p>
          <w:p w14:paraId="1B1F4F71" w14:textId="77777777" w:rsidR="00AF4CAB" w:rsidRPr="00EE14D2" w:rsidRDefault="00AF4CAB" w:rsidP="00AF4CAB">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w:t>
            </w:r>
            <w:r w:rsidRPr="00EE14D2">
              <w:rPr>
                <w:rFonts w:ascii="Times New Roman" w:eastAsia="Times New Roman" w:hAnsi="Times New Roman" w:cs="Times New Roman"/>
                <w:noProof/>
                <w:sz w:val="20"/>
                <w:szCs w:val="20"/>
              </w:rPr>
              <w:tab/>
              <w:t>organizacja prac związanych z monitoringiem i ewaluacją procesu wdrażania strategii.</w:t>
            </w:r>
          </w:p>
          <w:p w14:paraId="1B3754C8" w14:textId="77777777" w:rsidR="00AF4CAB" w:rsidRPr="00EE14D2" w:rsidRDefault="00AF4CAB" w:rsidP="00AF4CAB">
            <w:pPr>
              <w:spacing w:before="100" w:after="0" w:line="240" w:lineRule="auto"/>
              <w:rPr>
                <w:rFonts w:ascii="Times New Roman" w:eastAsia="Times New Roman" w:hAnsi="Times New Roman" w:cs="Times New Roman"/>
                <w:noProof/>
                <w:sz w:val="20"/>
                <w:szCs w:val="20"/>
              </w:rPr>
            </w:pPr>
          </w:p>
          <w:p w14:paraId="34BC2F02" w14:textId="77777777" w:rsidR="00AF4CAB" w:rsidRPr="00EE14D2" w:rsidRDefault="00AF4CAB" w:rsidP="00AF4CAB">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Przedstawiciele Wydziału Rozwoju Gospodarczego UMWD są również od początku zaangażowani w działania Regionalnego Forum Inteligentnych Specjalizacji towarzyszącego obradom Konwentu Marszałków Województw RP.  Cele RFIS opisane są w Raporcie załączonym do Tabeli.</w:t>
            </w:r>
          </w:p>
          <w:p w14:paraId="32643BF7" w14:textId="77777777" w:rsidR="00AF4CAB" w:rsidRPr="00EE14D2" w:rsidRDefault="00AF4CAB" w:rsidP="00AF4CAB">
            <w:pPr>
              <w:spacing w:before="100" w:after="0" w:line="240" w:lineRule="auto"/>
              <w:rPr>
                <w:rFonts w:ascii="Times New Roman" w:eastAsia="Times New Roman" w:hAnsi="Times New Roman" w:cs="Times New Roman"/>
                <w:noProof/>
                <w:sz w:val="20"/>
                <w:szCs w:val="20"/>
              </w:rPr>
            </w:pPr>
          </w:p>
          <w:p w14:paraId="4A5D3D35" w14:textId="77777777" w:rsidR="00AF4CAB" w:rsidRPr="00EE14D2" w:rsidRDefault="00AF4CAB" w:rsidP="00AF4CAB">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Wydział Rozwoju Gospodarczego współpracuje także wewnętrznie z innymi komórkami organizacyjnymi UMWD, </w:t>
            </w:r>
          </w:p>
          <w:p w14:paraId="76020938" w14:textId="77777777" w:rsidR="00AF4CAB" w:rsidRPr="00EE14D2" w:rsidRDefault="00AF4CAB" w:rsidP="00AF4CAB">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m. in. odpowiedzialnymi za: </w:t>
            </w:r>
          </w:p>
          <w:p w14:paraId="4728A9EC" w14:textId="77777777" w:rsidR="00AF4CAB" w:rsidRPr="00EE14D2" w:rsidRDefault="00AF4CAB" w:rsidP="00AF4CAB">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w:t>
            </w:r>
            <w:r w:rsidRPr="00EE14D2">
              <w:rPr>
                <w:rFonts w:ascii="Times New Roman" w:eastAsia="Times New Roman" w:hAnsi="Times New Roman" w:cs="Times New Roman"/>
                <w:noProof/>
                <w:sz w:val="20"/>
                <w:szCs w:val="20"/>
              </w:rPr>
              <w:tab/>
              <w:t xml:space="preserve">programowanie,  koordynację i kontrolę wydatkowania regionalnych </w:t>
            </w:r>
            <w:r w:rsidRPr="00EE14D2">
              <w:rPr>
                <w:rFonts w:ascii="Times New Roman" w:eastAsia="Times New Roman" w:hAnsi="Times New Roman" w:cs="Times New Roman"/>
                <w:noProof/>
                <w:sz w:val="20"/>
                <w:szCs w:val="20"/>
              </w:rPr>
              <w:lastRenderedPageBreak/>
              <w:t xml:space="preserve">środków pochodzących z Unii Europejskiej. DSI 2030, będąc dokumentem wykonawczym, pozostającym w ścisłej relacji do Strategii Rozwoju Województwa Dolnośląskiego 2030 (SRWD 2030), znajduje bowiem swoje odzwierciedlenie w definicji celów </w:t>
            </w:r>
          </w:p>
          <w:p w14:paraId="7E0B90E2" w14:textId="77777777" w:rsidR="00AF4CAB" w:rsidRPr="00EE14D2" w:rsidRDefault="00AF4CAB" w:rsidP="00AF4CAB">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i zakresów poszczególnych priorytetów w Regionalnym Programie Operacyjnym Województwa Dolnośląskiego (RPO WD),</w:t>
            </w:r>
          </w:p>
          <w:p w14:paraId="1CC21940" w14:textId="77777777" w:rsidR="00AF4CAB" w:rsidRPr="00EE14D2" w:rsidRDefault="00AF4CAB" w:rsidP="00AF4CAB">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w:t>
            </w:r>
            <w:r w:rsidRPr="00EE14D2">
              <w:rPr>
                <w:rFonts w:ascii="Times New Roman" w:eastAsia="Times New Roman" w:hAnsi="Times New Roman" w:cs="Times New Roman"/>
                <w:noProof/>
                <w:sz w:val="20"/>
                <w:szCs w:val="20"/>
              </w:rPr>
              <w:tab/>
              <w:t>planowanie i realizację obsługi finansowej budżetu województwa.</w:t>
            </w:r>
          </w:p>
          <w:p w14:paraId="5D4F7C7F" w14:textId="77777777" w:rsidR="00AF4CAB" w:rsidRPr="00EE14D2" w:rsidRDefault="00AF4CAB" w:rsidP="00AF4CAB">
            <w:pPr>
              <w:spacing w:before="100" w:after="0" w:line="240" w:lineRule="auto"/>
              <w:rPr>
                <w:rFonts w:ascii="Times New Roman" w:eastAsia="Times New Roman" w:hAnsi="Times New Roman" w:cs="Times New Roman"/>
                <w:noProof/>
                <w:sz w:val="20"/>
                <w:szCs w:val="20"/>
              </w:rPr>
            </w:pPr>
          </w:p>
          <w:p w14:paraId="4D680295" w14:textId="77777777" w:rsidR="00AF4CAB" w:rsidRPr="00EE14D2" w:rsidRDefault="00AF4CAB" w:rsidP="00AF4CAB">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W systemie wdrażania DSI 2030 na poziomie strategicznym Zarząd Województwa  i działający w jego imieniu Departament Gospodarki jest wspierany przez Grupę Ekspertów ds. DSI. Grupa ta powołana pierwotnie w trakcie prac nad DSI2030, po jej przyjęciu przekształciła się w ciało wspomagające cały proces zarządzania i wdrażania Strategii. Jej cele, skład osobowy i aktywność opisane są w Raporcie dołączonym do Tabeli oraz w Kryterium 1.</w:t>
            </w:r>
          </w:p>
          <w:p w14:paraId="2A37DDEE" w14:textId="77777777" w:rsidR="00AF4CAB" w:rsidRPr="00EE14D2" w:rsidRDefault="00AF4CAB" w:rsidP="00AF4CAB">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Na poziomie operacyjnym systemu wdrażania DSI Dyrektor Wydziału Rozwoju Gospodarczego jest wspierany w zakresie doradczym i opiniotwórczym </w:t>
            </w:r>
            <w:r w:rsidRPr="00EE14D2">
              <w:rPr>
                <w:rFonts w:ascii="Times New Roman" w:eastAsia="Times New Roman" w:hAnsi="Times New Roman" w:cs="Times New Roman"/>
                <w:noProof/>
                <w:sz w:val="20"/>
                <w:szCs w:val="20"/>
              </w:rPr>
              <w:lastRenderedPageBreak/>
              <w:t>przez Grupy Robocze do spraw Inteligentnych Specjalizacji, które pozwalają na realizację założeń PPO w procesie wdrażania strategii innowacji oraz budowanie kapitału społecznego wokół zagadnień regionalnej innowacyjności. W latach 2015-2020 w ramach systemu wdrażania Ram strategicznych na rzecz inteligentnych specjalizacji Dolnego Śląska funkcjonowało 6 Grup Roboczych odpowiadających 6 ówczesnym inteligentnym specjalizacjom. Szczegółowa rola tych grup została opisana w Raporcie dołączonym do Tabeli.</w:t>
            </w:r>
          </w:p>
          <w:p w14:paraId="3C49B819" w14:textId="77777777" w:rsidR="00AF4CAB" w:rsidRPr="00EE14D2" w:rsidRDefault="00AF4CAB" w:rsidP="00AF4CAB">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Wybrani przedstawiciele Dolnośląskiego Systemu Innowacji, </w:t>
            </w:r>
          </w:p>
          <w:p w14:paraId="7328593E" w14:textId="77777777" w:rsidR="00AF4CAB" w:rsidRPr="00EE14D2" w:rsidRDefault="00AF4CAB" w:rsidP="00AF4CAB">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w tym przedstawiciele przedsiębiorstw, uczelni lub instytucji B+R, którzy byli aktywni w dolnośląskich grupach </w:t>
            </w:r>
          </w:p>
          <w:p w14:paraId="6DF48845" w14:textId="77777777" w:rsidR="00AF4CAB" w:rsidRPr="00EE14D2" w:rsidRDefault="00AF4CAB" w:rsidP="00AF4CAB">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ds. inteligentnych specjalizacji w latach 2015 – 2020 działali również w dziesięciu z trzynastu grup Krajowych Inteligentnych Specjalizacji, gdzie uczestniczyli w dyskusji </w:t>
            </w:r>
          </w:p>
          <w:p w14:paraId="591CBCDF" w14:textId="77777777" w:rsidR="00AF4CAB" w:rsidRPr="00EE14D2" w:rsidRDefault="00AF4CAB" w:rsidP="00AF4CAB">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o polskiej polityce innowacyjnej i opracowaniu programowego wsparcia polskich podmiotów innowacyjnych.</w:t>
            </w:r>
          </w:p>
          <w:p w14:paraId="3E868FF4" w14:textId="77777777" w:rsidR="00AF4CAB" w:rsidRPr="00EE14D2" w:rsidRDefault="00AF4CAB" w:rsidP="00AF4CAB">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W związku z aktualizacją DSI w roku 2021 zmianie uległa koncepcja funkcjonowania Grup Roboczych ds. </w:t>
            </w:r>
            <w:r w:rsidRPr="00EE14D2">
              <w:rPr>
                <w:rFonts w:ascii="Times New Roman" w:eastAsia="Times New Roman" w:hAnsi="Times New Roman" w:cs="Times New Roman"/>
                <w:noProof/>
                <w:sz w:val="20"/>
                <w:szCs w:val="20"/>
              </w:rPr>
              <w:lastRenderedPageBreak/>
              <w:t xml:space="preserve">Inteligentnych Specjalizacji. Zostały one skonsolidowane w jedno ciało doradcze, aby umożliwić dyskusję międzysektorową </w:t>
            </w:r>
          </w:p>
          <w:p w14:paraId="4B4D4E6B" w14:textId="77777777" w:rsidR="00AF4CAB" w:rsidRPr="00EE14D2" w:rsidRDefault="00AF4CAB" w:rsidP="00AF4CAB">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i interdyscyplinarne podejście do wdrażania innowacji. Przeprowadzono nowy, otwarty nabór do Grupy. W ramach wyłaniających się tematów branżowych możliwe jest tworzenie zespołów zadaniowych/tematycznych w obrębie Grupy. Komunikację wewnętrzną w Grupie i zespołach wspomagać będzie tworzona aktualnie internetowa platforma współpracy. Grupa Robocza ds. IS została powołana przez Zarząd Uchwałą z 21 września 2021 r.), a jej skład został określony 21 grudnia 2021 r. Uchwałą Zarządu Dolnośląskiego nr 4715/VI/21. Grupa liczy 63 osoby. Znaleźli się w niej przedstawiciele dolnośląskich jednostek naukowych i B+R, przedsiębiorstw, klastrów i instytucji otoczenia biznesu.</w:t>
            </w:r>
          </w:p>
          <w:p w14:paraId="6FC64359" w14:textId="77777777" w:rsidR="00AF4CAB" w:rsidRPr="00EE14D2" w:rsidRDefault="00AF4CAB" w:rsidP="00AF4CAB">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Grupa Robocza ds. Inteligentnych Specjalizacji to najważniejsze forum współpracy samorządu Dolnego Śląska </w:t>
            </w:r>
          </w:p>
          <w:p w14:paraId="24129D6D" w14:textId="77777777" w:rsidR="00AF4CAB" w:rsidRPr="00EE14D2" w:rsidRDefault="00AF4CAB" w:rsidP="00AF4CAB">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z biznesem, sektorem nauki i badań, instytucjami otoczenia biznesu i innymi uczestnikami dolnośląskiego systemu innowacji, a zarazem istotny element procesu przedsiębiorczego odkrywania zdefiniowanego w Dolnośląskiej </w:t>
            </w:r>
            <w:r w:rsidRPr="00EE14D2">
              <w:rPr>
                <w:rFonts w:ascii="Times New Roman" w:eastAsia="Times New Roman" w:hAnsi="Times New Roman" w:cs="Times New Roman"/>
                <w:noProof/>
                <w:sz w:val="20"/>
                <w:szCs w:val="20"/>
              </w:rPr>
              <w:lastRenderedPageBreak/>
              <w:t>Strategii Innowacji 2030.  Jej cele zostały opisane w Raporcie stanowiącym załącznik do Tabeli.</w:t>
            </w:r>
          </w:p>
          <w:p w14:paraId="792E2E3E" w14:textId="77777777" w:rsidR="00AF4CAB" w:rsidRPr="00EE14D2" w:rsidRDefault="00AF4CAB" w:rsidP="00AF4CAB">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Grupa Robocza ds. Inteligentnych Specjalizacji, obejmuje  swoim zakresem siedem inteligentnych specjalizacji Dolnego Śląska:</w:t>
            </w:r>
          </w:p>
          <w:p w14:paraId="7BB103F2" w14:textId="77777777" w:rsidR="00AF4CAB" w:rsidRPr="00EE14D2" w:rsidRDefault="00AF4CAB" w:rsidP="00AF4CAB">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Chemia i medycyna</w:t>
            </w:r>
          </w:p>
          <w:p w14:paraId="50F14BD5" w14:textId="77777777" w:rsidR="00AF4CAB" w:rsidRPr="00EE14D2" w:rsidRDefault="00AF4CAB" w:rsidP="00AF4CAB">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Auto-Moto-Aero-Space</w:t>
            </w:r>
          </w:p>
          <w:p w14:paraId="53F6FA07" w14:textId="77777777" w:rsidR="00AF4CAB" w:rsidRPr="00EE14D2" w:rsidRDefault="00AF4CAB" w:rsidP="00AF4CAB">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Surowce naturalne i wtórne</w:t>
            </w:r>
          </w:p>
          <w:p w14:paraId="44E2BB9B" w14:textId="77777777" w:rsidR="00AF4CAB" w:rsidRPr="00EE14D2" w:rsidRDefault="00AF4CAB" w:rsidP="00AF4CAB">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Maszyny i urządzenia</w:t>
            </w:r>
          </w:p>
          <w:p w14:paraId="4943F3B6" w14:textId="77777777" w:rsidR="00AF4CAB" w:rsidRPr="00EE14D2" w:rsidRDefault="00AF4CAB" w:rsidP="00AF4CAB">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Zielony ład – specjalizacja horyzontalna</w:t>
            </w:r>
          </w:p>
          <w:p w14:paraId="4EE9751E" w14:textId="77777777" w:rsidR="00AF4CAB" w:rsidRPr="00EE14D2" w:rsidRDefault="00AF4CAB" w:rsidP="00AF4CAB">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Przemysł 4.0 - specjalizacja horyzontalna</w:t>
            </w:r>
          </w:p>
          <w:p w14:paraId="5821E701" w14:textId="6D3EDE3B" w:rsidR="00644235" w:rsidRPr="00EE14D2" w:rsidRDefault="00AF4CAB" w:rsidP="00AF4CAB">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Życie wspomagane technologią - specjalizacja horyzontalna.</w:t>
            </w:r>
          </w:p>
        </w:tc>
      </w:tr>
      <w:tr w:rsidR="00644235" w:rsidRPr="00EE14D2" w14:paraId="1A6156D8" w14:textId="77777777" w:rsidTr="00644235">
        <w:trPr>
          <w:jc w:val="center"/>
        </w:trPr>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EBA796"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8924DE"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5850C2"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1F02D7"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BC95D9"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3. narzędzia monitorowania i ewaluacji w celu pomiaru realizacji celów strategii;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CD71F5"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99B2D3" w14:textId="324F1F0D" w:rsidR="00644235" w:rsidRPr="00EE14D2" w:rsidRDefault="00644235" w:rsidP="00644235">
            <w:pPr>
              <w:spacing w:before="100" w:after="0" w:line="240" w:lineRule="auto"/>
              <w:rPr>
                <w:rFonts w:ascii="Times New Roman" w:eastAsia="Times New Roman" w:hAnsi="Times New Roman" w:cs="Times New Roman"/>
                <w:noProof/>
                <w:color w:val="FF0000"/>
                <w:sz w:val="20"/>
                <w:szCs w:val="20"/>
              </w:rPr>
            </w:pPr>
            <w:r w:rsidRPr="00EE14D2">
              <w:rPr>
                <w:rFonts w:ascii="Times New Roman" w:eastAsia="Times New Roman" w:hAnsi="Times New Roman" w:cs="Times New Roman"/>
                <w:noProof/>
                <w:color w:val="000000"/>
                <w:sz w:val="20"/>
                <w:szCs w:val="20"/>
              </w:rPr>
              <w:t xml:space="preserve">Poziom krajowy: </w:t>
            </w:r>
          </w:p>
          <w:p w14:paraId="3F268A1B" w14:textId="77777777" w:rsidR="002C15AF" w:rsidRPr="00EE14D2" w:rsidRDefault="002C15AF" w:rsidP="002C15AF">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Spełnieniem warunku są mechanizmy wskazane w Strategii na rzecz Odpowiedzialnego Rozwoju w celu dot. trwałego wzrostu gospodarczego opartego coraz silniej o wiedzę, dane i doskonałość organizacyjną, a także w projekcie Strategii Produktywności 2030 oraz Krajowej Inteligentnej Specjalizacji (KIS) i Regionalnych Inteligentnych Specjalizacjach (RIS) z uwzględnieniem procesu przedsiębiorczego odkrywania </w:t>
            </w:r>
            <w:r w:rsidRPr="00EE14D2">
              <w:rPr>
                <w:rFonts w:ascii="Times New Roman" w:eastAsia="Times New Roman" w:hAnsi="Times New Roman" w:cs="Times New Roman"/>
                <w:noProof/>
                <w:sz w:val="20"/>
                <w:szCs w:val="20"/>
              </w:rPr>
              <w:lastRenderedPageBreak/>
              <w:t>jako kluczowego elementu koncepcji inteligentnej specjalizacji. Minister wł. ds. gospodarki odpowiada za: opracowanie koncepcji, wdrażanie, proces przedsiębiorczego odkrywania, monitorowanie, ewaluację oraz koordynację i monitorowanie KIS i RIS. Jako element ciągłego procesu przedsiębiorczego odkrywania oraz monitorowania inteligentnych specjalizacji prowadzone są prace związane z aktualizacją dokumentu kierunkowego KIS, kontynuowane są prace związane z rozbudową i zasilaniem danymi narzędzia interaktywnego do monitorowania krajowych i regionalnych inteligentnych specjalizacji oraz dedykowanej strony internetowej smart.gov.pl, a także  przeprowadzane są analizy m.in. dot. zasobów i potencjału technologicznego w jednostkach naukowych , identyfikacji trendów rozwojowych w obszarze technologii, wypracowania metodologii przełożenia klasyfikacji kodów PKD na KIS oraz opracowania metodologii w zakresie map drogowych w obszarach KIS.</w:t>
            </w:r>
          </w:p>
          <w:p w14:paraId="448D0BFE" w14:textId="77777777" w:rsidR="002C15AF" w:rsidRPr="00EE14D2" w:rsidRDefault="002C15AF" w:rsidP="002C15AF">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Za najważniejsze transformacje które musi skutecznie przejść polska gospodarka uznano: budowę gospodarki o obiegu zamkniętym, rozwój przemysłu </w:t>
            </w:r>
            <w:r w:rsidRPr="00EE14D2">
              <w:rPr>
                <w:rFonts w:ascii="Times New Roman" w:eastAsia="Times New Roman" w:hAnsi="Times New Roman" w:cs="Times New Roman"/>
                <w:noProof/>
                <w:sz w:val="20"/>
                <w:szCs w:val="20"/>
              </w:rPr>
              <w:lastRenderedPageBreak/>
              <w:t xml:space="preserve">4.0, cyfryzację przedsiębiorstw i gospodarkę neutralną klimatycznie. </w:t>
            </w:r>
          </w:p>
          <w:p w14:paraId="7211F579" w14:textId="77777777" w:rsidR="002C15AF" w:rsidRPr="00EE14D2" w:rsidRDefault="002C15AF" w:rsidP="002C15AF">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W każdym z ww. obszarów podejmowanych jest szereg działań opisanych odpowiednio m.in. w  SOR, Mapie GOZ, Polityce Przemysłowej Polski, ustawie o Fundacji Platforma Przemysłu Przyszłości, programach Mój Prąd i Czyste Powietrze, koncepcji procesu standaryzacji Hubów Innowacji Cyfrowych, Polityce SI, Polityce Danych, koncepcji Szkoły Głównej Kompetencji Cyfrowych oraz Strategii Transformacji do Gospodarki Neutralnej Klimatycznie.</w:t>
            </w:r>
          </w:p>
          <w:p w14:paraId="659D5540" w14:textId="737CBD1E" w:rsidR="002C15AF" w:rsidRPr="00EE14D2" w:rsidRDefault="002C15AF" w:rsidP="002C15AF">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Ponadto w celu spełnienia warunku promowana jest współpraca międzyregionalna i ponadnarodowa w obszarach inteligentnych specjalizacji (np. Partnerstwa S3 przy KE, Interreg, EIT, Horyzont 2020, Innovoucher, TravelGrants, projekty Grupy Wyszehradzkiej, TeamNet, bilateralne projekty akceleracyjne), a także internacjonalizacja polskich firm np.: Umiędzynarodowienie Krajowych Klastrów Kluczowych, Brand, Go to Brand, Poland Prize, Polskie Mosty Technologiczne, Granty na Eurogranty.</w:t>
            </w:r>
          </w:p>
          <w:p w14:paraId="737835D4" w14:textId="77777777" w:rsidR="002C15AF" w:rsidRPr="00EE14D2" w:rsidRDefault="002C15AF" w:rsidP="002C15AF">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Dokument Krajowa Inteligentna Specjalizacja - Ministerstwo Rozwoju i Technologii</w:t>
            </w:r>
          </w:p>
          <w:p w14:paraId="65B6016C" w14:textId="77777777" w:rsidR="002C15AF" w:rsidRPr="00EE14D2" w:rsidRDefault="002C15AF" w:rsidP="002C15AF">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lastRenderedPageBreak/>
              <w:t>https://smart.gov.pl</w:t>
            </w:r>
          </w:p>
          <w:p w14:paraId="12616C5F" w14:textId="77777777" w:rsidR="002C15AF" w:rsidRPr="00EE14D2" w:rsidRDefault="002C15AF" w:rsidP="002C15AF">
            <w:pPr>
              <w:spacing w:before="100" w:after="0" w:line="240" w:lineRule="auto"/>
              <w:rPr>
                <w:rFonts w:ascii="Times New Roman" w:eastAsia="Times New Roman" w:hAnsi="Times New Roman" w:cs="Times New Roman"/>
                <w:noProof/>
                <w:sz w:val="20"/>
                <w:szCs w:val="20"/>
              </w:rPr>
            </w:pPr>
          </w:p>
          <w:p w14:paraId="3E872DB6" w14:textId="77777777" w:rsidR="002C15AF" w:rsidRPr="00EE14D2" w:rsidRDefault="002C15AF" w:rsidP="002C15AF">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Strona internetowa dot. KIS  - Ministerstwo Rozwoju i Technologii</w:t>
            </w:r>
          </w:p>
          <w:p w14:paraId="62F1779B" w14:textId="77777777" w:rsidR="002C15AF" w:rsidRPr="00EE14D2" w:rsidRDefault="002C15AF" w:rsidP="002C15AF">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https://smart.gov.pl</w:t>
            </w:r>
          </w:p>
          <w:p w14:paraId="64866300" w14:textId="77777777" w:rsidR="002C15AF" w:rsidRPr="00EE14D2" w:rsidRDefault="002C15AF" w:rsidP="002C15AF">
            <w:pPr>
              <w:spacing w:before="100" w:after="0" w:line="240" w:lineRule="auto"/>
              <w:rPr>
                <w:rFonts w:ascii="Times New Roman" w:eastAsia="Times New Roman" w:hAnsi="Times New Roman" w:cs="Times New Roman"/>
                <w:noProof/>
                <w:sz w:val="20"/>
                <w:szCs w:val="20"/>
              </w:rPr>
            </w:pPr>
          </w:p>
          <w:p w14:paraId="1290F435" w14:textId="77777777" w:rsidR="002C15AF" w:rsidRPr="00EE14D2" w:rsidRDefault="002C15AF" w:rsidP="002C15AF">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Narzędzie informatyczne SmartRadar - Ministerstwo Rozwoju i Technologii</w:t>
            </w:r>
          </w:p>
          <w:p w14:paraId="5DF55CBC" w14:textId="77777777" w:rsidR="002C15AF" w:rsidRPr="00EE14D2" w:rsidRDefault="002C15AF" w:rsidP="002C15AF">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https://mpit-smartradar.avility.pl/</w:t>
            </w:r>
          </w:p>
          <w:p w14:paraId="28F37D14" w14:textId="77777777" w:rsidR="002C15AF" w:rsidRPr="00EE14D2" w:rsidRDefault="002C15AF" w:rsidP="002C15AF">
            <w:pPr>
              <w:spacing w:before="100" w:after="0" w:line="240" w:lineRule="auto"/>
              <w:rPr>
                <w:rFonts w:ascii="Times New Roman" w:eastAsia="Times New Roman" w:hAnsi="Times New Roman" w:cs="Times New Roman"/>
                <w:noProof/>
                <w:sz w:val="20"/>
                <w:szCs w:val="20"/>
              </w:rPr>
            </w:pPr>
          </w:p>
          <w:p w14:paraId="20122782" w14:textId="77777777" w:rsidR="002C15AF" w:rsidRPr="00EE14D2" w:rsidRDefault="002C15AF" w:rsidP="002C15AF">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Ewaluacja ex-ante i mid-term projektu pozakonkursowego - Polska Agencja Rozwoju Przedsiębiorczości</w:t>
            </w:r>
          </w:p>
          <w:p w14:paraId="73826563" w14:textId="77777777" w:rsidR="002C15AF" w:rsidRPr="00EE14D2" w:rsidRDefault="002C15AF" w:rsidP="002C15AF">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(w publikacji)</w:t>
            </w:r>
          </w:p>
          <w:p w14:paraId="6C788BE3" w14:textId="77777777" w:rsidR="002C15AF" w:rsidRPr="00EE14D2" w:rsidRDefault="002C15AF" w:rsidP="002C15AF">
            <w:pPr>
              <w:spacing w:before="100" w:after="0" w:line="240" w:lineRule="auto"/>
              <w:rPr>
                <w:rFonts w:ascii="Times New Roman" w:eastAsia="Times New Roman" w:hAnsi="Times New Roman" w:cs="Times New Roman"/>
                <w:noProof/>
                <w:sz w:val="20"/>
                <w:szCs w:val="20"/>
              </w:rPr>
            </w:pPr>
          </w:p>
          <w:p w14:paraId="679B664B" w14:textId="77777777" w:rsidR="002C15AF" w:rsidRPr="00EE14D2" w:rsidRDefault="002C15AF" w:rsidP="002C15AF">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Ewaluacja wsparcia w ramach PO IR w zakresie krajowych inteligentnych specjalizacji - Ministerstwo Funduszy i Polityki Regionalnej</w:t>
            </w:r>
          </w:p>
          <w:p w14:paraId="137026E8" w14:textId="4FB03B90" w:rsidR="002C15AF" w:rsidRPr="00EE14D2" w:rsidRDefault="002C15AF" w:rsidP="002C15AF">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https://www.ewaluacja.gov.pl/strony/badania-i-analizy/wyniki-badan-ewaluacyjnych/badania-ewaluacyjne/ewaluacja-wsparcia-w-ramach-po-ir-w-zakresie-krajowych-inteligentnych-specjalizacji/</w:t>
            </w:r>
          </w:p>
          <w:p w14:paraId="446E14EE"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Poziom regionalny:</w:t>
            </w:r>
          </w:p>
          <w:p w14:paraId="4E25C4DA" w14:textId="325B45CA" w:rsidR="00644235" w:rsidRPr="00EE14D2" w:rsidRDefault="00644235" w:rsidP="00644235">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lastRenderedPageBreak/>
              <w:t>Dolnośląska Strategia Innowacji 2030 (dokument przyjęty przez Zarząd Województwa Dolnośląskiego 5 stycznia 2021 r. uchwałą nr 3270/VI/21). Rozdział 16. Monitoring i ewaluacja. (https://umwd.dolnyslask.pl/gospodarka/dolnoslaska-strategia-innowacji-2030/  )</w:t>
            </w:r>
          </w:p>
          <w:p w14:paraId="72912AF9" w14:textId="77777777" w:rsidR="002C15AF" w:rsidRPr="00EE14D2" w:rsidRDefault="002C15AF" w:rsidP="00644235">
            <w:pPr>
              <w:spacing w:before="100" w:after="0" w:line="240" w:lineRule="auto"/>
              <w:rPr>
                <w:rFonts w:ascii="Times New Roman" w:eastAsia="Times New Roman" w:hAnsi="Times New Roman" w:cs="Times New Roman"/>
                <w:noProof/>
                <w:sz w:val="20"/>
                <w:szCs w:val="20"/>
              </w:rPr>
            </w:pPr>
          </w:p>
          <w:p w14:paraId="19FDC999"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2BA35C" w14:textId="2066F869" w:rsidR="00644235" w:rsidRPr="00EE14D2" w:rsidRDefault="00644235" w:rsidP="00644235">
            <w:pPr>
              <w:spacing w:before="100" w:after="0" w:line="240" w:lineRule="auto"/>
              <w:rPr>
                <w:rFonts w:ascii="Times New Roman" w:eastAsia="Times New Roman" w:hAnsi="Times New Roman" w:cs="Times New Roman"/>
                <w:noProof/>
                <w:color w:val="FF0000"/>
                <w:sz w:val="20"/>
                <w:szCs w:val="20"/>
              </w:rPr>
            </w:pPr>
            <w:r w:rsidRPr="00EE14D2">
              <w:rPr>
                <w:rFonts w:ascii="Times New Roman" w:eastAsia="Times New Roman" w:hAnsi="Times New Roman" w:cs="Times New Roman"/>
                <w:noProof/>
                <w:color w:val="000000"/>
                <w:sz w:val="20"/>
                <w:szCs w:val="20"/>
              </w:rPr>
              <w:lastRenderedPageBreak/>
              <w:t xml:space="preserve">Poziom krajowy: </w:t>
            </w:r>
          </w:p>
          <w:p w14:paraId="1019178D" w14:textId="6B5E95F7" w:rsidR="002C15AF" w:rsidRPr="00EE14D2" w:rsidRDefault="002C15AF" w:rsidP="002C15A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Kryterium spełnione poprzez:</w:t>
            </w:r>
          </w:p>
          <w:p w14:paraId="2DA92B5B" w14:textId="77777777" w:rsidR="002C15AF" w:rsidRPr="00EE14D2" w:rsidRDefault="002C15AF" w:rsidP="002C15A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 xml:space="preserve">Stały monitoring inteligentnych specjalizacji w oparciu o dane z realizacji krajowych i regionalnych programów operacyjnych, Horyzont2020, w tym z uwzględnieniem listy wskaźników wspólnych i listy wskaźników kluczowych, którego efektem jest informacja zarządcza m.in. o zgłaszanych i pozytywnie ocenionych projektach z poszczególnych KIS, o </w:t>
            </w:r>
            <w:r w:rsidRPr="00EE14D2">
              <w:rPr>
                <w:rFonts w:ascii="Times New Roman" w:eastAsia="Times New Roman" w:hAnsi="Times New Roman" w:cs="Times New Roman"/>
                <w:noProof/>
                <w:color w:val="000000"/>
                <w:sz w:val="20"/>
                <w:szCs w:val="20"/>
              </w:rPr>
              <w:lastRenderedPageBreak/>
              <w:t xml:space="preserve">wskaźniku sukcesu oraz o zainteresowaniu poszczególnymi specjalizacjami </w:t>
            </w:r>
          </w:p>
          <w:p w14:paraId="4DF11634" w14:textId="77777777" w:rsidR="002C15AF" w:rsidRPr="00EE14D2" w:rsidRDefault="002C15AF" w:rsidP="002C15A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Wykorzystanie narzędzia informatycznego Smart Radar agregującego dane dot. Inteligentnych specjalizacji oraz współpraca z KE w zakresie narzędzia Innovation Radar</w:t>
            </w:r>
          </w:p>
          <w:p w14:paraId="1435CFA9" w14:textId="34EDA20E" w:rsidR="002C15AF" w:rsidRPr="00EE14D2" w:rsidRDefault="002C15AF" w:rsidP="002C15A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 xml:space="preserve">Prowadzenie monitoringu realizacji Strategii na rzecz Odpowiedzialnego Rozwoju (wskazujący na stopień osiągania celów S3 jakim jest wzrost innowacyjności). Działalność Grup Roboczych ds. KIS, wywiady z przedsiębiorcami, spotkania grup focusowych tzw. Smart Panel i Smart Labs, ewaluacja projektu Monitoring KIS, ewaluacje i analizy tematyczne wykonywane przez PARP oraz Ministra wł. ds. gospodarki w ramach projektu Monitoring KIS  </w:t>
            </w:r>
          </w:p>
          <w:p w14:paraId="7D26E3C6"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Poziom regionalny:</w:t>
            </w:r>
          </w:p>
          <w:p w14:paraId="0F3821FE" w14:textId="77777777" w:rsidR="002C15AF" w:rsidRPr="00EE14D2" w:rsidRDefault="002C15AF" w:rsidP="002C15AF">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Monitorowanie wdrażania strategii innowacji </w:t>
            </w:r>
          </w:p>
          <w:p w14:paraId="777CBB47" w14:textId="77777777" w:rsidR="002C15AF" w:rsidRPr="00EE14D2" w:rsidRDefault="002C15AF" w:rsidP="002C15AF">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i inteligentnych specjalizacji jest kluczowym elementem polityki innowacyjności w regionie. W latach 2011-2020 prowadzono stały monitoring w oparciu o dane pochodzące </w:t>
            </w:r>
          </w:p>
          <w:p w14:paraId="072980DE" w14:textId="77777777" w:rsidR="002C15AF" w:rsidRPr="00EE14D2" w:rsidRDefault="002C15AF" w:rsidP="002C15AF">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z realizacji Regionalnego Programu Operacyjnego, statystyki publicznej, </w:t>
            </w:r>
            <w:r w:rsidRPr="00EE14D2">
              <w:rPr>
                <w:rFonts w:ascii="Times New Roman" w:eastAsia="Times New Roman" w:hAnsi="Times New Roman" w:cs="Times New Roman"/>
                <w:noProof/>
                <w:sz w:val="20"/>
                <w:szCs w:val="20"/>
              </w:rPr>
              <w:lastRenderedPageBreak/>
              <w:t xml:space="preserve">bezpośrednio uzyskane od podmiotów dolnośląskiego systemu innowacji zebranych za pomocą ankiet i wywiadów pogłębionych oraz uzyskanych podczas spotkań grup roboczych. Utworzono również bazę projektów wraz </w:t>
            </w:r>
          </w:p>
          <w:p w14:paraId="5E4171AE" w14:textId="77777777" w:rsidR="002C15AF" w:rsidRPr="00EE14D2" w:rsidRDefault="002C15AF" w:rsidP="002C15AF">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z przyporządkowaniem do danej regionalnej inteligentnej specjalizacji, dofinansowanych w ramach priorytetów RPO skierowanych do przedsiębiorstw związanych z rozwojem innowacyjności. W ramach przygotowań do aktualizacji strategii innowacji oraz weryfikacji i aktualizacji katalogu Inteligentnych Specjalizacji przeprowadzono sześć pogłębionych badań diagnozy i trendów rozwojowych każdej </w:t>
            </w:r>
          </w:p>
          <w:p w14:paraId="0FB3006C" w14:textId="77777777" w:rsidR="002C15AF" w:rsidRPr="00EE14D2" w:rsidRDefault="002C15AF" w:rsidP="002C15AF">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z Inteligentnych Specjalizacji (szczegółowy opis badań </w:t>
            </w:r>
          </w:p>
          <w:p w14:paraId="6123EB66" w14:textId="77777777" w:rsidR="002C15AF" w:rsidRPr="00EE14D2" w:rsidRDefault="002C15AF" w:rsidP="002C15AF">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w kryterium nr 1), nawiązano współpracę z Głównym Urzędem Statystycznym we Wrocławiu, który przeprowadził dla nas monitoring wskaźników w roku 2017 oraz monitoring kontekstowy Inteligentnych Specjalizacji Dolnego Śląska. </w:t>
            </w:r>
          </w:p>
          <w:p w14:paraId="3A0AA2CA" w14:textId="77777777" w:rsidR="002C15AF" w:rsidRPr="00EE14D2" w:rsidRDefault="002C15AF" w:rsidP="002C15AF">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W ramach podsumowania całego okresu wdrażania strategii innowacji w latach 2011-2020 w celu uzyskania wniosków </w:t>
            </w:r>
          </w:p>
          <w:p w14:paraId="4513E717" w14:textId="77777777" w:rsidR="002C15AF" w:rsidRPr="00EE14D2" w:rsidRDefault="002C15AF" w:rsidP="002C15AF">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lastRenderedPageBreak/>
              <w:t xml:space="preserve">i rekomendacji dla procesu aktualizacji, zlecono przeprowadzenie Ewaluacji Regionalnej Strategii Innowacji dla Województwa Dolnośląskiego na lata 2011-2020. Ponadto </w:t>
            </w:r>
          </w:p>
          <w:p w14:paraId="279530AD" w14:textId="77777777" w:rsidR="002C15AF" w:rsidRPr="00EE14D2" w:rsidRDefault="002C15AF" w:rsidP="002C15AF">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w 2021 r. wykonano badanie ewaluacyjne RPO WD 2014 – 2020. Opis badania znajduje się w Raporcie załączonym do Tabeli. Wnioski z tych działań stanowiły punkt odniesienia do aktualizacji dokumentu strategicznego w zakresie każdego </w:t>
            </w:r>
          </w:p>
          <w:p w14:paraId="21793617" w14:textId="77777777" w:rsidR="002C15AF" w:rsidRPr="00EE14D2" w:rsidRDefault="002C15AF" w:rsidP="002C15AF">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z elementów (diagnoza, cele, scenariusze rozwoju, monitoring i wdrażanie) oraz ogólnie aktualne rekomendacje dla prowadzenia Procesu Przedsiębiorczego Odkrywania do roku 2030. W latach 2022/2023 zrealizowane zostanie badanie dot. Weryfikacji systemu monitoringu i ewaluacji DSI 2030 - Będzie ono polegało na analizie zaproponowanego </w:t>
            </w:r>
          </w:p>
          <w:p w14:paraId="421CD0A5" w14:textId="77777777" w:rsidR="002C15AF" w:rsidRPr="00EE14D2" w:rsidRDefault="002C15AF" w:rsidP="002C15AF">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w Dolnośląskiej Strategii Innowacji 2030 (DSI 2030) systemu monitoringu, pod kątem: dostępności danych, sposobu ich pozyskiwania i metod przetwarzania. Dokonana zostanie weryfikacja przyjętego schematu oraz możliwości pozyskania danych i określenia poszczególnych wskaźników, </w:t>
            </w:r>
          </w:p>
          <w:p w14:paraId="667D1DEF" w14:textId="77777777" w:rsidR="002C15AF" w:rsidRPr="00EE14D2" w:rsidRDefault="002C15AF" w:rsidP="002C15AF">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w szczególności tych, które nawiązują bezpośrednio do realizacji Funduszy </w:t>
            </w:r>
            <w:r w:rsidRPr="00EE14D2">
              <w:rPr>
                <w:rFonts w:ascii="Times New Roman" w:eastAsia="Times New Roman" w:hAnsi="Times New Roman" w:cs="Times New Roman"/>
                <w:noProof/>
                <w:sz w:val="20"/>
                <w:szCs w:val="20"/>
              </w:rPr>
              <w:lastRenderedPageBreak/>
              <w:t xml:space="preserve">Europejskich dla Dolnego Śląska 2021-2027 (FEDS) i katalogu wskaźników go monitorujących, które na etapie opracowywania systemu monitoringu DSI 2030, nie były jeszcze znane, a wg przyjętego schematu monitoringu DSI 2030 część z nich będzie bezpośrednio zaczerpnięta </w:t>
            </w:r>
          </w:p>
          <w:p w14:paraId="68F24B6A" w14:textId="77777777" w:rsidR="002C15AF" w:rsidRPr="00EE14D2" w:rsidRDefault="002C15AF" w:rsidP="002C15AF">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z monitoringu FEDS. </w:t>
            </w:r>
          </w:p>
          <w:p w14:paraId="3244096F" w14:textId="77777777" w:rsidR="002C15AF" w:rsidRPr="00EE14D2" w:rsidRDefault="002C15AF" w:rsidP="002C15AF">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W zaktualizowanym dokumencie strategicznym DSI2030, na bazie dotychczasowych doświadczeń dokonano weryfikacji systemu monitoringu i wprowadzono do niego korekty. Szczegółowy opis całego systemu znajduje się w Raporcie załączonym Tabeli. System ten, prowadzony będzie na trzech poziomach: mikro – tj. projektów i inicjatyw podejmowanych w ramach realizacji strategii; mezo (wskaźniki operacyjne) – </w:t>
            </w:r>
          </w:p>
          <w:p w14:paraId="772ABEB0" w14:textId="77777777" w:rsidR="002C15AF" w:rsidRPr="00EE14D2" w:rsidRDefault="002C15AF" w:rsidP="002C15AF">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tj. strategii wg praktycznego układu celów operacyjnych </w:t>
            </w:r>
          </w:p>
          <w:p w14:paraId="3DE25E33" w14:textId="77777777" w:rsidR="002C15AF" w:rsidRPr="00EE14D2" w:rsidRDefault="002C15AF" w:rsidP="002C15AF">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i powiązanych z nimi działań i przedsięwzięć strategicznych oraz Makro (wskaźniki strategiczne) – tj. danymi dotyczącymi regionu, na które DSI 2030 planuje oddziaływać (wskaźniki strategiczne) oraz takie, które pozwoliły na decyzje dotyczące kierunków interwencji DSI 2030 oraz </w:t>
            </w:r>
            <w:r w:rsidRPr="00EE14D2">
              <w:rPr>
                <w:rFonts w:ascii="Times New Roman" w:eastAsia="Times New Roman" w:hAnsi="Times New Roman" w:cs="Times New Roman"/>
                <w:noProof/>
                <w:sz w:val="20"/>
                <w:szCs w:val="20"/>
              </w:rPr>
              <w:lastRenderedPageBreak/>
              <w:t xml:space="preserve">kontekstowe, ważne dla korekty założeń czy obszaru interwencji w przyszłości. Istotnym jest, iż Informacje zebrane w czasie wdrażania będą pomocne w ewaluacji strategii, dlatego zaplanowano je wzdłuż logiki interwencji w czterech stopniach: wskaźników nakładu, produktu i rezultatu. Zaplanowano także badanie wskaźników kontekstowych na wszystkich powyższych poziomach, </w:t>
            </w:r>
          </w:p>
          <w:p w14:paraId="30449289" w14:textId="77777777" w:rsidR="002C15AF" w:rsidRPr="00EE14D2" w:rsidRDefault="002C15AF" w:rsidP="002C15AF">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tj. wskaźniki makroekonomiczne oraz statystyki w obszarze nauki, techniki, innowacji, w tym w zakresie obszarów inteligentnych specjalizacji. Będą służyć zrozumieniu kontekstu w którym odbywa się polityka i są one podstawą do podejmowania decyzji strategicznych. Monitoring inteligentnych specjalizacji jest sprzężony </w:t>
            </w:r>
          </w:p>
          <w:p w14:paraId="51B65A99" w14:textId="77777777" w:rsidR="002C15AF" w:rsidRPr="00EE14D2" w:rsidRDefault="002C15AF" w:rsidP="002C15AF">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z prowadzeniem procesu PPO. W systemie wskaźników zakłada się użycie uniwersalnych wskaźników dla specjalizacji </w:t>
            </w:r>
          </w:p>
          <w:p w14:paraId="7D257706" w14:textId="5BBE8EB3" w:rsidR="002C15AF" w:rsidRPr="00EE14D2" w:rsidRDefault="002C15AF" w:rsidP="002C15AF">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i celów horyzontalnych. Wskaźniki dla odpowiednich celów operacyjnych powiązanych z Inteligentnymi Specjalizacjami, tam gdzie to możliwe będą dezagregowane na poziom specjalizacji, a także obszarów i podobszarów. W zakresie organizacji system ewaluacji i monitoringu opiera </w:t>
            </w:r>
            <w:r w:rsidRPr="00EE14D2">
              <w:rPr>
                <w:rFonts w:ascii="Times New Roman" w:eastAsia="Times New Roman" w:hAnsi="Times New Roman" w:cs="Times New Roman"/>
                <w:noProof/>
                <w:sz w:val="20"/>
                <w:szCs w:val="20"/>
              </w:rPr>
              <w:lastRenderedPageBreak/>
              <w:t>się na przygotowywaniu raportów z monitoringu co 2 lata na podstawie dostępnych danych i bieżących wniosków pojawiających się podczas prowadzenia procesu PPO oraz na ewaluacji w cyklu co 5 lat, pozwalającym na wprowadzenie ewentualnych zmian w instrumentarium i systemie wdrażania. W szczegółach system monitoringu i ewaluacji został opisany w Raporcie stanowiącym załącznik do Tabeli.</w:t>
            </w:r>
          </w:p>
          <w:p w14:paraId="6EE9CCC3"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r>
      <w:tr w:rsidR="00644235" w:rsidRPr="00EE14D2" w14:paraId="08C0D912" w14:textId="77777777" w:rsidTr="00644235">
        <w:trPr>
          <w:jc w:val="center"/>
        </w:trPr>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4D55A4"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DB3EC1"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036B93"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42AABD"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9CE150"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4. funkcjonowanie współpracy z zainteresowanymi stronami („proces przedsiębiorczego odkrywania”);</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7C8CF0"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37829E" w14:textId="5733EE00" w:rsidR="00644235" w:rsidRPr="00EE14D2" w:rsidRDefault="00644235" w:rsidP="00644235">
            <w:pPr>
              <w:spacing w:before="100" w:after="0" w:line="240" w:lineRule="auto"/>
              <w:rPr>
                <w:rFonts w:ascii="Times New Roman" w:eastAsia="Times New Roman" w:hAnsi="Times New Roman" w:cs="Times New Roman"/>
                <w:noProof/>
                <w:color w:val="FF0000"/>
                <w:sz w:val="20"/>
                <w:szCs w:val="20"/>
              </w:rPr>
            </w:pPr>
            <w:r w:rsidRPr="00EE14D2">
              <w:rPr>
                <w:rFonts w:ascii="Times New Roman" w:eastAsia="Times New Roman" w:hAnsi="Times New Roman" w:cs="Times New Roman"/>
                <w:noProof/>
                <w:color w:val="000000"/>
                <w:sz w:val="20"/>
                <w:szCs w:val="20"/>
              </w:rPr>
              <w:t xml:space="preserve">Poziom krajowy: </w:t>
            </w:r>
          </w:p>
          <w:p w14:paraId="32BCF415" w14:textId="77777777" w:rsidR="00594B77" w:rsidRPr="00EE14D2" w:rsidRDefault="00594B77" w:rsidP="00594B77">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Spełnieniem warunku są mechanizmy wskazane w Strategii na rzecz Odpowiedzialnego Rozwoju w celu dot. trwałego wzrostu gospodarczego opartego coraz silniej o wiedzę, dane i doskonałość organizacyjną, a także w projekcie Strategii Produktywności 2030 oraz Krajowej Inteligentnej Specjalizacji (KIS) i Regionalnych Inteligentnych Specjalizacjach (RIS) z uwzględnieniem procesu przedsiębiorczego odkrywania jako kluczowego elementu koncepcji inteligentnej specjalizacji. Minister wł. ds. gospodarki odpowiada za: opracowanie koncepcji, wdrażanie, proces przedsiębiorczego odkrywania, monitorowanie, ewaluację oraz koordynację i monitorowanie KIS i RIS. </w:t>
            </w:r>
            <w:r w:rsidRPr="00EE14D2">
              <w:rPr>
                <w:rFonts w:ascii="Times New Roman" w:eastAsia="Times New Roman" w:hAnsi="Times New Roman" w:cs="Times New Roman"/>
                <w:noProof/>
                <w:sz w:val="20"/>
                <w:szCs w:val="20"/>
              </w:rPr>
              <w:lastRenderedPageBreak/>
              <w:t>Jako element ciągłego procesu przedsiębiorczego odkrywania oraz monitorowania inteligentnych specjalizacji prowadzone są prace związane z aktualizacją dokumentu kierunkowego KIS, kontynuowane są prace związane z rozbudową i zasilaniem danymi narzędzia interaktywnego do monitorowania krajowych i regionalnych inteligentnych specjalizacji oraz dedykowanej strony internetowej smart.gov.pl, a także  przeprowadzane są analizy m.in. dot. zasobów i potencjału technologicznego w jednostkach naukowych , identyfikacji trendów rozwojowych w obszarze technologii, wypracowania metodologii przełożenia klasyfikacji kodów PKD na KIS oraz opracowania metodologii w zakresie map drogowych w obszarach KIS.</w:t>
            </w:r>
          </w:p>
          <w:p w14:paraId="15ECA99D" w14:textId="77777777" w:rsidR="00594B77" w:rsidRPr="00EE14D2" w:rsidRDefault="00594B77" w:rsidP="00594B77">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Za najważniejsze transformacje które musi skutecznie przejść polska gospodarka uznano: budowę gospodarki o obiegu zamkniętym, rozwój przemysłu 4.0, cyfryzację przedsiębiorstw i gospodarkę neutralną klimatycznie. </w:t>
            </w:r>
          </w:p>
          <w:p w14:paraId="3333B9A9" w14:textId="77777777" w:rsidR="00594B77" w:rsidRPr="00EE14D2" w:rsidRDefault="00594B77" w:rsidP="00594B77">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W każdym z ww. obszarów podejmowanych jest szereg działań opisanych odpowiednio m.in. w  SOR, Mapie GOZ, Polityce Przemysłowej Polski, ustawie o Fundacji Platforma Przemysłu Przyszłości, programach Mój </w:t>
            </w:r>
            <w:r w:rsidRPr="00EE14D2">
              <w:rPr>
                <w:rFonts w:ascii="Times New Roman" w:eastAsia="Times New Roman" w:hAnsi="Times New Roman" w:cs="Times New Roman"/>
                <w:noProof/>
                <w:sz w:val="20"/>
                <w:szCs w:val="20"/>
              </w:rPr>
              <w:lastRenderedPageBreak/>
              <w:t>Prąd i Czyste Powietrze, koncepcji procesu standaryzacji Hubów Innowacji Cyfrowych, Polityce SI, Polityce Danych, koncepcji Szkoły Głównej Kompetencji Cyfrowych oraz Strategii Transformacji do Gospodarki Neutralnej Klimatycznie.</w:t>
            </w:r>
          </w:p>
          <w:p w14:paraId="168AEFA4" w14:textId="00C5F337" w:rsidR="00594B77" w:rsidRPr="00EE14D2" w:rsidRDefault="00594B77" w:rsidP="00594B77">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Ponadto w celu spełnienia warunku promowana jest współpraca międzyregionalna i ponadnarodowa w obszarach inteligentnych specjalizacji (np. Partnerstwa S3 przy KE, Interreg, EIT, Horyzont 2020, Innovoucher, TravelGrants, projekty Grupy Wyszehradzkiej, TeamNet, bilateralne projekty akceleracyjne), a także internacjonalizacja polskich firm np.: Umiędzynarodowienie Krajowych Klastrów Kluczowych, Brand, Go to Brand, Poland Prize, Polskie Mosty Technologiczne, Granty na Eurogranty.</w:t>
            </w:r>
          </w:p>
          <w:p w14:paraId="638ED9A8" w14:textId="77777777" w:rsidR="00594B77" w:rsidRPr="00EE14D2" w:rsidRDefault="00594B77" w:rsidP="00594B77">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Dokument Krajowa Inteligentna Specjalizacja-  Ministerstwo Rozwoju i Technologii</w:t>
            </w:r>
          </w:p>
          <w:p w14:paraId="7A40E2E9" w14:textId="77777777" w:rsidR="00594B77" w:rsidRPr="00EE14D2" w:rsidRDefault="00594B77" w:rsidP="00594B77">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https://smart.gov.pl</w:t>
            </w:r>
          </w:p>
          <w:p w14:paraId="264DFF87" w14:textId="77777777" w:rsidR="00594B77" w:rsidRPr="00EE14D2" w:rsidRDefault="00594B77" w:rsidP="00594B77">
            <w:pPr>
              <w:spacing w:before="100" w:after="0" w:line="240" w:lineRule="auto"/>
              <w:rPr>
                <w:rFonts w:ascii="Times New Roman" w:eastAsia="Times New Roman" w:hAnsi="Times New Roman" w:cs="Times New Roman"/>
                <w:noProof/>
                <w:sz w:val="20"/>
                <w:szCs w:val="20"/>
              </w:rPr>
            </w:pPr>
          </w:p>
          <w:p w14:paraId="1950B3B0" w14:textId="77777777" w:rsidR="00594B77" w:rsidRPr="00EE14D2" w:rsidRDefault="00594B77" w:rsidP="00594B77">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Regulamin naboru i prac Grup Roboczych ds. krajowej inteligentnej specjalizacji z dnia 14 lutego 2020 r. - Ministerstwo Rozwoju i Technologii</w:t>
            </w:r>
          </w:p>
          <w:p w14:paraId="480A3204" w14:textId="77777777" w:rsidR="00594B77" w:rsidRPr="00EE14D2" w:rsidRDefault="00594B77" w:rsidP="00594B77">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https://smart.gov.pl</w:t>
            </w:r>
          </w:p>
          <w:p w14:paraId="4A2D9D71" w14:textId="77777777" w:rsidR="00594B77" w:rsidRPr="00EE14D2" w:rsidRDefault="00594B77" w:rsidP="00594B77">
            <w:pPr>
              <w:spacing w:before="100" w:after="0" w:line="240" w:lineRule="auto"/>
              <w:rPr>
                <w:rFonts w:ascii="Times New Roman" w:eastAsia="Times New Roman" w:hAnsi="Times New Roman" w:cs="Times New Roman"/>
                <w:noProof/>
                <w:sz w:val="20"/>
                <w:szCs w:val="20"/>
              </w:rPr>
            </w:pPr>
          </w:p>
          <w:p w14:paraId="52FDD7A9" w14:textId="77777777" w:rsidR="00594B77" w:rsidRPr="00EE14D2" w:rsidRDefault="00594B77" w:rsidP="00594B77">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Business Technology Roadmaps -  Polska Agencja Rozwoju Przedsiębiorczości </w:t>
            </w:r>
          </w:p>
          <w:p w14:paraId="6F473F8A" w14:textId="77777777" w:rsidR="00594B77" w:rsidRPr="00EE14D2" w:rsidRDefault="00594B77" w:rsidP="00594B77">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 https://smart.gov.pl</w:t>
            </w:r>
          </w:p>
          <w:p w14:paraId="1B5D8679" w14:textId="77777777" w:rsidR="00594B77" w:rsidRPr="00EE14D2" w:rsidRDefault="00594B77" w:rsidP="00594B77">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Konkursy w ramach poddziałania 1.1.1. Szybka Ścieżka dla BTR -  Narodowe Centrum Badań i Rozwoju</w:t>
            </w:r>
          </w:p>
          <w:p w14:paraId="45103B74" w14:textId="6DFC94D0" w:rsidR="00594B77" w:rsidRPr="00EE14D2" w:rsidRDefault="00594B77" w:rsidP="00594B77">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https://archiwum.ncbr.gov.pl/programy/fundusze-europejskie/poir/nabory-zakonczone/</w:t>
            </w:r>
          </w:p>
          <w:p w14:paraId="1E9AC06A"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Poziom regionalny:</w:t>
            </w:r>
          </w:p>
          <w:p w14:paraId="702ED133" w14:textId="77777777" w:rsidR="005200CC" w:rsidRPr="00EE14D2" w:rsidRDefault="005200CC" w:rsidP="005200CC">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*Dolnośląska Strategia Innowacji 2030 (dokument przyjęty przez Zarząd Województwa Dolnośląskiego 5 stycznia 2021 r. uchwałą nr 3270/VI/21). Rozdział 15. System wdrażania i ramy finansowe (https://umwd.dolnyslask.pl/gospodarka/dolnoslaska-strategia-innowacji-2030/  );</w:t>
            </w:r>
          </w:p>
          <w:p w14:paraId="4F1C8045" w14:textId="77777777" w:rsidR="005200CC" w:rsidRPr="00EE14D2" w:rsidRDefault="005200CC" w:rsidP="005200CC">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*Zatwierdzony Wniosek o dofinansowanie projektu „Rozwój inteligentnych specjalizacji Dolnego Śląska poprzez skoordynowane działania animacyjne w zakresie procesu przedsiębiorczego odkrywania”; </w:t>
            </w:r>
          </w:p>
          <w:p w14:paraId="1371C2E4" w14:textId="77777777" w:rsidR="005200CC" w:rsidRPr="00EE14D2" w:rsidRDefault="005200CC" w:rsidP="005200CC">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 Uchwała nr 3798/VI/21 Zarządu Województwa Dolnośląskiego z dnia 1 czerwca 2021 r. w sprawie powołania </w:t>
            </w:r>
            <w:r w:rsidRPr="00EE14D2">
              <w:rPr>
                <w:rFonts w:ascii="Times New Roman" w:eastAsia="Times New Roman" w:hAnsi="Times New Roman" w:cs="Times New Roman"/>
                <w:noProof/>
                <w:sz w:val="20"/>
                <w:szCs w:val="20"/>
              </w:rPr>
              <w:lastRenderedPageBreak/>
              <w:t xml:space="preserve">Grupy Roboczej ds. Inteligentnych Specjalizacji; </w:t>
            </w:r>
          </w:p>
          <w:p w14:paraId="0E4E66EB" w14:textId="77777777" w:rsidR="005200CC" w:rsidRPr="00EE14D2" w:rsidRDefault="005200CC" w:rsidP="005200CC">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 Uchwała nr 4715/VI/21 Zarządu Województwa Dolnośląskiego z dnia 21 grudnia 2021 r. w sprawie określenia składu Grupy Roboczej ds. Inteligentnych Specjalizacji (https://umwd.dolnyslask.pl/gospodarka/dolnoslaskie-inteligentne-specjalizacje/grupa-robocza-ds-inteligentnych-specjalizacji/  ); </w:t>
            </w:r>
          </w:p>
          <w:p w14:paraId="3E7CC1F9" w14:textId="70CF00C9" w:rsidR="00644235" w:rsidRPr="00EE14D2" w:rsidRDefault="005200CC" w:rsidP="005200CC">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*Uchwała nr4314/VI/21 Zarządu Województwa Dolnośląskiego z dnia 21września 2021 r. w sprawie powołania Grupy Ekspertów ds. Dolnośląskiej Strategii Innowacji 2030 (https://umwd.dolnyslask.pl/gospodarka/dolnoslaska-strategia-innowacji-2030/grupa-ekspertow-ds-dolnoslaskiej-strategii-innowacji-2030/artykul/grupa-ekspertow-ds-dolnoslaskiej-strategii-innowacji-2030/)</w:t>
            </w:r>
          </w:p>
          <w:p w14:paraId="532A378F"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Ze względu na ograniczoną liczbę znaków dokument z pełnymi informacjami w Aneksie do Programu</w:t>
            </w:r>
          </w:p>
          <w:p w14:paraId="15A25B71"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9AC682" w14:textId="5F37CDE6" w:rsidR="00644235" w:rsidRPr="00EE14D2" w:rsidRDefault="00644235" w:rsidP="00644235">
            <w:pPr>
              <w:spacing w:before="100" w:after="0" w:line="240" w:lineRule="auto"/>
              <w:rPr>
                <w:rFonts w:ascii="Times New Roman" w:eastAsia="Times New Roman" w:hAnsi="Times New Roman" w:cs="Times New Roman"/>
                <w:noProof/>
                <w:color w:val="FF0000"/>
                <w:sz w:val="20"/>
                <w:szCs w:val="20"/>
              </w:rPr>
            </w:pPr>
            <w:r w:rsidRPr="00EE14D2">
              <w:rPr>
                <w:rFonts w:ascii="Times New Roman" w:eastAsia="Times New Roman" w:hAnsi="Times New Roman" w:cs="Times New Roman"/>
                <w:noProof/>
                <w:color w:val="000000"/>
                <w:sz w:val="20"/>
                <w:szCs w:val="20"/>
              </w:rPr>
              <w:lastRenderedPageBreak/>
              <w:t xml:space="preserve">Poziom krajowy: </w:t>
            </w:r>
          </w:p>
          <w:p w14:paraId="2A586BD5" w14:textId="4F07E24B" w:rsidR="00560967" w:rsidRPr="00EE14D2" w:rsidRDefault="00560967" w:rsidP="00560967">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Kryterium spełnione poprzez:</w:t>
            </w:r>
          </w:p>
          <w:p w14:paraId="1D2DA0A0" w14:textId="77777777" w:rsidR="00560967" w:rsidRPr="00EE14D2" w:rsidRDefault="00560967" w:rsidP="00560967">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w:t>
            </w:r>
            <w:r w:rsidRPr="00EE14D2">
              <w:rPr>
                <w:rFonts w:ascii="Times New Roman" w:eastAsia="Times New Roman" w:hAnsi="Times New Roman" w:cs="Times New Roman"/>
                <w:noProof/>
                <w:sz w:val="20"/>
                <w:szCs w:val="20"/>
              </w:rPr>
              <w:tab/>
              <w:t>Zapewnienie ciągłości prac Grup Roboczych ds. KIS  z udziałem przedstawicieli przedsiębiorstw, jednostek naukowych, instytucji otoczenia biznesu, organizacji biznesu oraz organizacji pozarządowych, skutkująca zmianami na liście KIS będącymi efektem monitorowania np. łączeniem specjalizacji, zmianami ich opisu, analizą trendów, identyfikacją barier w realizacji inwestycji w określonych obszarach B+R, interpretowaniem wyników monitorowania</w:t>
            </w:r>
          </w:p>
          <w:p w14:paraId="7A77D038" w14:textId="77777777" w:rsidR="00560967" w:rsidRPr="00EE14D2" w:rsidRDefault="00560967" w:rsidP="00560967">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w:t>
            </w:r>
            <w:r w:rsidRPr="00EE14D2">
              <w:rPr>
                <w:rFonts w:ascii="Times New Roman" w:eastAsia="Times New Roman" w:hAnsi="Times New Roman" w:cs="Times New Roman"/>
                <w:noProof/>
                <w:sz w:val="20"/>
                <w:szCs w:val="20"/>
              </w:rPr>
              <w:tab/>
              <w:t xml:space="preserve">Funkcjonowanie Grupy Konsultacyjnej ds. KIS składającej się z </w:t>
            </w:r>
            <w:r w:rsidRPr="00EE14D2">
              <w:rPr>
                <w:rFonts w:ascii="Times New Roman" w:eastAsia="Times New Roman" w:hAnsi="Times New Roman" w:cs="Times New Roman"/>
                <w:noProof/>
                <w:sz w:val="20"/>
                <w:szCs w:val="20"/>
              </w:rPr>
              <w:lastRenderedPageBreak/>
              <w:t>przedstawicieli administracji centralnej i samorządowej, zajmujących się inteligentnymi specjalizacjami na poziomie krajowym i regionalnym</w:t>
            </w:r>
          </w:p>
          <w:p w14:paraId="617BFA17" w14:textId="77777777" w:rsidR="00560967" w:rsidRPr="00EE14D2" w:rsidRDefault="00560967" w:rsidP="00560967">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w:t>
            </w:r>
            <w:r w:rsidRPr="00EE14D2">
              <w:rPr>
                <w:rFonts w:ascii="Times New Roman" w:eastAsia="Times New Roman" w:hAnsi="Times New Roman" w:cs="Times New Roman"/>
                <w:noProof/>
                <w:sz w:val="20"/>
                <w:szCs w:val="20"/>
              </w:rPr>
              <w:tab/>
              <w:t>Ciągła organizacja wywiadów z przedsiębiorcami i spotkań fokusowych (tzw. Smart Labs) z udziałem przedstawicieli przedsiębiorstw i jednostek naukowych, stanowiących element procesu przedsiębiorczego odkrywania (jak do tej pory 260 wywiadów w 21 obszarach tematycznych, 43 Smart Laby oraz 11 Business Technology Roadmaps)</w:t>
            </w:r>
          </w:p>
          <w:p w14:paraId="49FEC6F7" w14:textId="6C362709" w:rsidR="00560967" w:rsidRPr="00EE14D2" w:rsidRDefault="00560967" w:rsidP="00560967">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w:t>
            </w:r>
            <w:r w:rsidRPr="00EE14D2">
              <w:rPr>
                <w:rFonts w:ascii="Times New Roman" w:eastAsia="Times New Roman" w:hAnsi="Times New Roman" w:cs="Times New Roman"/>
                <w:noProof/>
                <w:sz w:val="20"/>
                <w:szCs w:val="20"/>
              </w:rPr>
              <w:tab/>
              <w:t>Uruchomienie tematycznych konkursów w ramach działania 1.1.1 „Szybka Ścieżka” w PO IR dla wybranych Business Technology Roadmaps</w:t>
            </w:r>
          </w:p>
          <w:p w14:paraId="1CBE3582"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Poziom regionalny:</w:t>
            </w:r>
          </w:p>
          <w:p w14:paraId="1ECA3A9A" w14:textId="300D9678" w:rsidR="00644235" w:rsidRPr="00EE14D2" w:rsidRDefault="00644235" w:rsidP="00A30393">
            <w:pPr>
              <w:spacing w:before="100" w:after="0" w:line="240" w:lineRule="auto"/>
              <w:rPr>
                <w:rFonts w:ascii="Times New Roman" w:eastAsia="Times New Roman" w:hAnsi="Times New Roman" w:cs="Times New Roman"/>
                <w:noProof/>
                <w:color w:val="000000"/>
                <w:sz w:val="20"/>
                <w:szCs w:val="20"/>
              </w:rPr>
            </w:pPr>
          </w:p>
          <w:p w14:paraId="2505B6CE"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Kryterium 4. </w:t>
            </w:r>
          </w:p>
          <w:p w14:paraId="6742CECE"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Proces Przedsiębiorczego Odkrywania (PPO) prowadzony </w:t>
            </w:r>
          </w:p>
          <w:p w14:paraId="0904AA1A"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w województwie dolnośląskim od kilkunastu lat, formalnie został opisany i zaplanowany w roku 2015 na etapie opracowywania załącznika do RSI WD 2011-2020 dot. inteligentnych specjalizacji. Pewne elementy, które zawierają się w koncepcji PPO były już </w:t>
            </w:r>
            <w:r w:rsidRPr="00EE14D2">
              <w:rPr>
                <w:rFonts w:ascii="Times New Roman" w:eastAsia="Times New Roman" w:hAnsi="Times New Roman" w:cs="Times New Roman"/>
                <w:noProof/>
                <w:sz w:val="20"/>
                <w:szCs w:val="20"/>
              </w:rPr>
              <w:lastRenderedPageBreak/>
              <w:t xml:space="preserve">jednak obecne w dokumencie przyjętym w 2011 r. W ramach PPO realizowano do tej pory szereg działań opartych m.in. na pogłębionych badaniach gospodarki Dolnego Śląska ( m. in. z wykorzystaniem badań jakościowych pozyskiwanych w wywiadach z interesariuszami) , monitoringu procesów innowacyjnych, animowaniu współpracy interesariuszy Dolnośląskiego Systemu Innowacji (m.in. organizacja prac Grup Roboczych Inteligentnych Specjalizacji, spotkań, warsztatów i konferencji) </w:t>
            </w:r>
          </w:p>
          <w:p w14:paraId="12FE6530"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w szczególności tej na styku współpracy przedsiębiorstw działających w obszarach IS i jednostek naukowych. </w:t>
            </w:r>
          </w:p>
          <w:p w14:paraId="447CAFB0"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W regionie, w ramach obowiązywania poprzedniej RSI powołane zostały i funkcjonowały grupy robocze dla każdej </w:t>
            </w:r>
          </w:p>
          <w:p w14:paraId="7E6CD730"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z sześciu inteligentnych specjalizacji złożone z przedstawicieli firm, jednostek B+R, uczelni wyższych, IOB czyli podmiotów funkcjonujących w ramach danej branży/specjalizacji, jednak doświadczenie pokazało, iż utworzenie jednej wspólnej grupy roboczej dla wszystkich specjalizacji z założeniem tworzenia </w:t>
            </w:r>
          </w:p>
          <w:p w14:paraId="30884DFD"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w razie potrzeb branżowych zespołów w ramach tej Grupy będzie rozwiązaniem optymalnym i pozwoli na </w:t>
            </w:r>
            <w:r w:rsidRPr="00EE14D2">
              <w:rPr>
                <w:rFonts w:ascii="Times New Roman" w:eastAsia="Times New Roman" w:hAnsi="Times New Roman" w:cs="Times New Roman"/>
                <w:noProof/>
                <w:sz w:val="20"/>
                <w:szCs w:val="20"/>
              </w:rPr>
              <w:lastRenderedPageBreak/>
              <w:t xml:space="preserve">efektywniejszą pracę zaangażowanych podmiotów. </w:t>
            </w:r>
          </w:p>
          <w:p w14:paraId="7824BEFE"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W ramach procesu PPO zrealizowano szereg działań, </w:t>
            </w:r>
          </w:p>
          <w:p w14:paraId="34C01F8B"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w których zaangażowane były podmioty Dolnośląskiego Systemu Innowacji.</w:t>
            </w:r>
          </w:p>
          <w:p w14:paraId="4986E858"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 Jednym z takich działań, było przedsięwzięcie „Catching-up regions – uczelnie wobec wyzwań biznesu”, które wychodzi naprzeciw zwiększeniu innowacyjności przedsiębiorstw </w:t>
            </w:r>
          </w:p>
          <w:p w14:paraId="578C516F"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w obszarach pozametropolitalnych regionu poprzez uświadamianie możliwości rozwoju dzięki współpracy </w:t>
            </w:r>
          </w:p>
          <w:p w14:paraId="3D1CE485"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z jednostkami naukowymi. Koncepcja tego przedsięwzięcia została opracowana we współpracy z ekspertami Banku Światowego, a do współpracy zostały zaproszone samorządy, uczelnie i lokalne IOB oraz stowarzyszenie pracodawców. Szerszy opis tego przedsięwzięcia został zamieszczony </w:t>
            </w:r>
          </w:p>
          <w:p w14:paraId="187789F3"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w Raporcie. </w:t>
            </w:r>
          </w:p>
          <w:p w14:paraId="3CF3FBA1"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W ramach Procesu Przedsiębiorczego Odkrywania realizowany był również przez UMWD w latach 2018 – 2019 projekt tzw. Wspólnego Przedsięwzięcia samorządu województwa i NCBiR.</w:t>
            </w:r>
          </w:p>
          <w:p w14:paraId="77092CD9"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lastRenderedPageBreak/>
              <w:t xml:space="preserve">Celem przedsięwzięcia było ukierunkowanie aktywności konsorcjów naukowo - przemysłowych na realizację prac B+R nad rozwiązaniami technologicznymi istotnymi dla dolnośląskich przedsiębiorców.  Rolą UMWD było ustalenie przedmiotu Wspólnego Przedsięwzięcia i określenie, we współpracy z przedstawicielami dolnośląskiej nauki </w:t>
            </w:r>
          </w:p>
          <w:p w14:paraId="360A671C"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i przedsiębiorców, zagadnień badawczych wraz z ich opisem. Proces ten prowadzony był poprzez zbieranie propozycji zagadnień projektowych oraz spotkania i dyskusje w gronie przedsiębiorstw oraz przedstawicieli jednostek naukowych </w:t>
            </w:r>
          </w:p>
          <w:p w14:paraId="482274C3"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a animatorem tych rozmów był Wydział Rozwoju Gospodarczego UMWD. Podczas kilkumiesięcznego procesu, który obejmował m. in. spotkanie inicjujące z udziałem ponad 70 przedstawicieli biznesu, uczelni i jednostek B+R oraz zebranie ok. 80 fiszek projektowych od interesariuszy zidentyfikowano w regionie obszar badawczy o wysokim potencjale B+R, który nazwano „Dolnośląska Strefa Technologii Biomedycznych”. </w:t>
            </w:r>
          </w:p>
          <w:p w14:paraId="6CE643A4"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Po ponad 4 latach realizacji i monitoringu PPO, na podstawie wniosków z rozmów i dyskusji w gronie </w:t>
            </w:r>
            <w:r w:rsidRPr="00EE14D2">
              <w:rPr>
                <w:rFonts w:ascii="Times New Roman" w:eastAsia="Times New Roman" w:hAnsi="Times New Roman" w:cs="Times New Roman"/>
                <w:noProof/>
                <w:sz w:val="20"/>
                <w:szCs w:val="20"/>
              </w:rPr>
              <w:lastRenderedPageBreak/>
              <w:t xml:space="preserve">ekspertów i członków grup roboczych, dokonano ewaluacji, weryfikacji i ostatecznie modyfikacji prowadzenia systemu PPO w celu zwiększenia jego efektywności, dostosowania do aktualnych potrzeb </w:t>
            </w:r>
          </w:p>
          <w:p w14:paraId="58BDCC82"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i warunków. Udoskonalony Proces PPO wraz jego monitoringiem został opisany w zaktualizowanej Dolnośląskiej Strategii Innowacji 2030 (DSI 2030). Realizacja procesu PPO stanowi jeden z celów operacyjnych DSI 2030, wraz </w:t>
            </w:r>
          </w:p>
          <w:p w14:paraId="045B80A8"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z zaplanowanymi do niego trzema działaniami, w ramach których planowana jest realizacja projektów finansowanych zarówno ze środków budżetu województwa dolnośląskiego jak i programu regionalnego. Ponadto, realizację procesu PPO ustanowiono jako jedno z czterech Przedsięwzięć strategicznych DSI 2030, czyli będzie to priorytetowe zadanie wnoszące kluczowy wkład w realizację celów strategii. </w:t>
            </w:r>
          </w:p>
          <w:p w14:paraId="45634FF3"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Na poziomie operacyjnym za koordynację całego procesu PPO w regionie odpowiada Departament Gospodarki – Wydział Rozwoju Gospodarczego UMWD, natomiast za realizację zadań z poziomu strategicznego odpowiada Zarząd Województwa Dolnośląskiego. W celu </w:t>
            </w:r>
            <w:r w:rsidRPr="00EE14D2">
              <w:rPr>
                <w:rFonts w:ascii="Times New Roman" w:eastAsia="Times New Roman" w:hAnsi="Times New Roman" w:cs="Times New Roman"/>
                <w:noProof/>
                <w:sz w:val="20"/>
                <w:szCs w:val="20"/>
              </w:rPr>
              <w:lastRenderedPageBreak/>
              <w:t xml:space="preserve">wsparcia procesu PPO na poziomie strategicznym Samorząd Województwa powołał Grupę Ekspertów ds. DSI 2030 (składającą się z przedstawicieli wszystkich grup interesariuszy systemu innowacji). Szczegóły dotyczące funkcjonowania Grupy znajdują się w Raporcie dołączonym do Tabeli oraz opisie kryterium nr 1 i nr 2. </w:t>
            </w:r>
          </w:p>
          <w:p w14:paraId="0DFEE97C"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1 czerwca 2021 r. Zarząd Województwa powołał Grupę Roboczą ds. Inteligentnych Specjalizacji, której ostateczny skład został określony w wyniku otwartego naboru ekspertów. Ciało to, tworzy ponad 60 ekspertów – przedstawicieli dolnośląskich przedsiębiorstw, jednostek naukowych i B+R </w:t>
            </w:r>
          </w:p>
          <w:p w14:paraId="074FE31D"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i instytucji otoczenia biznesu. Grupa ta stanowi nieodłączny element komunikacji samorządu województwa </w:t>
            </w:r>
          </w:p>
          <w:p w14:paraId="1EC87155"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z interesariuszami DSI w ramach procesu przedsiębiorczego odkrywania. Jej zadania i opis funkcjonowania zostały zawarte w Raporcie dołączonym do Tabeli  oraz Kryterium nr 1 i nr 2. </w:t>
            </w:r>
          </w:p>
          <w:p w14:paraId="0AB07A49"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W październiku 2021 r. Wydział Rozwoju Gospodarczego odpowiedzialny w systemie wdrażania DSI za koordynowanie tego procesu na poziomie operacyjnym rozpoczął realizację projektu pozakonkursowego </w:t>
            </w:r>
            <w:r w:rsidRPr="00EE14D2">
              <w:rPr>
                <w:rFonts w:ascii="Times New Roman" w:eastAsia="Times New Roman" w:hAnsi="Times New Roman" w:cs="Times New Roman"/>
                <w:noProof/>
                <w:sz w:val="20"/>
                <w:szCs w:val="20"/>
              </w:rPr>
              <w:lastRenderedPageBreak/>
              <w:t xml:space="preserve">w ramach RPO WD 2014-2020 pn. „Rozwój inteligentnych specjalizacji Dolnego Śląska poprzez skoordynowane działania animacyjne w zakresie procesu przedsiębiorczego odkrywania”, którego realizacja będzie trwała do połowy 2023 r. Kontynuacja działań zaplanowanych w projekcie jest planowana w kolejnych latach trwania nowego okresu programowania. Realizowane </w:t>
            </w:r>
          </w:p>
          <w:p w14:paraId="2F500309"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w ramach projektu działania przyczynią się do zwiększenia efektywności współpracy podmiotów dolnośląskiego systemu innowacji. Projekt ten ma na celu rozbudowę dotychczas istniejącej oferty samorządu województwa w ramach wsparcia współpracy w obszarze tzw. poczwórnej helisy, zintensyfikowania i skupienia działań w ramach zidentyfikowanych inteligentnych specjalizacji, ze szczególnym uwzględnieniem współpracy międzynarodowej przede wszystkim transgranicznej. Jego celem jest wypracowanie </w:t>
            </w:r>
          </w:p>
          <w:p w14:paraId="2B9132CF"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i wdrożenie nowych, innowacyjnych instrumentów wsparcia współpracy pomiędzy uczelniami/jednostkami naukowymi, społeczeństwem obywatelskim, przedsiębiorcami </w:t>
            </w:r>
          </w:p>
          <w:p w14:paraId="7C56EE10"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i samorządem terytorialnym.</w:t>
            </w:r>
          </w:p>
          <w:p w14:paraId="2DF7C4DD"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lastRenderedPageBreak/>
              <w:t xml:space="preserve">Tematyka dotyczy inicjowania, koordynacji, monitorowania </w:t>
            </w:r>
          </w:p>
          <w:p w14:paraId="15481F3D"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i ewaluacji działań prowadzonych w obszarze istniejących RIS na Dolnym Śląsku, ze szczególnym uwzględnieniem współpracy z instytucjami proinnowacyjnymi w zakresie: prac </w:t>
            </w:r>
          </w:p>
          <w:p w14:paraId="0AE32F8B"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i koordynacji Grupy Roboczej ds. inteligentnych specjalizacji oraz Grupy Ekspertów DSI 2030, platformy współpracy, dzielenia się wiedzą, organizacji spotkań i warsztatów, inkubacji pomysłów i projektów możliwych </w:t>
            </w:r>
          </w:p>
          <w:p w14:paraId="48A3ACCE"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do współfinansowania ze środków UE oraz udziału </w:t>
            </w:r>
          </w:p>
          <w:p w14:paraId="4A293559"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w międzynarodowych wydarzeniach wokół Przemysłu 4.0 czy GOZ. </w:t>
            </w:r>
          </w:p>
          <w:p w14:paraId="29F0815B"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W ramach projektu planowane są m.in. stworzenie </w:t>
            </w:r>
          </w:p>
          <w:p w14:paraId="0A9F5ABA"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i administracja techniczna witryny informatycznej - narzędzia współpracy instytucji tworzących dolnośląski system innowacji. Celem strony jest wsparcie współpracy podmiotów budujących dolnośląski system innowacji, inicjowanie wspólnych przedsięwzięć oraz koordynacja podejmowanych wspólnie działań. Witryna jest obecnie w przygotowaniu. Planowane jest jej otwarcie pod koniec </w:t>
            </w:r>
            <w:r w:rsidRPr="00EE14D2">
              <w:rPr>
                <w:rFonts w:ascii="Times New Roman" w:eastAsia="Times New Roman" w:hAnsi="Times New Roman" w:cs="Times New Roman"/>
                <w:noProof/>
                <w:sz w:val="20"/>
                <w:szCs w:val="20"/>
              </w:rPr>
              <w:lastRenderedPageBreak/>
              <w:t xml:space="preserve">2022 r. Narzędzie to ma służyć lepszej i bardziej efektywnej komunikacji pomiędzy uczestnikami Dolnośląskiego Systemu Innowacji w trakcie nie tylko trwania projektu, ale również dalej, w trakcie całego okresu programowania. </w:t>
            </w:r>
          </w:p>
          <w:p w14:paraId="1E683CCE"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Ponadto w ramach omawianego projektu są prowadzone działania animacyjne takie jak: Organizacja spotkań Grupy Roboczej ds. Inteligentnych Specjalizacji, dalej zwanej Grupą, w tym max. 6 spotkań bezpośrednich: max. 4 spotkań we Wrocławiu, 2 na obszarze DŚ poza Wrocławiem i max. 2 spotkań zdalnych. Spotkania Grupy pozwalają na realizację założeń PPO w procesie wdrażania strategii innowacji oraz budowanie kapitału społecznego wokół zagadnień regionalnej innowacyjności. Do prowadzenia wybranych spotkań i ich moderacji zatrudniony został profesjonalny facylitator, którego zadaniem jest przygotowanie wprowadzenia do tematu spotkania, przedstawienie uczestników, prowadzenie dyskusji i warsztatów. Pierwsze spotkanie zdalne nowo powołanej Grupy roboczej odbyło się w lutym 2022 r.. Drugie spotkanie, już na żywo, odbyło się we wrześniu 2022 r. Kolejne spotkanie planowanej jest jeszcze w listopadzie 2022 r. Następne </w:t>
            </w:r>
            <w:r w:rsidRPr="00EE14D2">
              <w:rPr>
                <w:rFonts w:ascii="Times New Roman" w:eastAsia="Times New Roman" w:hAnsi="Times New Roman" w:cs="Times New Roman"/>
                <w:noProof/>
                <w:sz w:val="20"/>
                <w:szCs w:val="20"/>
              </w:rPr>
              <w:lastRenderedPageBreak/>
              <w:t xml:space="preserve">trzy spotkania Grupy planujemy zorganizować </w:t>
            </w:r>
          </w:p>
          <w:p w14:paraId="1FF17D42"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w I połowie 2023 r. w tym spotkania wyjazdowe. Kolejne spotkania Grupy od połowy 2023 r. planuje się organizować przynajmniej  raz na kwartał.</w:t>
            </w:r>
          </w:p>
          <w:p w14:paraId="0E5F1F53"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p>
          <w:p w14:paraId="72417E87"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W ramach działań projektowych planowane jest również przygotowanie trzech jednodniowych spotkań dla Grupy Ekspertów ds. DSI 2030, która stanowi ciało doradcze dla konsultacji i inkubacji pomysłów, wynikających z wiedzy </w:t>
            </w:r>
          </w:p>
          <w:p w14:paraId="559FF6E7"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i doświadczenia ekspertów, reprezentujących podmioty dolnośląskiego systemu innowacji. Spotkania będą prowadzone przez profesjonalnego facylitatora specjalizującego się w tematyce innowacji </w:t>
            </w:r>
          </w:p>
          <w:p w14:paraId="74CFF17A"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i gospodarki. Pierwsze spotkanie Grupy, w formule zdalnej, odbyło się już w I kwartale 2022 r. Następne spotkanie jest planowane na październik 2022 r. W ramach realizacji projektu, w I połowie 2023 r. planowana jest jeszcze organizacja dwóch spotkań Grupy, w tym jednego spotkania wyjazdowego. Kolejne spotkania Grupy ekspertów ds. DSI 2030 będą się odbywały co najmniej raz na pół roku. Oczywiście w </w:t>
            </w:r>
            <w:r w:rsidRPr="00EE14D2">
              <w:rPr>
                <w:rFonts w:ascii="Times New Roman" w:eastAsia="Times New Roman" w:hAnsi="Times New Roman" w:cs="Times New Roman"/>
                <w:noProof/>
                <w:sz w:val="20"/>
                <w:szCs w:val="20"/>
              </w:rPr>
              <w:lastRenderedPageBreak/>
              <w:t>okresie pomiędzy spotkaniami, korzystając m.in. z dostępnej już witryny internetowej podtrzymywany będzie stały kontakt pomiędzy władzą samorządową a zespołem ekspertów.</w:t>
            </w:r>
          </w:p>
          <w:p w14:paraId="686FD54C"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p>
          <w:p w14:paraId="2556A7BE"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Szczegółowy opis działań projektowych znajduje się </w:t>
            </w:r>
          </w:p>
          <w:p w14:paraId="4F36EA21" w14:textId="7ABA269B" w:rsidR="00644235" w:rsidRPr="00EE14D2" w:rsidRDefault="0021157D" w:rsidP="00644235">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w Raporcie dołączonym do Tabeli. </w:t>
            </w:r>
          </w:p>
        </w:tc>
      </w:tr>
      <w:tr w:rsidR="00644235" w:rsidRPr="00EE14D2" w14:paraId="04127998" w14:textId="77777777" w:rsidTr="00644235">
        <w:trPr>
          <w:jc w:val="center"/>
        </w:trPr>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543C49"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99B7ED"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31DF28"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4AD620"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05663D"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5. działania mające na celu poprawę krajowych lub regionalnych systemów badań i innowacji, w stosownych przypadkach;</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2FF91E"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74CE42" w14:textId="187B63C7" w:rsidR="00644235" w:rsidRPr="00EE14D2" w:rsidRDefault="00644235" w:rsidP="00644235">
            <w:pPr>
              <w:spacing w:before="100" w:after="0" w:line="240" w:lineRule="auto"/>
              <w:rPr>
                <w:rFonts w:ascii="Times New Roman" w:eastAsia="Times New Roman" w:hAnsi="Times New Roman" w:cs="Times New Roman"/>
                <w:noProof/>
                <w:color w:val="FF0000"/>
                <w:sz w:val="20"/>
                <w:szCs w:val="20"/>
              </w:rPr>
            </w:pPr>
            <w:r w:rsidRPr="00EE14D2">
              <w:rPr>
                <w:rFonts w:ascii="Times New Roman" w:eastAsia="Times New Roman" w:hAnsi="Times New Roman" w:cs="Times New Roman"/>
                <w:noProof/>
                <w:color w:val="000000"/>
                <w:sz w:val="20"/>
                <w:szCs w:val="20"/>
              </w:rPr>
              <w:t>Poziom krajowy:</w:t>
            </w:r>
            <w:r w:rsidRPr="00EE14D2">
              <w:rPr>
                <w:rFonts w:ascii="Times New Roman" w:eastAsia="Times New Roman" w:hAnsi="Times New Roman" w:cs="Times New Roman"/>
                <w:noProof/>
                <w:color w:val="FF0000"/>
                <w:sz w:val="20"/>
                <w:szCs w:val="20"/>
              </w:rPr>
              <w:t>.</w:t>
            </w:r>
          </w:p>
          <w:p w14:paraId="6E082B59"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Spełnieniem warunku są mechanizmy wskazane w Strategii na rzecz Odpowiedzialnego Rozwoju w celu dot. trwałego wzrostu gospodarczego opartego coraz silniej o wiedzę, dane i doskonałość organizacyjną, a także w projekcie Strategii Produktywności 2030 oraz Krajowej Inteligentnej Specjalizacji (KIS) i Regionalnych Inteligentnych Specjalizacjach (RIS) z uwzględnieniem procesu przedsiębiorczego odkrywania jako kluczowego elementu koncepcji inteligentnej specjalizacji. Minister wł. ds. gospodarki odpowiada za: opracowanie koncepcji, wdrażanie, proces przedsiębiorczego odkrywania, monitorowanie, ewaluację oraz koordynację i monitorowanie KIS i RIS. Jako element ciągłego procesu przedsiębiorczego odkrywania oraz monitorowania inteligentnych </w:t>
            </w:r>
            <w:r w:rsidRPr="00EE14D2">
              <w:rPr>
                <w:rFonts w:ascii="Times New Roman" w:eastAsia="Times New Roman" w:hAnsi="Times New Roman" w:cs="Times New Roman"/>
                <w:noProof/>
                <w:sz w:val="20"/>
                <w:szCs w:val="20"/>
              </w:rPr>
              <w:lastRenderedPageBreak/>
              <w:t>specjalizacji prowadzone są prace związane z aktualizacją dokumentu kierunkowego KIS, kontynuowane są prace związane z rozbudową i zasilaniem danymi narzędzia interaktywnego do monitorowania krajowych i regionalnych inteligentnych specjalizacji oraz dedykowanej strony internetowej smart.gov.pl, a także  przeprowadzane są analizy m.in. dot. zasobów i potencjału technologicznego w jednostkach naukowych , identyfikacji trendów rozwojowych w obszarze technologii, wypracowania metodologii przełożenia klasyfikacji kodów PKD na KIS oraz opracowania metodologii w zakresie map drogowych w obszarach KIS.</w:t>
            </w:r>
          </w:p>
          <w:p w14:paraId="4A73D8D6"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Za najważniejsze transformacje które musi skutecznie przejść polska gospodarka uznano: budowę gospodarki o obiegu zamkniętym, rozwój przemysłu 4.0, cyfryzację przedsiębiorstw i gospodarkę neutralną klimatycznie. </w:t>
            </w:r>
          </w:p>
          <w:p w14:paraId="59526BF9"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W każdym z ww. obszarów podejmowanych jest szereg działań opisanych odpowiednio m.in. w  SOR, Mapie GOZ, Polityce Przemysłowej Polski, ustawie o Fundacji Platforma Przemysłu Przyszłości, programach Mój Prąd i Czyste Powietrze, koncepcji procesu standaryzacji Hubów Innowacji Cyfrowych, Polityce SI, Polityce </w:t>
            </w:r>
            <w:r w:rsidRPr="00EE14D2">
              <w:rPr>
                <w:rFonts w:ascii="Times New Roman" w:eastAsia="Times New Roman" w:hAnsi="Times New Roman" w:cs="Times New Roman"/>
                <w:noProof/>
                <w:sz w:val="20"/>
                <w:szCs w:val="20"/>
              </w:rPr>
              <w:lastRenderedPageBreak/>
              <w:t>Danych, koncepcji Szkoły Głównej Kompetencji Cyfrowych oraz Strategii Transformacji do Gospodarki Neutralnej Klimatycznie.</w:t>
            </w:r>
          </w:p>
          <w:p w14:paraId="0258E518" w14:textId="6955128C"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Ponadto w celu spełnienia warunku promowana jest współpraca międzyregionalna i ponadnarodowa w obszarach inteligentnych specjalizacji (np. Partnerstwa S3 przy KE, Interreg, EIT, Horyzont 2020, Innovoucher, TravelGrants, projekty Grupy Wyszehradzkiej, TeamNet, bilateralne projekty akceleracyjne), a także internacjonalizacja polskich firm np.: Umiędzynarodowienie Krajowych Klastrów Kluczowych, Brand, Go to Brand, Poland Prize, Polskie Mosty Technologiczne, Granty na Eurogranty.</w:t>
            </w:r>
          </w:p>
          <w:p w14:paraId="34907635"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Zarządzenie Prezesa Rady Ministrów w sprawie utworzenia Rady ds. Innowacyjności, Zarządzenie Prezesa Rady Ministrów w sprawie utworzenia Międzyresortowego Zespołu do spraw Innowacyjności i zarządzenia zmieniające - Ministerstwo Rozwoju i Technologii</w:t>
            </w:r>
          </w:p>
          <w:p w14:paraId="2513A832"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http://isap.sejm.gov.pl/isap.nsf/DocDetails.xsp?id=WMP20190000131</w:t>
            </w:r>
          </w:p>
          <w:p w14:paraId="7E2850F0"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p>
          <w:p w14:paraId="6BB61207"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Ustawa z dnia 4 listopada 2016 r. o zmianie niektórych ustaw określających warunki prowadzenia działalności </w:t>
            </w:r>
            <w:r w:rsidRPr="00EE14D2">
              <w:rPr>
                <w:rFonts w:ascii="Times New Roman" w:eastAsia="Times New Roman" w:hAnsi="Times New Roman" w:cs="Times New Roman"/>
                <w:noProof/>
                <w:sz w:val="20"/>
                <w:szCs w:val="20"/>
              </w:rPr>
              <w:lastRenderedPageBreak/>
              <w:t>innowacyjnej -Ministerstwo Rozwoju i Technologii</w:t>
            </w:r>
          </w:p>
          <w:p w14:paraId="42DE86B6"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https://isap.sejm.gov.pl/isap.nsf/DocDetails.xsp?id=WDU20160001933</w:t>
            </w:r>
          </w:p>
          <w:p w14:paraId="6DE2CACF"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p>
          <w:p w14:paraId="308B471C"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Ustawa z dnia 9 listopada 2017 r. o zmianie niektórych ustaw w celu poprawy otoczenia prawnego działalności innowacyjnej -Ministerstwo Rozwoju i Technologii</w:t>
            </w:r>
          </w:p>
          <w:p w14:paraId="6A33C3D4"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https://isap.sejm.gov.pl/isap.nsf/DocDetails.xsp?id=WDU20170002201</w:t>
            </w:r>
          </w:p>
          <w:p w14:paraId="5EEC80DE"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p>
          <w:p w14:paraId="3218B139"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Program Ministra na lata 2019 – 2021 Przemysł 4.0 - ustanowiony na podstawie art. 21a ustawy z dnia 30 maja 2008 r. o niektórych formach wspierania działalności innowacyjnej (Dz. U. z 2018 r. poz. 141, z późn. zm.) - Ministerstwo Rozwoju i Technologii</w:t>
            </w:r>
          </w:p>
          <w:p w14:paraId="785392BF"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https://www.gov.pl/web/rozwoj-praca-technologia/przemysl-4-0</w:t>
            </w:r>
          </w:p>
          <w:p w14:paraId="3931AEAF"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p>
          <w:p w14:paraId="42074ECF"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Ustawa z dnia 18 marca 2018 r. Prawo o Szkolnictwie Wyższym i Nauce - Ministerstwo Edukacji i Nauki</w:t>
            </w:r>
          </w:p>
          <w:p w14:paraId="2D672FDF"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http://isap.sejm.gov.pl/isap.nsf/DocDetails.xsp?id=WDU20180001668</w:t>
            </w:r>
          </w:p>
          <w:p w14:paraId="6AA43B3A"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p>
          <w:p w14:paraId="39810945"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lastRenderedPageBreak/>
              <w:t>Ustawa z dnia 21 lutego 2019 r. o Sieci Badawczej Łukasiewicz - Ministerstwo Rozwoju i Technologii</w:t>
            </w:r>
          </w:p>
          <w:p w14:paraId="264D76CE"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http://isap.sejm.gov.pl/isap.nsf/download.xsp/WDU20190000534/T/D20190534L.pdf</w:t>
            </w:r>
          </w:p>
          <w:p w14:paraId="04D39568"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p>
          <w:p w14:paraId="44175EB8"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Strategia na rzecz Odpowiedzialnego Rozwoju - Ministerstwo Funduszy i Polityki Regionalnej</w:t>
            </w:r>
          </w:p>
          <w:p w14:paraId="4F998B90"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https://www.gov.pl/web/fundusze-regiony/informacje-o-strategii-na-rzecz-odpowiedzialnego-rozwoju</w:t>
            </w:r>
          </w:p>
          <w:p w14:paraId="508C0188"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p>
          <w:p w14:paraId="26239FAA"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Strategia Produktywności (projekt) - Ministerstwo Rozwoju i Technologii</w:t>
            </w:r>
          </w:p>
          <w:p w14:paraId="3FB10DC1"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https://www.gov.pl/web/rozwoj-praca-technologia/konsultacje-publiczne-projektu-strategii-produktywnosci-2031</w:t>
            </w:r>
          </w:p>
          <w:p w14:paraId="06698C85"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p>
          <w:p w14:paraId="1A4070E8"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Krajowe Klastry Kluczowe – lista, konkurs na KKK  - Ministerstwo Rozwoju i Technologii</w:t>
            </w:r>
          </w:p>
          <w:p w14:paraId="35383CAA"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https://www.gov.pl/web/rozwoj/lista-kkk</w:t>
            </w:r>
          </w:p>
          <w:p w14:paraId="497C0B11"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p>
          <w:p w14:paraId="36C165B1"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lastRenderedPageBreak/>
              <w:t>Kierunki rozwoju polityki klastrowej po 2020 r.- Ministerstwo Rozwoju i Technologii</w:t>
            </w:r>
          </w:p>
          <w:p w14:paraId="3466FAF6"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https://www.gov.pl/web/rozwoj-praca-technologia/krajowe-klastry-kluczowe</w:t>
            </w:r>
          </w:p>
          <w:p w14:paraId="6DB68A07"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p>
          <w:p w14:paraId="0EDA2682"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Konkurs dot. rozwoju potencjału koordynatorów KKK - Polska Agencja Rozwoju Przedsiębiorczości </w:t>
            </w:r>
          </w:p>
          <w:p w14:paraId="6203F55C"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https://www.parp.gov.pl/component/grants/grants/rozwoj-potencjalu-koordynatorow-krajowych-klastrow-kluczowych#terminy</w:t>
            </w:r>
          </w:p>
          <w:p w14:paraId="4CE8A3BC"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p>
          <w:p w14:paraId="13DE50EC"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Raport z badania akredytowanych ośrodków innowacji - Ministerstwo Rozwoju i Technologii</w:t>
            </w:r>
          </w:p>
          <w:p w14:paraId="52D3173E"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https://www.smart.gov.pl/images/Raport-z-badania-akredytowanych-osrodkow-innowacji-na-zlecenie-MPIT.pdf</w:t>
            </w:r>
          </w:p>
          <w:p w14:paraId="072F977E"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p>
          <w:p w14:paraId="47D37AD0"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Lista akredytowanych ośrodków innowacji - Ministerstwo Rozwoju i Technologii</w:t>
            </w:r>
          </w:p>
          <w:p w14:paraId="171B66B1"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https://www.gov.pl/web/rozwoj/lista-osrodkow-innowacji</w:t>
            </w:r>
          </w:p>
          <w:p w14:paraId="113F41B6"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p>
          <w:p w14:paraId="42C89971"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lastRenderedPageBreak/>
              <w:t xml:space="preserve">Gotowość Ośrodków Innowacji do wspierania inteligentnej specjalizacji  - Ministerstwo Rozwoju i Technologii/Polska Agencja Rozwoju Przedsiębiorczości </w:t>
            </w:r>
          </w:p>
          <w:p w14:paraId="24B351FA"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 https://smart.gov.pl</w:t>
            </w:r>
          </w:p>
          <w:p w14:paraId="0E5CBA11"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Dokument Krajowa Inteligenta Specjalizacja - Ministerstwo Rozwoju i Technologii</w:t>
            </w:r>
          </w:p>
          <w:p w14:paraId="7FB57CAB" w14:textId="165AD44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https://smart.gov.pl</w:t>
            </w:r>
          </w:p>
          <w:p w14:paraId="1E19BC6E"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Poziom regionalny:</w:t>
            </w:r>
          </w:p>
          <w:p w14:paraId="5C5E8480"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rPr>
              <w:t xml:space="preserve">Dolnośląska Strategia Innowacji 2030 (dokument przyjęty przez Zarząd Województwa Dolnośląskiego 5 stycznia 2021 r. uchwałą nr 3270/VI/21). </w:t>
            </w:r>
            <w:r w:rsidRPr="00EE14D2">
              <w:rPr>
                <w:rFonts w:ascii="Times New Roman" w:eastAsia="Times New Roman" w:hAnsi="Times New Roman" w:cs="Times New Roman"/>
                <w:noProof/>
                <w:color w:val="000000"/>
                <w:sz w:val="20"/>
                <w:szCs w:val="20"/>
                <w:lang w:val="en-US"/>
              </w:rPr>
              <w:t>(https://umwd.dolnyslask.pl/gospodarka/dolnoslaska-strategia-innowacji-2030/  );</w:t>
            </w:r>
          </w:p>
          <w:p w14:paraId="310E19B6"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FD3496" w14:textId="50AF9186" w:rsidR="00644235" w:rsidRPr="00EE14D2" w:rsidRDefault="00644235" w:rsidP="00644235">
            <w:pPr>
              <w:spacing w:before="100" w:after="0" w:line="240" w:lineRule="auto"/>
              <w:rPr>
                <w:rFonts w:ascii="Times New Roman" w:eastAsia="Times New Roman" w:hAnsi="Times New Roman" w:cs="Times New Roman"/>
                <w:noProof/>
                <w:color w:val="FF0000"/>
                <w:sz w:val="20"/>
                <w:szCs w:val="20"/>
              </w:rPr>
            </w:pPr>
            <w:r w:rsidRPr="00EE14D2">
              <w:rPr>
                <w:rFonts w:ascii="Times New Roman" w:eastAsia="Times New Roman" w:hAnsi="Times New Roman" w:cs="Times New Roman"/>
                <w:noProof/>
                <w:color w:val="000000"/>
                <w:sz w:val="20"/>
                <w:szCs w:val="20"/>
              </w:rPr>
              <w:lastRenderedPageBreak/>
              <w:t xml:space="preserve">Poziom krajowy: </w:t>
            </w:r>
          </w:p>
          <w:p w14:paraId="47AE8F21" w14:textId="5F50B296" w:rsidR="0021157D" w:rsidRPr="00EE14D2" w:rsidRDefault="0021157D" w:rsidP="0021157D">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Kryterium spełnione poprzez:</w:t>
            </w:r>
          </w:p>
          <w:p w14:paraId="0EB5BC6F" w14:textId="77777777" w:rsidR="0021157D" w:rsidRPr="00EE14D2" w:rsidRDefault="0021157D" w:rsidP="0021157D">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 xml:space="preserve">Funkcjonowanie Rady Innowacyjności oraz Międzyresortowego Zespołu ds. Innowacyjności </w:t>
            </w:r>
          </w:p>
          <w:p w14:paraId="6D0AA0D3" w14:textId="77777777" w:rsidR="0021157D" w:rsidRPr="00EE14D2" w:rsidRDefault="0021157D" w:rsidP="0021157D">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Przyjęcie rozwiązań legislacyjnych sprzyjających podejmowaniu i prowadzeniu działalności innowacyjnej, m.in. ustawy o innowacyjności, Konstytucja dla Biznesu, Ulga podatkowa na prace B+R, Prosta spółka, Mały ZUS, Ulga podatkowa IP Box, ustawa o Fundacji Platformy Przemysłu Przyszłości, zniesienie podwójnego opodatkowania funduszy VC</w:t>
            </w:r>
          </w:p>
          <w:p w14:paraId="4BC8A8D3" w14:textId="77777777" w:rsidR="0021157D" w:rsidRPr="00EE14D2" w:rsidRDefault="0021157D" w:rsidP="0021157D">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 xml:space="preserve">Przyjęcie rozwiązań legislacyjnych umożliwiających reformę nauki - mi.in. ustawa Prawo o szkolnictwie wyższym i nauce, </w:t>
            </w:r>
            <w:r w:rsidRPr="00EE14D2">
              <w:rPr>
                <w:rFonts w:ascii="Times New Roman" w:eastAsia="Times New Roman" w:hAnsi="Times New Roman" w:cs="Times New Roman"/>
                <w:noProof/>
                <w:color w:val="000000"/>
                <w:sz w:val="20"/>
                <w:szCs w:val="20"/>
              </w:rPr>
              <w:lastRenderedPageBreak/>
              <w:t>utworzenie Sieci badawczej Łukasiewicz (reforma instytutów badawczych)</w:t>
            </w:r>
          </w:p>
          <w:p w14:paraId="6C018F53" w14:textId="77777777" w:rsidR="0021157D" w:rsidRPr="00EE14D2" w:rsidRDefault="0021157D" w:rsidP="0021157D">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Działania koordynacyjne, zmierzające do zapewnienia synergii polityk na poziomie krajowym i regionalnym w ramach Rady ds. Innowacyjności</w:t>
            </w:r>
          </w:p>
          <w:p w14:paraId="4078C48D" w14:textId="12E459D8" w:rsidR="0021157D" w:rsidRPr="00EE14D2" w:rsidRDefault="0021157D" w:rsidP="0021157D">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Funkcjonowanie kompleksowych instrumentów wspierania działalności B+R+I</w:t>
            </w:r>
          </w:p>
          <w:p w14:paraId="00D70D54"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Poziom regionalny:</w:t>
            </w:r>
          </w:p>
          <w:p w14:paraId="1B8D5703"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Usprawnianie funkcjonowania Dolnośląskiego Systemu Innowacji jest nieprzerwanie celem nadrzędnym Zarządu Województwa. Na przestrzeni kilkunastu lat zrealizowano szereg działań, projektów, inicjatyw we współpracy zarówno </w:t>
            </w:r>
          </w:p>
          <w:p w14:paraId="184FDAE5"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z regionalnymi partnerami/podmiotami Dolnośląskiego Systemu Innowacji (m.in. parki technologiczne, agencje rozwoju regionalnego, inkubatory przedsiębiorczości, uczelnie wyższe, przedsiębiorstwa, klastry, jednostki B+R) jak </w:t>
            </w:r>
          </w:p>
          <w:p w14:paraId="4A8D3DA3"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i angażując się w projekty międzynarodowe, w celu obserwacji i wypracowywania najlepszych praktyk oraz implementowania ich w regionie. Zarząd Województwa przeznacza na ten </w:t>
            </w:r>
            <w:r w:rsidRPr="00EE14D2">
              <w:rPr>
                <w:rFonts w:ascii="Times New Roman" w:eastAsia="Times New Roman" w:hAnsi="Times New Roman" w:cs="Times New Roman"/>
                <w:noProof/>
                <w:sz w:val="20"/>
                <w:szCs w:val="20"/>
              </w:rPr>
              <w:lastRenderedPageBreak/>
              <w:t xml:space="preserve">cel zarówno środki własne samorządu województwa jak i środki funduszy strukturalnych. W perspektywie do roku 2030, wzmocnienie współpracy pomiędzy podmiotami Dolnośląskiego Systemu Innowacji jest w dalszym ciągu traktowane priorytetowo i jest jednym z głównych celów strategicznych, w ramach którego kontynuujemy działania takie jak: </w:t>
            </w:r>
          </w:p>
          <w:p w14:paraId="278263C4"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 Organizacja eksperckich spotkań z przedstawicielami Dolnośląskiego Systemu Innowacji, w celu bieżącej identyfikacji barier i wąskich gardeł Dolnośląskiego systemu innowacji, monitorowania bieżących oraz programowania przyszłych działań wzmacniających system i poprawiających jego funkcjonowanie – w ramach prac Grupy Roboczej </w:t>
            </w:r>
          </w:p>
          <w:p w14:paraId="503A2FF7"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ds. Inteligentnych Specjalizacji i Grupy Ekspertów ds. DSI 2030, a także w ramach spotkań, warsztatów, konferencji z szerszym gronem przedstawicieli Dolnośląskiego systemu innowacji; </w:t>
            </w:r>
          </w:p>
          <w:p w14:paraId="634F07CC"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 Usprawnienie regionalnej sieci współpracy poprzez stworzenie platformy/forum współpracy w zakresie koordynacji działań informacyjno-promocyjnych i wymiany dobrych praktyk w systemie; </w:t>
            </w:r>
          </w:p>
          <w:p w14:paraId="69EAFA9E"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lastRenderedPageBreak/>
              <w:t xml:space="preserve">• Prowadzenie systematycznych analiz i badań Dolnośląskiego Systemu Innowacji w tym Dolnośląskich Inteligentnych Specjalizacji oraz aktualnych i przyszłych trendów rozwojowych; </w:t>
            </w:r>
          </w:p>
          <w:p w14:paraId="769D739C"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 Analiza zapotrzebowania na nowe usługi proinnowacyjne </w:t>
            </w:r>
          </w:p>
          <w:p w14:paraId="11691D50"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i opracowanie standardów świadczenia usług </w:t>
            </w:r>
          </w:p>
          <w:p w14:paraId="0896406F"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w województwie; </w:t>
            </w:r>
          </w:p>
          <w:p w14:paraId="0732A8E9"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 Wsparcie usług proinnowacyjnych świadczonych przez IOB; </w:t>
            </w:r>
          </w:p>
          <w:p w14:paraId="3D86AA2B"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 Usprawnienie systemu bezzwrotnych narzędzi finansowania przedsięwzięć innowacyjnych (dotacji i grantów); </w:t>
            </w:r>
          </w:p>
          <w:p w14:paraId="723AFDF2"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 Wspieranie rozwoju oferty usług i kompetencji pracowników centrów transferu technologii na uczelniach wyższych; </w:t>
            </w:r>
          </w:p>
          <w:p w14:paraId="5C2D344F"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 Zwiększenie oferty i dostępności pożyczek i poręczeń oferowanych za pośrednictwem funduszy pożyczkowych </w:t>
            </w:r>
          </w:p>
          <w:p w14:paraId="4D3C9D3B"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i poręczeniowych;</w:t>
            </w:r>
          </w:p>
          <w:p w14:paraId="2968B4CE"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 Animacja platformy współpracy naukowo-przemysłowej </w:t>
            </w:r>
          </w:p>
          <w:p w14:paraId="30ED0A8B" w14:textId="77777777"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t xml:space="preserve">w celu identyfikacji tematycznych agend badawczych; </w:t>
            </w:r>
          </w:p>
          <w:p w14:paraId="7EC656A9" w14:textId="10BA49D2" w:rsidR="0021157D" w:rsidRPr="00EE14D2" w:rsidRDefault="0021157D" w:rsidP="0021157D">
            <w:pPr>
              <w:spacing w:before="100" w:after="0" w:line="240" w:lineRule="auto"/>
              <w:rPr>
                <w:rFonts w:ascii="Times New Roman" w:eastAsia="Times New Roman" w:hAnsi="Times New Roman" w:cs="Times New Roman"/>
                <w:noProof/>
                <w:sz w:val="20"/>
                <w:szCs w:val="20"/>
              </w:rPr>
            </w:pPr>
            <w:r w:rsidRPr="00EE14D2">
              <w:rPr>
                <w:rFonts w:ascii="Times New Roman" w:eastAsia="Times New Roman" w:hAnsi="Times New Roman" w:cs="Times New Roman"/>
                <w:noProof/>
                <w:sz w:val="20"/>
                <w:szCs w:val="20"/>
              </w:rPr>
              <w:lastRenderedPageBreak/>
              <w:t>• Wspieranie działalności stowarzyszeń branżowych i klastrów poprzez dofinansowanie celowych przedsięwzięć realizujących polityki publiczne.</w:t>
            </w:r>
          </w:p>
          <w:p w14:paraId="2C16DC69"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r>
      <w:tr w:rsidR="00644235" w:rsidRPr="00EE14D2" w14:paraId="7D46F896" w14:textId="77777777" w:rsidTr="00644235">
        <w:trPr>
          <w:jc w:val="center"/>
        </w:trPr>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CF80B4"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8953FA"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678ECF"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DE981A"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7E15C7"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6. w stosownych przypadkach, działania wspierające transformację przemysłową;</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16688F"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B5F3B0" w14:textId="5E0DD425"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Poziom krajowy: </w:t>
            </w:r>
          </w:p>
          <w:p w14:paraId="76A9A099"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Spełnieniem warunku są mechanizmy wskazane w Strategii na rzecz Odpowiedzialnego Rozwoju w celu dot. trwałego wzrostu gospodarczego opartego coraz silniej o wiedzę, dane i doskonałość organizacyjną, a także w projekcie Strategii Produktywności 2030 oraz Krajowej Inteligentnej Specjalizacji </w:t>
            </w:r>
            <w:r w:rsidRPr="00EE14D2">
              <w:rPr>
                <w:rFonts w:ascii="Times New Roman" w:eastAsia="Times New Roman" w:hAnsi="Times New Roman" w:cs="Times New Roman"/>
                <w:noProof/>
                <w:color w:val="000000"/>
                <w:sz w:val="20"/>
                <w:szCs w:val="20"/>
              </w:rPr>
              <w:lastRenderedPageBreak/>
              <w:t>(KIS) i Regionalnych Inteligentnych Specjalizacjach (RIS) z uwzględnieniem procesu przedsiębiorczego odkrywania jako kluczowego elementu koncepcji inteligentnej specjalizacji. Minister wł. ds. gospodarki odpowiada za: opracowanie koncepcji, wdrażanie, proces przedsiębiorczego odkrywania, monitorowanie, ewaluację oraz koordynację i monitorowanie KIS i RIS. Jako element ciągłego procesu przedsiębiorczego odkrywania oraz monitorowania inteligentnych specjalizacji prowadzone są prace związane z aktualizacją dokumentu kierunkowego KIS, kontynuowane są prace związane z rozbudową i zasilaniem danymi narzędzia interaktywnego do monitorowania krajowych i regionalnych inteligentnych specjalizacji oraz dedykowanej strony internetowej smart.gov.pl, a także  przeprowadzane są analizy m.in. dot. zasobów i potencjału technologicznego w jednostkach naukowych , identyfikacji trendów rozwojowych w obszarze technologii, wypracowania metodologii przełożenia klasyfikacji kodów PKD na KIS oraz opracowania metodologii w zakresie map drogowych w obszarach KIS.</w:t>
            </w:r>
          </w:p>
          <w:p w14:paraId="648311C1"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Za najważniejsze transformacje które musi skutecznie przejść polska </w:t>
            </w:r>
            <w:r w:rsidRPr="00EE14D2">
              <w:rPr>
                <w:rFonts w:ascii="Times New Roman" w:eastAsia="Times New Roman" w:hAnsi="Times New Roman" w:cs="Times New Roman"/>
                <w:noProof/>
                <w:color w:val="000000"/>
                <w:sz w:val="20"/>
                <w:szCs w:val="20"/>
              </w:rPr>
              <w:lastRenderedPageBreak/>
              <w:t xml:space="preserve">gospodarka uznano: budowę gospodarki o obiegu zamkniętym, rozwój przemysłu 4.0, cyfryzację przedsiębiorstw i gospodarkę neutralną klimatycznie. </w:t>
            </w:r>
          </w:p>
          <w:p w14:paraId="134D02D7"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 każdym z ww. obszarów podejmowanych jest szereg działań opisanych odpowiednio m.in. w  SOR, Mapie GOZ, Polityce Przemysłowej Polski, ustawie o Fundacji Platforma Przemysłu Przyszłości, programach Mój Prąd i Czyste Powietrze, koncepcji procesu standaryzacji Hubów Innowacji Cyfrowych, Polityce SI, Polityce Danych, koncepcji Szkoły Głównej Kompetencji Cyfrowych oraz Strategii Transformacji do Gospodarki Neutralnej Klimatycznie.</w:t>
            </w:r>
          </w:p>
          <w:p w14:paraId="46E7451A" w14:textId="4B6D40A4"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Ponadto w celu spełnienia warunku promowana jest współpraca międzyregionalna i ponadnarodowa w obszarach inteligentnych specjalizacji (np. Partnerstwa S3 przy KE, Interreg, EIT, Horyzont 2020, Innovoucher, TravelGrants, projekty Grupy Wyszehradzkiej, TeamNet, bilateralne projekty akceleracyjne), a także internacjonalizacja polskich firm np.: Umiędzynarodowienie Krajowych Klastrów Kluczowych, Brand, Go to Brand, Poland Prize, Polskie Mosty Technologiczne, Granty na Eurogranty</w:t>
            </w:r>
          </w:p>
          <w:p w14:paraId="54C31886"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Fundacja Platforma Przemysłu Przyszłości</w:t>
            </w:r>
          </w:p>
          <w:p w14:paraId="5B90C071"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www.fppp.gov.pl, http://isap.sejm.gov.pl/isap.nsf/DocDetails.xsp?id=WDU20190000229</w:t>
            </w:r>
          </w:p>
          <w:p w14:paraId="5B33A13D"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p>
          <w:p w14:paraId="66BD9A78"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Mapa drogowa transformacji w kierunku gospodarki o obiegu zamkniętym -  Ministerstwo Rozwoju i Technologii</w:t>
            </w:r>
          </w:p>
          <w:p w14:paraId="12DBCA5C"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https://www.gov.pl/web/rozwoj/gospodarka-o-obiegu-zamknietym</w:t>
            </w:r>
          </w:p>
          <w:p w14:paraId="14EED9F5"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p>
          <w:p w14:paraId="2A2C37C4"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Standaryzacja Hubów Innowacji Cyfrowych - Ministerstwo Rozwoju i Technologii</w:t>
            </w:r>
          </w:p>
          <w:p w14:paraId="7D6410AC"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https://www.gov.pl/web/rozwoj/mpit-oglasza-konkurs-dla-hubow-innowacji-cyfrowych</w:t>
            </w:r>
          </w:p>
          <w:p w14:paraId="02E098B7"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p>
          <w:p w14:paraId="7D4F4C44"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Narodowy Plan Szerokopasmowy  - Kancelaria Premiera Rady Ministrów</w:t>
            </w:r>
          </w:p>
          <w:p w14:paraId="662DB7DA"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https://www.gov.pl/web/cyfryzacja/narodowy-plan-szerokopasmowy---zaktualizowany</w:t>
            </w:r>
          </w:p>
          <w:p w14:paraId="02F30D60"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p>
          <w:p w14:paraId="4154D3EC"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Polityka SI - Kancelaria Prezesa Rady Ministrów</w:t>
            </w:r>
          </w:p>
          <w:p w14:paraId="6E52D97A"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https://www.gov.pl/web/cyfryzacja/konsultacje-spoleczne-projektu-polityki-rozwoju-sztucznej-inteligencji-w-polsce-na-lata-2019--2027</w:t>
            </w:r>
          </w:p>
          <w:p w14:paraId="7B6E1EDE"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p>
          <w:p w14:paraId="4AA32D19"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Polityka danych - Kancelaria Premiera Rady Ministrów</w:t>
            </w:r>
          </w:p>
          <w:p w14:paraId="7105FB0F"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https://dane.gov.pl/</w:t>
            </w:r>
          </w:p>
          <w:p w14:paraId="0D7D6CA2"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p>
          <w:p w14:paraId="1FBD31D5"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Program Otwierania Danych Publicznych  - Kancelaria Premiera Rady Ministrów</w:t>
            </w:r>
          </w:p>
          <w:p w14:paraId="382D8DF3"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https://www.gov.pl/web/cyfryzacja/otwarte-dane-publiczne</w:t>
            </w:r>
          </w:p>
          <w:p w14:paraId="46AB6763"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https://www.gov.pl/web/cyfryzacja/program-otwierania-danych-na-lata-2021-2027--ruszaja-prekonsultacje-spoleczne</w:t>
            </w:r>
          </w:p>
          <w:p w14:paraId="38AA1F13"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p>
          <w:p w14:paraId="7176FB22"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Strategia Transformacji do Gospodarki Neutralnej Klimatycznie -  Ministerstwo Rozwoju i Technologii </w:t>
            </w:r>
          </w:p>
          <w:p w14:paraId="7C8D4261"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 opracowaniu)</w:t>
            </w:r>
          </w:p>
          <w:p w14:paraId="52388D55"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p>
          <w:p w14:paraId="5E92C6BA"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Krajowy plan na rzecz energii i klimatu na lata 2021-2030 - Ministerstwo Klimatu i Środowiska</w:t>
            </w:r>
          </w:p>
          <w:p w14:paraId="3FDEA709"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https://www.gov.pl/web/aktywa-panstwowe/krajowy-plan-na-rzecz-</w:t>
            </w:r>
            <w:r w:rsidRPr="00EE14D2">
              <w:rPr>
                <w:rFonts w:ascii="Times New Roman" w:eastAsia="Times New Roman" w:hAnsi="Times New Roman" w:cs="Times New Roman"/>
                <w:noProof/>
                <w:color w:val="000000"/>
                <w:sz w:val="20"/>
                <w:szCs w:val="20"/>
              </w:rPr>
              <w:lastRenderedPageBreak/>
              <w:t>energii-i-klimatu-na-lata-2021-2030-przekazany-do-ke</w:t>
            </w:r>
          </w:p>
          <w:p w14:paraId="5BBAD976"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p>
          <w:p w14:paraId="2A3571DD"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Moj prąd, Czyste powietrze - Ministerstwo Klimatu i Środowiska/Narodowy Fundusz Ochrony Środowiska i Gospodarki Wodnej</w:t>
            </w:r>
          </w:p>
          <w:p w14:paraId="5F5DF7A3"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https://mojprad.gov.pl/, http://www.czystepowietrze.gov.pl/</w:t>
            </w:r>
          </w:p>
          <w:p w14:paraId="32F20594"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p>
          <w:p w14:paraId="09CCBEAF"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Plan Rozwoju Elektromobilności  - Ministerstwo Aktywów Państwowych</w:t>
            </w:r>
          </w:p>
          <w:p w14:paraId="0EBBF0BB"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https://www.gov.pl/web/aktywa-panstwowe/elektromobilnosc-w-polsce </w:t>
            </w:r>
          </w:p>
          <w:p w14:paraId="5B0EEF67"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p>
          <w:p w14:paraId="67032878"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Mapa drogowa GOZ  - Ministerstwo Rozwoju i Technologii</w:t>
            </w:r>
          </w:p>
          <w:p w14:paraId="3955C326" w14:textId="7F346C91"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https://www.gov.pl/web/rozwoj-praca-technologia/rada-ministrow-przyjela-projekt-mapy-drogowej-goz</w:t>
            </w:r>
          </w:p>
          <w:p w14:paraId="27529A8E"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Poziom regionalny:</w:t>
            </w:r>
          </w:p>
          <w:p w14:paraId="26FFF77B"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Dolnośląska Strategia Innowacji 2030 (dokument przyjęty przez Zarząd Województwa Dolnośląskiego 5 stycznia 2021 r. uchwałą nr 3270/VI/21) (https://umwd.dolnyslask.pl/gospodarka/dolnoslaska-strategia-innowacji-2030/  );</w:t>
            </w:r>
          </w:p>
          <w:p w14:paraId="44C5DE82"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F5FD3C" w14:textId="539085AD"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 xml:space="preserve">Poziom krajowy: </w:t>
            </w:r>
          </w:p>
          <w:p w14:paraId="7DC8E94E" w14:textId="00F6AF36" w:rsidR="00CA669D" w:rsidRPr="00EE14D2" w:rsidRDefault="00CA669D" w:rsidP="00CA669D">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Kryterium spełnione poprzez:</w:t>
            </w:r>
          </w:p>
          <w:p w14:paraId="1FAB4EDF" w14:textId="77777777" w:rsidR="00CA669D" w:rsidRPr="00EE14D2" w:rsidRDefault="00CA669D" w:rsidP="00CA669D">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 xml:space="preserve">Transformację w kierunku gospodarki o obiegu zamkniętym (wdrożenie Mapy drogowej GOZ), prace KIS ds. GOZ, działania w zakresie rozszerzonej odpowiedzialności producenta, działania dot. śladu </w:t>
            </w:r>
            <w:r w:rsidRPr="00EE14D2">
              <w:rPr>
                <w:rFonts w:ascii="Times New Roman" w:eastAsia="Times New Roman" w:hAnsi="Times New Roman" w:cs="Times New Roman"/>
                <w:noProof/>
                <w:color w:val="000000"/>
                <w:sz w:val="20"/>
                <w:szCs w:val="20"/>
              </w:rPr>
              <w:lastRenderedPageBreak/>
              <w:t>środowiskowego i ekoprojektowania, gospodarowanie surowcami</w:t>
            </w:r>
          </w:p>
          <w:p w14:paraId="09FD8C78" w14:textId="77777777" w:rsidR="00CA669D" w:rsidRPr="00EE14D2" w:rsidRDefault="00CA669D" w:rsidP="00CA669D">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Transformację cyfrową i w kierunku przemysłu 4.0 (Fundacja Platforma Przemysłu Przyszłości - standaryzacja i integracja działań szkoleniowo-doradczych, Ulga podatkowa na robotyzację, Tworzenie Digital Innovation Hubs i proces standaryzacji usług, European Digital Innovation Hubs, Nowoczesne kadry dla przemysłu przyszłości – up-skiling i re-skiling), Fabryki uczące, Polityka Sztucznej Inteligencji (SI), Doktorat wdrożeniowy i Szkoła AI, Akademia Innowacyjnych Zastosowań Technologii Cyfrowych, Polityka danych, Program Otwierania Danych Publicznych, Narodowy Plan Szerokopasmowy)</w:t>
            </w:r>
          </w:p>
          <w:p w14:paraId="74DCD2CF" w14:textId="5F0287B2" w:rsidR="00CA669D" w:rsidRPr="00EE14D2" w:rsidRDefault="00CA669D" w:rsidP="00CA669D">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Transformację w kierunku gospodarki neutralnej klimatycznie (Strategia Transformacji do Gospodarki Neutralnej Klimatycznie, Krajowy plan na rzecz energii i klimatu na lata 2021-2030, Program Czyste Powietrze, Program Mój Prąd, Plan Rozwoju Elektromobilności)</w:t>
            </w:r>
          </w:p>
          <w:p w14:paraId="7900E918"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Poziom regionalny:</w:t>
            </w:r>
          </w:p>
          <w:p w14:paraId="0EC5C07F"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Województwo Dolnośląskie jest jednym z kluczowych regionów przemysłowych w Polsce. W ślad za globalnymi megatrendami, które wyznaczają </w:t>
            </w:r>
            <w:r w:rsidRPr="00EE14D2">
              <w:rPr>
                <w:rFonts w:ascii="Times New Roman" w:eastAsia="Times New Roman" w:hAnsi="Times New Roman" w:cs="Times New Roman"/>
                <w:noProof/>
                <w:color w:val="000000"/>
                <w:sz w:val="20"/>
                <w:szCs w:val="20"/>
              </w:rPr>
              <w:lastRenderedPageBreak/>
              <w:t xml:space="preserve">kierunki transformacji przemysłowej, w regionie inicjowane są procesy prowadzące do transformacji przemysłowej w 3 kluczowych wymiarach. </w:t>
            </w:r>
          </w:p>
          <w:p w14:paraId="53768640"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W ramach DSI 2030 zaprogramowane zostały działania związane z transformacją w kierunku GOZ, Przemysłu 4.0 </w:t>
            </w:r>
          </w:p>
          <w:p w14:paraId="05093559"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i transformacją cyfrową. W DSI 2030 określono cele i działania związane z transformacją gospodarki, tj. w celu strategicznym nr 1 – cel operacyjny 1.2 Wsparcie transformacji cyfrowej </w:t>
            </w:r>
          </w:p>
          <w:p w14:paraId="4D50409E"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i zaawansowanej automatyzacji procesów </w:t>
            </w:r>
          </w:p>
          <w:p w14:paraId="1ACBCA76"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w przedsiębiorstwach -&gt; Działanie: Wspieranie projektów rozwojowych i wdrożeniowych cyfryzacji i zaawansowanej automatyzacji procesów technologicznych i zarządczych </w:t>
            </w:r>
          </w:p>
          <w:p w14:paraId="1722DB46"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w przedsiębiorstwach (w obszarze Inteligentnej Specjalizacji Dolnego Śląska nr 5.) oraz cel 1.3. Wsparcie transformacji procesów przemysłowych w kierunku gospodarki obiegu zamkniętego oraz transformacji energetycznej &gt; Działanie: Wspieranie projektów rozwojowych i wdrożeniowych ukierunkowanych na wdrożenie technologii zasobo- </w:t>
            </w:r>
          </w:p>
          <w:p w14:paraId="2F42CE11"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 xml:space="preserve">i energooszczędnych (w obszarze Inteligentnej Specjalizacji Dolnego Śląska nr 6.)., a także w celu strategicznym nr 4 – Cel operacyjny 4.3 Wzmacnianie kompetencji pracowników na rzecz transformacji gospodarczej -&gt; Działanie: Realizacja szkoleń ukierunkowanych na podnoszenie kompetencji pracowników przedsiębiorstw w obszarach transformacji (Przemysł 4.0, Gospodarka Obiegu Zamkniętego, Życie wspieranie technologią). Ponadto w zapisach nowej strategii, w katalogu uaktualnionych inteligentnych specjalizacji Dolnego Śląska, jako specjalizacje horyzontalne uznano specjalizacje pn. : </w:t>
            </w:r>
          </w:p>
          <w:p w14:paraId="30E84083"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 „Zielony Ład”, w ramach której ujęto podobszar dot. technologii nisko i bezodpadowych zgodnych z filozofią zero waste, technologie poprawiające efektywność energetyczną oraz technologie poprawiające efektywność gospodarowania wodą; </w:t>
            </w:r>
          </w:p>
          <w:p w14:paraId="58FFAF5D"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 „Przemysł 4.0” w ramach której wspierane będą: technologie w zastosowaniach przemysłowych w celu automatyzacji lub robotyzacji produkcji, technologie </w:t>
            </w:r>
          </w:p>
          <w:p w14:paraId="63F77174"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w usługach w celu automatyzacji procesów obsługi klienta </w:t>
            </w:r>
          </w:p>
          <w:p w14:paraId="26C853D9"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 xml:space="preserve">i świadczenia usług oraz technologie stosowane w celu automatyzacji procesów związanych z monitoringiem </w:t>
            </w:r>
          </w:p>
          <w:p w14:paraId="6E45641A"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i ochroną środowiska naturalnego i klimatu.</w:t>
            </w:r>
          </w:p>
          <w:p w14:paraId="771E2317"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Realizacja tych zadań będzie wspierana ze środków europejskich w ramach zaprogramowanych działań </w:t>
            </w:r>
          </w:p>
          <w:p w14:paraId="5A352E0D"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 dokumencie „Fundusze Europejskie dla Dolnego Śląska 2021 – 2027” w ramach realizacji celów 1, 2 i 6 polityki spójności.</w:t>
            </w:r>
          </w:p>
          <w:p w14:paraId="45349CF0"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Niezależnie od działań zaplanowanych na najbliższą przyszłość w aktualizacji DSI2030 w regionie już podejmowane były i są działania wspierające transformację przemysłową. Poniżej kilka przykładów. Od stycznia 2017 r. realizowany jest projekt w ramach programu Interreg Europe pn. „CircE – European regions toward Circular Economy”. Głównym celem projektu jest stworzenie lub aktualizacja dokumentów strategicznych </w:t>
            </w:r>
          </w:p>
          <w:p w14:paraId="0E757277"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w zakresie regionalnych gospodarek o obiegu zamkniętym oraz współpracy w tworzeniu międzyregionalnych „łańcuchów wartości” intensyfikujących współpracę podmiotów z różnych regionów Europy, chcących prowadzić działalność biznesową w poszanowaniu </w:t>
            </w:r>
            <w:r w:rsidRPr="00EE14D2">
              <w:rPr>
                <w:rFonts w:ascii="Times New Roman" w:eastAsia="Times New Roman" w:hAnsi="Times New Roman" w:cs="Times New Roman"/>
                <w:noProof/>
                <w:color w:val="000000"/>
                <w:sz w:val="20"/>
                <w:szCs w:val="20"/>
              </w:rPr>
              <w:lastRenderedPageBreak/>
              <w:t xml:space="preserve">zasad ekologii przemysłowej oraz idei C2C (Cradle to Cradle – „Od kołyski po kołyskę”). W toku realizacji projektu CircE przeprowadzone zostały, we współpracy </w:t>
            </w:r>
          </w:p>
          <w:p w14:paraId="4AB4F973"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z wybraną grupą regionalnych interesariuszy, analizy mające na celu ustalenie regionalnych priorytetów i barier, które mają wpływ na transformację gospodarczą. Doświadczenia z tych działań wsparły formułowanie celu operacyjnych Strategii Rozwoju Województwa Dolnośląskiego 2030. Dnia 29 stycznia 2020 r. przyjęty został przez Zarząd Województwa Dolnośląskiego Plan Wykonawczy dla projektu, który zakłada dwa działania: aktualizację RSI w duchu poszanowania istniejących zasobów i rozwoju gospodarki cyrkularnej oraz przeprowadzenie kampanii edukacyjnej, której głównym tematem będzie GOZ. W ramach kampanii edukacyjnej organizowane są w regionie wydarzenia pod spójnym hasłem „Dolny Śląsk nie marnuje”, ukierunkowane na przekazywanie idei niemarnowania żywności i sposobów zapobiegania marnowaniu w sektorze HoReCa i dolnośląskich instytucjach publicznych (szkoły, urzędy). Jednocześnie, Województwo Dolnośląskie wspiera od lat inicjatywy i </w:t>
            </w:r>
            <w:r w:rsidRPr="00EE14D2">
              <w:rPr>
                <w:rFonts w:ascii="Times New Roman" w:eastAsia="Times New Roman" w:hAnsi="Times New Roman" w:cs="Times New Roman"/>
                <w:noProof/>
                <w:color w:val="000000"/>
                <w:sz w:val="20"/>
                <w:szCs w:val="20"/>
              </w:rPr>
              <w:lastRenderedPageBreak/>
              <w:t xml:space="preserve">projekty służące transformacji regionu w kierunku neutralności klimatycznej. </w:t>
            </w:r>
          </w:p>
          <w:p w14:paraId="1BD28FCA"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W perspektywie finansowej 2014-2020 w ramach RPO WD na wdrażanie gospodarki niskoemisyjnej zaalokowane zostały środki w kwocie 1,9 mld PLN. Były to środki przeznaczone </w:t>
            </w:r>
          </w:p>
          <w:p w14:paraId="77E2F825"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w szczególności na rozwój energetyki rozproszonej, w tym prosumenckiej, likwidację niskiej emisji kominowej </w:t>
            </w:r>
          </w:p>
          <w:p w14:paraId="59569362"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i transportowej, poprawę efektywności energetycznej przedsiębiorstw i sektora mieszkaniowego oraz budynków użyteczności publicznej. Większość środków została już zakontraktowana w ponad 500 realizowanych/ zrealizowanych projektach. Region jest także pionierem w zakresie wsparcia dla koordynatorów certyfikowanych klastrów energii z RPO – komplementarnie do działań Rządu z POIŚ i zgodnie z zapisami Kontraktu Terytorialnego wspieramy generację z OZE </w:t>
            </w:r>
          </w:p>
          <w:p w14:paraId="6960FED3"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w regionie za pośrednictwem klastrów energii. Kreowanie zmian transformacyjnych przez Samorząd Województwa przejawia się też w zaangażowaniu w opracowanie dokumentu strategicznego określającego kierunki wsparcia transformacji energetycznej w regionie do roku 2030 – </w:t>
            </w:r>
            <w:r w:rsidRPr="00EE14D2">
              <w:rPr>
                <w:rFonts w:ascii="Times New Roman" w:eastAsia="Times New Roman" w:hAnsi="Times New Roman" w:cs="Times New Roman"/>
                <w:noProof/>
                <w:color w:val="000000"/>
                <w:sz w:val="20"/>
                <w:szCs w:val="20"/>
              </w:rPr>
              <w:lastRenderedPageBreak/>
              <w:t xml:space="preserve">przygotowywana jest Strategia energetyczna woj. dolnośląskiego 2030, która będzie konsumowała także wyzwania regionalnych planów sprawiedliwej transformacji i będzie podstawą programowania wsparcia w zakresie celu polityki 2 „Zielona Europa” w RPO WD 20212027. Samorząd województwa w ramach realizacji Strategii energetycznej podejmie się roli animatora zmiany </w:t>
            </w:r>
          </w:p>
          <w:p w14:paraId="491CD7E4"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i innowacji w transformacji energetycznej regionu na tyle na ile pozwalają przypisane mu kompetencje (warto zwrócić uwagę, że za politykę energetyczną odpowiada administracja centralna) Wykorzystane zostaną dotychczasowe doświadczenia samorządu we wspieraniu działań na rzecz gospodarki niskoemisyjnej realizowanych przez samorządy lokalne, przedsiębiorstwa energetyczne, klastry energii czy samych mieszkańców. </w:t>
            </w:r>
          </w:p>
          <w:p w14:paraId="72932D9A"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 </w:t>
            </w:r>
          </w:p>
          <w:p w14:paraId="13495CBE"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Ponadto, region zaangażował się w prace nad transformacją węglową – w ramach uczestnictwa w platformie Coal Regions in Transition aktywnie brał udział w dyskusji nad opracowywaniem nowego instrumentu UE – Mechanizmu Sprawiedliwej Transformacji, a w szczególności jego I Filaru – Funduszu </w:t>
            </w:r>
            <w:r w:rsidRPr="00EE14D2">
              <w:rPr>
                <w:rFonts w:ascii="Times New Roman" w:eastAsia="Times New Roman" w:hAnsi="Times New Roman" w:cs="Times New Roman"/>
                <w:noProof/>
                <w:color w:val="000000"/>
                <w:sz w:val="20"/>
                <w:szCs w:val="20"/>
              </w:rPr>
              <w:lastRenderedPageBreak/>
              <w:t xml:space="preserve">Sprawiedliwej Transformacji. Po wejściu w życie Rozporządzenia wprowadzającego FST region  przygotował Terytorialne Plany Sprawiedliwej Transformacji dla subregionu wałbrzyskiego i powiatu zgorzeleckiego, które są przedmiotem negocjacji z KE co do możliwości wsparcia z FST w ramach FEDS 2021-2027. W TPST zaplanowany jest szereg działań do sfinansowania z FST, które docelowo mają przyczynić się do dekarbonizacji regionów węglowych oraz niwelowania negatywnych skutków społeczno-gospodarczo-środowiskowych tego procesu. </w:t>
            </w:r>
          </w:p>
          <w:p w14:paraId="007798CE" w14:textId="77777777" w:rsidR="00F9786F"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Warto też zasygnalizować wsparcie regionu dla transformacji cyfrowej w przedsiębiorstwach. W obecnej perspektywie finansowej projekty badawczo-rozwojowe oraz wdrażające innowacje w ramach specjalizacji ICT były najliczniej reprezentowane. Do tej pory dofinansowano blisko 100 projektów na kwotę ponad 250 mln zł. Od 2021 r. wsparcie dla przedsiębiorstw w obszarze transformacji cyfrowej będzie się odbywać w ramach dwóch specjalizacji horyzontalnych „Życie wspomagane technologią” oraz „Przemysł 4.0”</w:t>
            </w:r>
          </w:p>
          <w:p w14:paraId="59FA9585" w14:textId="072DB7A9" w:rsidR="00644235" w:rsidRPr="00EE14D2" w:rsidRDefault="00F9786F" w:rsidP="00F9786F">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Samorząd województwa Dolnośląskiego jest również zaangażowany w proces </w:t>
            </w:r>
            <w:r w:rsidRPr="00EE14D2">
              <w:rPr>
                <w:rFonts w:ascii="Times New Roman" w:eastAsia="Times New Roman" w:hAnsi="Times New Roman" w:cs="Times New Roman"/>
                <w:noProof/>
                <w:color w:val="000000"/>
                <w:sz w:val="20"/>
                <w:szCs w:val="20"/>
              </w:rPr>
              <w:lastRenderedPageBreak/>
              <w:t>utworzenia i działania Dolnośląskiej Doliny Wodorowej, która została powołana  5 lutego 2022 r. Głównym partnerem biznesowym przedsięwzięcia jest KGHM Polska Miedź S.A. Celem Stowarzyszenia Dolnośląskiej Doliny Wodorowej jest wspieranie rozwoju gospodarki wodorowej, ze szczególnym uwzględnieniem obszaru województwa dolnośląskiego oraz województw sąsiadujących. Przedsięwzięcie zostało opisane w Raporcie stanowiącym załącznik do tabeli.</w:t>
            </w:r>
          </w:p>
        </w:tc>
      </w:tr>
      <w:tr w:rsidR="00644235" w:rsidRPr="00EE14D2" w14:paraId="440FB897" w14:textId="77777777" w:rsidTr="00644235">
        <w:trPr>
          <w:jc w:val="center"/>
        </w:trPr>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BB9A90"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255AC3"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179326"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750E5E"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B505C3"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7. środki służące zacieśnieniu współpracy z partnerami spoza danego państwa członkowskiego w obszarach priorytetowych wspieranych w ramach strategii inteligentnej specjalizacji.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AAECF9"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51CBD8" w14:textId="27F85635"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Poziom krajowy: </w:t>
            </w:r>
          </w:p>
          <w:p w14:paraId="6F2056DB"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Spełnieniem warunku są mechanizmy wskazane w Strategii na rzecz Odpowiedzialnego Rozwoju w celu dot. trwałego wzrostu gospodarczego opartego coraz silniej o wiedzę, dane i doskonałość organizacyjną, a także w projekcie Strategii Produktywności 2030 oraz Krajowej Inteligentnej Specjalizacji (KIS) i Regionalnych Inteligentnych Specjalizacjach (RIS) z uwzględnieniem procesu przedsiębiorczego odkrywania jako kluczowego elementu koncepcji inteligentnej specjalizacji. Minister wł. ds. gospodarki odpowiada za: opracowanie koncepcji, wdrażanie, proces przedsiębiorczego odkrywania, monitorowanie, ewaluację oraz koordynację i monitorowanie KIS i RIS. </w:t>
            </w:r>
            <w:r w:rsidRPr="00EE14D2">
              <w:rPr>
                <w:rFonts w:ascii="Times New Roman" w:eastAsia="Times New Roman" w:hAnsi="Times New Roman" w:cs="Times New Roman"/>
                <w:noProof/>
                <w:color w:val="000000"/>
                <w:sz w:val="20"/>
                <w:szCs w:val="20"/>
              </w:rPr>
              <w:lastRenderedPageBreak/>
              <w:t>Jako element ciągłego procesu przedsiębiorczego odkrywania oraz monitorowania inteligentnych specjalizacji prowadzone są prace związane z aktualizacją dokumentu kierunkowego KIS, kontynuowane są prace związane z rozbudową i zasilaniem danymi narzędzia interaktywnego do monitorowania krajowych i regionalnych inteligentnych specjalizacji oraz dedykowanej strony internetowej smart.gov.pl, a także  przeprowadzane są analizy m.in. dot. zasobów i potencjału technologicznego w jednostkach naukowych , identyfikacji trendów rozwojowych w obszarze technologii, wypracowania metodologii przełożenia klasyfikacji kodów PKD na KIS oraz opracowania metodologii w zakresie map drogowych w obszarach KIS.</w:t>
            </w:r>
          </w:p>
          <w:p w14:paraId="46B0F4F0"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Za najważniejsze transformacje które musi skutecznie przejść polska gospodarka uznano: budowę gospodarki o obiegu zamkniętym, rozwój przemysłu 4.0, cyfryzację przedsiębiorstw i gospodarkę neutralną klimatycznie. </w:t>
            </w:r>
          </w:p>
          <w:p w14:paraId="0DB16BE3"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W każdym z ww. obszarów podejmowanych jest szereg działań opisanych odpowiednio m.in. w  SOR, Mapie GOZ, Polityce Przemysłowej Polski, ustawie o Fundacji Platforma Przemysłu Przyszłości, programach Mój </w:t>
            </w:r>
            <w:r w:rsidRPr="00EE14D2">
              <w:rPr>
                <w:rFonts w:ascii="Times New Roman" w:eastAsia="Times New Roman" w:hAnsi="Times New Roman" w:cs="Times New Roman"/>
                <w:noProof/>
                <w:color w:val="000000"/>
                <w:sz w:val="20"/>
                <w:szCs w:val="20"/>
              </w:rPr>
              <w:lastRenderedPageBreak/>
              <w:t>Prąd i Czyste Powietrze, koncepcji procesu standaryzacji Hubów Innowacji Cyfrowych, Polityce SI, Polityce Danych, koncepcji Szkoły Głównej Kompetencji Cyfrowych oraz Strategii Transformacji do Gospodarki Neutralnej Klimatycznie.</w:t>
            </w:r>
          </w:p>
          <w:p w14:paraId="3146082F" w14:textId="6A84AEFE"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Ponadto w celu spełnienia warunku promowana jest współpraca międzyregionalna i ponadnarodowa w obszarach inteligentnych specjalizacji (np. Partnerstwa S3 przy KE, Interreg, EIT, Horyzont 2020, Innovoucher, TravelGrants, projekty Grupy Wyszehradzkiej, TeamNet, bilateralne projekty akceleracyjne), a także internacjonalizacja polskich firm np.: Umiędzynarodowienie Krajowych Klastrów Kluczowych, Brand, Go to Brand, Poland Prize, Polskie Mosty Technologiczne, Granty na Eurogranty.</w:t>
            </w:r>
          </w:p>
          <w:p w14:paraId="61E642FB"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Informacja o udziale polskich podmiotów m.in. w partnerstwach ponadnarodowych S3 oraz projektach międzynarodowych w ramach programu Horyzont 2020 - Komisja Europejska/Ministerstwo Rozwoju i Technologii/Krajowy Punkt Kontaktowy PR Horyzont 2020</w:t>
            </w:r>
          </w:p>
          <w:p w14:paraId="16BE6BC4" w14:textId="16AB405A"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https://s3platform.jrc.ec.europa.eu/thematic-platforms, https://smart.gov.pl, </w:t>
            </w:r>
            <w:r w:rsidRPr="00EE14D2">
              <w:rPr>
                <w:rFonts w:ascii="Times New Roman" w:eastAsia="Times New Roman" w:hAnsi="Times New Roman" w:cs="Times New Roman"/>
                <w:noProof/>
                <w:color w:val="000000"/>
                <w:sz w:val="20"/>
                <w:szCs w:val="20"/>
              </w:rPr>
              <w:lastRenderedPageBreak/>
              <w:t>https://www.kpk.gov.pl/analizy-i-statystyki</w:t>
            </w:r>
          </w:p>
          <w:p w14:paraId="2238F760"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Konkursy dla przedsiębiorstw uruchamiane w ramach poszczególnych programów w zakresie internacjonalizacji i współpracy międzynarodowej</w:t>
            </w:r>
          </w:p>
          <w:p w14:paraId="7E76E80D"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Ministerstwo Funduszy i Polityki Regionalnej </w:t>
            </w:r>
          </w:p>
          <w:p w14:paraId="32B1342F"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https://www.interregeurope.eu/in-my-country/poland/</w:t>
            </w:r>
          </w:p>
          <w:p w14:paraId="532BB37C"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Krajowy Punkt Kontaktowy PR Horyzont 2020 </w:t>
            </w:r>
          </w:p>
          <w:p w14:paraId="4E916FAB"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https://www.kpk.gov.pl/h2020-i-inne-programy/horyzont-2020</w:t>
            </w:r>
          </w:p>
          <w:p w14:paraId="3C75C1DF"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Ministerstwo Spraw Zagranicznych</w:t>
            </w:r>
          </w:p>
          <w:p w14:paraId="0C9B5E2F"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https://www.visegradfund.org/</w:t>
            </w:r>
          </w:p>
          <w:p w14:paraId="3F78E034"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http://map.visegradfund.org/</w:t>
            </w:r>
          </w:p>
          <w:p w14:paraId="1B3E0E66"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Polska Agencja Rozwoju Przedsiębiorczości</w:t>
            </w:r>
          </w:p>
          <w:p w14:paraId="36BB1AEC"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https://www.parp.gov.pl/component/grants/grants/innovoucher</w:t>
            </w:r>
          </w:p>
          <w:p w14:paraId="4304AE98"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https://www.parp.gov.pl/component/grants/grants/wsparcie-na-utworzenie-partnerstwa</w:t>
            </w:r>
          </w:p>
          <w:p w14:paraId="25AAD569"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https://www.parp.gov.pl/component/grants/grants/Umi%C4%99dzynarodowieni</w:t>
            </w:r>
            <w:r w:rsidRPr="00EE14D2">
              <w:rPr>
                <w:rFonts w:ascii="Times New Roman" w:eastAsia="Times New Roman" w:hAnsi="Times New Roman" w:cs="Times New Roman"/>
                <w:noProof/>
                <w:color w:val="000000"/>
                <w:sz w:val="20"/>
                <w:szCs w:val="20"/>
              </w:rPr>
              <w:lastRenderedPageBreak/>
              <w:t>e%20Krajowych%20Klastr%C3%B3w%20Kluczowych</w:t>
            </w:r>
          </w:p>
          <w:p w14:paraId="25C9EEF8"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https://www.parp.gov.pl/component/grants/grantss?category=5</w:t>
            </w:r>
          </w:p>
          <w:p w14:paraId="4EE1610E"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Polska Agencja Inwestycji i Handlu</w:t>
            </w:r>
          </w:p>
          <w:p w14:paraId="3755426F"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https://www.paih.gov.pl/pmt</w:t>
            </w:r>
          </w:p>
          <w:p w14:paraId="5CE268D3"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Ministerstwo Edukacji i Nauki</w:t>
            </w:r>
          </w:p>
          <w:p w14:paraId="74DC51F2"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https://www.gov.pl/web/nauka/granty-na-granty-promocja-jakosci-iii</w:t>
            </w:r>
          </w:p>
          <w:p w14:paraId="4340B550"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Fundacja na rzecz Nauki Polskiej</w:t>
            </w:r>
          </w:p>
          <w:p w14:paraId="613DD356" w14:textId="24789668"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https://www.fnp.org.pl/oferta/team-net/</w:t>
            </w:r>
          </w:p>
          <w:p w14:paraId="0E0610F0"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Poziom regionalny:</w:t>
            </w:r>
          </w:p>
          <w:p w14:paraId="19C47725"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Dolnośląska Strategia Innowacji 2030 (dokument przyjęty przez Zarząd Województwa Dolnośląskiego 5 stycznia 2021 r. uchwałą nr 3270/VI/21) (https://umwd.dolnyslask.pl/gospodarka/dolnoslaska-strategia-innowacji-2030/  );</w:t>
            </w:r>
          </w:p>
          <w:p w14:paraId="211B8383"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p w14:paraId="3790ED7D"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F3B764" w14:textId="7D0FEF50"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 xml:space="preserve">Poziom krajowy: </w:t>
            </w:r>
          </w:p>
          <w:p w14:paraId="70D35A2E" w14:textId="0F0A5D82"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Kryterium spełnione poprzez:</w:t>
            </w:r>
          </w:p>
          <w:p w14:paraId="773781DB"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Promowanie współpracy międzyregionalnej i ponadnarodowej w obszarach inteligentnych specjalizacji - m.in. Partnerstwa S3 przy KE, Interreg, EIT, Horyzont 2020, Innovoucher, TravelGrants, projekty Grupy Wyszechradzkiej, TeamNet, bilateralne projekty akceleracyjne</w:t>
            </w:r>
          </w:p>
          <w:p w14:paraId="277DA52C"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Instrumenty wsparcia ukierunkowane na internacjonalizację polskich firm wspierające współpracę z partnerami zagranicznymi – m.in.: umiędzynarodowienie Krajowych Klastrów Kluczowych, Brand, Go to Brand, Poland Prize, Polskie Mosty Technologiczne, Granty na Eurogranty</w:t>
            </w:r>
          </w:p>
          <w:p w14:paraId="3E198D59" w14:textId="1A365125"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w:t>
            </w:r>
            <w:r w:rsidRPr="00EE14D2">
              <w:rPr>
                <w:rFonts w:ascii="Times New Roman" w:eastAsia="Times New Roman" w:hAnsi="Times New Roman" w:cs="Times New Roman"/>
                <w:noProof/>
                <w:color w:val="000000"/>
                <w:sz w:val="20"/>
                <w:szCs w:val="20"/>
              </w:rPr>
              <w:tab/>
              <w:t>Planowane instrumenty wsparcia współpracy międzynarodowej w ramach nowej perspektywy finansowej na lata 2021-2027  - m.in. współpraca instytucjonalna w zakresie partnerstw międzynarodowych - wymiana wiedzy i dobrych praktyk, wsparcie tworzenia partnerstw międzynarodowych, wsparcie umiędzynarodowienia przedsiębiorstw</w:t>
            </w:r>
          </w:p>
          <w:p w14:paraId="19CF4F26"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Poziom regionalny:</w:t>
            </w:r>
          </w:p>
          <w:p w14:paraId="3D997896"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Wzmacnianie współpracy międzynarodowej w obszarach inteligentnych specjalizacji Dolnego Śląska to jeden z obszarów priorytetowych Dolnośląskiej Strategii Innowacji 2030. Cel strategiczny 3. Internacjonalizacja Dolnośląskiego Systemu Innowacji obejmuje działania służące zwiększeniu ilości </w:t>
            </w:r>
          </w:p>
          <w:p w14:paraId="43B3EBE2"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i polepszeniu jakości udziału podmiotów z Dolnego Śląska </w:t>
            </w:r>
          </w:p>
          <w:p w14:paraId="686D0B53"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 rynku międzynarodowym.</w:t>
            </w:r>
          </w:p>
          <w:p w14:paraId="3A586145"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 ramach działań operacyjnych planuje się:</w:t>
            </w:r>
          </w:p>
          <w:p w14:paraId="6B98600B"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 xml:space="preserve">wsparcie internacjonalizacji innowacyjnych przedsiębiorstw i marek produktów regionalnych dla przedsiębiorstw poszukujących zagranicznych rynków zbytu dla </w:t>
            </w:r>
            <w:r w:rsidRPr="00EE14D2">
              <w:rPr>
                <w:rFonts w:ascii="Times New Roman" w:eastAsia="Times New Roman" w:hAnsi="Times New Roman" w:cs="Times New Roman"/>
                <w:noProof/>
                <w:color w:val="000000"/>
                <w:sz w:val="20"/>
                <w:szCs w:val="20"/>
              </w:rPr>
              <w:lastRenderedPageBreak/>
              <w:t xml:space="preserve">nowych lub istotnie zmienionych produktów </w:t>
            </w:r>
          </w:p>
          <w:p w14:paraId="4FA966E1"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 tym wsparcie usług doradczych na rzecz internacjonalizacji oraz wsparcie pozyskiwania praw własności przemysłowej za granicą),</w:t>
            </w:r>
          </w:p>
          <w:p w14:paraId="30DC9A55"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 xml:space="preserve">stworzenie spójnego systemu zachęt dla współpracy badawczo-rozwojowej o zasięgu międzynarodowym, </w:t>
            </w:r>
          </w:p>
          <w:p w14:paraId="1A198B7E"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tj. wspieranie i dofinansowanie dla firm lub jednostek badawczo-rozwojowych uczestniczących lub aplikujących do międzynarodowych programów i projektów B+R,</w:t>
            </w:r>
          </w:p>
          <w:p w14:paraId="610927BB"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 xml:space="preserve">zwiększanie aktywności jednostek regionalnych </w:t>
            </w:r>
          </w:p>
          <w:p w14:paraId="37460B4C"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 międzynarodowych sieciach współpracy poprzez dofinansowanie dla firm lub jednostek badawczo-rozwojowych uczestniczących w międzynarodowych sieciach współpracy.</w:t>
            </w:r>
          </w:p>
          <w:p w14:paraId="152C3EB3"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Ponadto jednym z czterech Przedsięwzięć strategicznych DSI 2030 jest wsparcie promocji i internacjonalizacji przedsiębiorstw, w tym promocja gospodarki regionalnej, </w:t>
            </w:r>
          </w:p>
          <w:p w14:paraId="5D6E1591"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w ramach którego wypracowany i wdrożony zostanie system promocji </w:t>
            </w:r>
            <w:r w:rsidRPr="00EE14D2">
              <w:rPr>
                <w:rFonts w:ascii="Times New Roman" w:eastAsia="Times New Roman" w:hAnsi="Times New Roman" w:cs="Times New Roman"/>
                <w:noProof/>
                <w:color w:val="000000"/>
                <w:sz w:val="20"/>
                <w:szCs w:val="20"/>
              </w:rPr>
              <w:lastRenderedPageBreak/>
              <w:t xml:space="preserve">przedsiębiorstw i jednostek B+R oraz osiągnięć na polu innowacji. </w:t>
            </w:r>
          </w:p>
          <w:p w14:paraId="633E52E3"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p>
          <w:p w14:paraId="68FEA7ED"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Samorząd województwa dolnośląskiego od lat jest zaangażowany w realizację projektów wzmacniających współpracę międzynarodową w obszarach inteligentnych specjalizacji. Należałoby wymienić takie projekty jak: Trails </w:t>
            </w:r>
          </w:p>
          <w:p w14:paraId="0C7D2AA8"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i Trails +, Trans3net, Climatic Town, Mine Life, Remix, CircE </w:t>
            </w:r>
          </w:p>
          <w:p w14:paraId="38DA36AA"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i projekt dot. promocji gospodarczej, który był dedykowany firmom z obszarów IS jak również zaangażowanie w inicjatywę ERRIN (Europejska Sieć Współpracy Regionów na rzecz Badań </w:t>
            </w:r>
          </w:p>
          <w:p w14:paraId="266FE41D"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i Innowacji).</w:t>
            </w:r>
          </w:p>
          <w:p w14:paraId="2D8EE389"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Działania na rzecz wzmocnienia współpracy międzynarodowej w obszarach inteligentnych specjalizacji są związane także </w:t>
            </w:r>
          </w:p>
          <w:p w14:paraId="5DBBBEAF"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z projektem PPO opisanym w ramach kryterium nr 4.</w:t>
            </w:r>
          </w:p>
          <w:p w14:paraId="068F1718"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W ramach tego projektu planowana jest organizacja </w:t>
            </w:r>
          </w:p>
          <w:p w14:paraId="3A75AD30"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2 wyjazdów zagranicznych do Brukseli dla osób odpowiedzialnych za współpracę nauki i biznesu oraz transfer technologii na wydarzenia (konferencje i </w:t>
            </w:r>
            <w:r w:rsidRPr="00EE14D2">
              <w:rPr>
                <w:rFonts w:ascii="Times New Roman" w:eastAsia="Times New Roman" w:hAnsi="Times New Roman" w:cs="Times New Roman"/>
                <w:noProof/>
                <w:color w:val="000000"/>
                <w:sz w:val="20"/>
                <w:szCs w:val="20"/>
              </w:rPr>
              <w:lastRenderedPageBreak/>
              <w:t xml:space="preserve">warsztaty) organizowane w ramach działalności sieci ERRIN oraz </w:t>
            </w:r>
          </w:p>
          <w:p w14:paraId="4F81F07D"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2 wyjazdów na wydarzenia organizowane w jednym </w:t>
            </w:r>
          </w:p>
          <w:p w14:paraId="46F3D462"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z regionów granicznych (Saksonia, Kraj Liberecki, Kraj Ustecki). Wydarzenia dotyczyć będą współpracy w obszarach zidentyfikowanych w ramach regionalnych inteligentnych specjalizacji, ze szczególnym uwzględnieniem współpracy </w:t>
            </w:r>
          </w:p>
          <w:p w14:paraId="13279FCD"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 ramach Przemysłu 4.0 i Gospodarki Obiegu Zamkniętego (GOZ)..</w:t>
            </w:r>
          </w:p>
          <w:p w14:paraId="722A3A09"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Warto zwrócić także uwagę na wieloletnie relacje gospodarcze jakie rozwijane są z zachodnim sąsiadem Dolnego Śląska – Saksonią. Współpraca pomiędzy obu regionami  trwa od 1999 roku. Istotnym instrumentem tej wieloletniej współpracy jest powołana w 2000 roku Dolnośląsko-Saksońska Grupa Robocza, która ma za zadanie koordynację działań na szczeblu operacyjnym. Jedna z podgrup tej Grupy zajmuje się współpracą gospodarczą – corocznie podczas spotkań określane są priorytety dla kooperacji gospodarczej. </w:t>
            </w:r>
          </w:p>
          <w:p w14:paraId="59015ECF"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UMWD angażuje się we współpracę zagraniczną związaną </w:t>
            </w:r>
          </w:p>
          <w:p w14:paraId="249F08A3"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z inteligentnymi specjalizacjami także jako region modelowy, mogący </w:t>
            </w:r>
            <w:r w:rsidRPr="00EE14D2">
              <w:rPr>
                <w:rFonts w:ascii="Times New Roman" w:eastAsia="Times New Roman" w:hAnsi="Times New Roman" w:cs="Times New Roman"/>
                <w:noProof/>
                <w:color w:val="000000"/>
                <w:sz w:val="20"/>
                <w:szCs w:val="20"/>
              </w:rPr>
              <w:lastRenderedPageBreak/>
              <w:t xml:space="preserve">pochwalić się dobrymi praktykami zarówno w zakresie identyfikowania inteligentnych specjalizacji jak i wspierania ich rozwoju. Na podstawie współpracy z Ministerstwem Funduszy i Polityki Regionalnej, Wydział Rozwoju Gospodarczego UMWD wspiera regiony ukraińskie w tworzeniu dokumentów strategicznych w zakresie innowacyjności i inteligentnych specjalizacji. W lipcu i listopadzie 2019 roku przedstawiciele Wydziału prowadzili warsztaty oraz brali udział w konferencji „Smart specialisation: the result of cooperation between authorities, business and science”, która odbyła się w Kijowie. W ramach konferencji i warsztatów zostały przedstawione doświadczenia w programowaniu, wdrażaniu i ewaluacji inteligentnych specjalizacji na Dolnym Śląsku. W grudniu 2020 r. przedstawiciele Wydziału prowadzili również warsztaty wirtualne dla przedstawicieli wybranych regionów ukraińskich, na których dzielili się swoimi doświadczeniami w procesie aktualizacji dokumentów strategicznych, projektowaniu Procesu Przedsiębiorczego Odkrywania na Dolnym Śląsku </w:t>
            </w:r>
          </w:p>
          <w:p w14:paraId="041B1C1A"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i zasad oraz efektów wydatkowania środków europejskich </w:t>
            </w:r>
          </w:p>
          <w:p w14:paraId="1F11BE7B"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 xml:space="preserve">w Polsce i w regionie przeznaczonych na wspieranie rozwoju innowacyjnej gospodarki. Ponadto w ramach projektu Ministerstwa Funduszy i Polityki Regionalnej (MFiPR) pn. „Wzrost konkurencyjności gruzińskich regionów i rozwój przedsiębiorczości” współfinansowanego ze środków polskiej współpracy rozwojowej Ministerstwa Spraw Zagranicznych </w:t>
            </w:r>
          </w:p>
          <w:p w14:paraId="06C52E88"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w kwietniu 2022 roku, przedstawicielka Wydziału Rozwoju Gospodarczego, w ramach specjalnych warsztatów,  zaprezentowała Proces Przedsiębiorczego Odkrywania, w tym praktyczną wiedzę w zakresie  regionalnych doświadczeń </w:t>
            </w:r>
          </w:p>
          <w:p w14:paraId="5596D393"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w zakresie programowania i wdrażania Regionalnej Strategii Innowacji RIS3. Delacja gruzińska potwierdziła, że zdobyta wiedza posłuży im długofalowo w przyciąganiu inwestorów </w:t>
            </w:r>
          </w:p>
          <w:p w14:paraId="163F82C6" w14:textId="77777777" w:rsidR="00E3185B"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w sposób bardziej ukierunkowany, głownie dzięki wskazówkom związanym z planowaniem obszarów inteligentnych specjalizacji w poszczególnych regionach. Delegacja gruzińska wskazała konieczność kontynuacji szkoleń i wymiany praktycznych doświadczeń, które przybliżą gruzińskie regiony, do warunków wskazanych przez KE, jakie </w:t>
            </w:r>
            <w:r w:rsidRPr="00EE14D2">
              <w:rPr>
                <w:rFonts w:ascii="Times New Roman" w:eastAsia="Times New Roman" w:hAnsi="Times New Roman" w:cs="Times New Roman"/>
                <w:noProof/>
                <w:color w:val="000000"/>
                <w:sz w:val="20"/>
                <w:szCs w:val="20"/>
              </w:rPr>
              <w:lastRenderedPageBreak/>
              <w:t xml:space="preserve">muszą zostać spełnione przez ten kraj, aby móc ubiegać się </w:t>
            </w:r>
          </w:p>
          <w:p w14:paraId="07362AAC" w14:textId="1D88ADA3" w:rsidR="00644235" w:rsidRPr="00EE14D2" w:rsidRDefault="00E3185B" w:rsidP="00E3185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o akcesję do Wspólnoty.</w:t>
            </w:r>
          </w:p>
        </w:tc>
      </w:tr>
      <w:tr w:rsidR="00644235" w:rsidRPr="00EE14D2" w14:paraId="4575022E" w14:textId="77777777" w:rsidTr="00644235">
        <w:trPr>
          <w:jc w:val="center"/>
        </w:trPr>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2943DC"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2.1. Ramy strategiczne polityki na rzecz wsparcia renowacji budynków pod kątem efektywności energetycznej budynków mieszkalnych i niemieszkalnych</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1D21F2"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p w14:paraId="54ABFE48"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EFRR</w:t>
            </w:r>
          </w:p>
          <w:p w14:paraId="6546E0ED"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2FDCF4"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p w14:paraId="263C7C52"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RSO2.1. Wspieranie efektywności energetycznej i redukcji emisji gazów cieplarnianych</w:t>
            </w:r>
          </w:p>
          <w:p w14:paraId="797A1D0B"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B9253B"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Tak</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D63A8D"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1. Przyjęcie krajowej długoterminowej strategii renowacji na rzecz wsparcia renowacji krajowych zasobów budynków mieszkalnych i niemieszkalnych, zgodnie z wymogami dyrektywy Parlamentu Europejskiego i Rady (UE) 2010/31/UE; strategia ta:</w:t>
            </w:r>
          </w:p>
          <w:p w14:paraId="4690FF33"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a) zakłada szacunkowe cele pośrednie na lata 2030, 2040 i 2050;</w:t>
            </w:r>
          </w:p>
          <w:p w14:paraId="439B2869"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b) przedstawia indykatywny zarys zasobów finansowych na wspieranie realizacji strategii;</w:t>
            </w:r>
          </w:p>
          <w:p w14:paraId="326A18AA"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c) określa skuteczne mechanizmy promowania inwestycji w renowację budynków.</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410767"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0F117A" w14:textId="77777777" w:rsidR="00D60321" w:rsidRPr="00EE14D2" w:rsidRDefault="00D60321" w:rsidP="00D60321">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Spełnienie warunku stanowi Długoterminowa strategia renowacji budynków (DSRB) jako wymóg wynikający z art. 2a dyrektywy 2010/31/UE z dnia 19 maja 2010 r. w sprawie charakterystyki energetycznej budynków. W zakresie kryterium 2 dotyczącego działań na rzecz poprawy efektywności energetycznej w celu osiągnięcia wymaganych oszczędności energii warunek należy uznać za spełniony w oparciu o przekazany do Komisji Europejskiej w dniu 30 grudnia 2019 r. Krajowy plan na rzecz energii i klimatu na lata 2021-2030. </w:t>
            </w:r>
          </w:p>
          <w:p w14:paraId="731E34EF" w14:textId="77777777" w:rsidR="00D60321" w:rsidRPr="00EE14D2" w:rsidRDefault="00D60321" w:rsidP="00D60321">
            <w:pPr>
              <w:spacing w:before="100" w:after="0" w:line="240" w:lineRule="auto"/>
              <w:rPr>
                <w:rFonts w:ascii="Times New Roman" w:eastAsia="Times New Roman" w:hAnsi="Times New Roman" w:cs="Times New Roman"/>
                <w:noProof/>
                <w:color w:val="000000"/>
                <w:sz w:val="20"/>
                <w:szCs w:val="20"/>
              </w:rPr>
            </w:pPr>
          </w:p>
          <w:p w14:paraId="68E196D4" w14:textId="77777777" w:rsidR="00D60321" w:rsidRPr="00EE14D2" w:rsidRDefault="00D60321" w:rsidP="00D60321">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Link do dokumentu:</w:t>
            </w:r>
          </w:p>
          <w:p w14:paraId="78D29CBA" w14:textId="31643356" w:rsidR="00D60321" w:rsidRPr="00EE14D2" w:rsidRDefault="00D60321" w:rsidP="00D60321">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https://www.gov.pl/attachment/64841ec3-1e9c-49d9-85f7-2a58bead36b2.</w:t>
            </w:r>
          </w:p>
          <w:p w14:paraId="408D18D1"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FDD4C7"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Długoterminowa strategia renowacji budynków wyznacza cele pośrednie na lata 2030, 2040 i 2050, które zostały określone w scenariuszu rekomendowanym renowacji budynków, a także przedstawia analizę różnych wariantów realizacji renowacji: 1. scenariusz szybkiej i głębokiej termomodernizacji, 2. scenariusz termomodernizacji etapowej, 3. scenariusz rekomendowany (rozdział 9). Ponadto, zawiera szczegółowe zestawienie krajowych polityk oraz narzędzi finansowych wspierających renowację budynków, do których przedstawiono wykaz środków budżetowych (rozdział 5).</w:t>
            </w:r>
          </w:p>
          <w:p w14:paraId="47D8D8BE"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Dodatkowo DSRB zawiera orientacyjną skalę wsparcia renowacji budynków (rozdział 9), oraz wskazuje mechanizmy ułatwiające inwestorem podejmowanie i przeprowadzanie renowacji budynków (rozdział 8). DSRB zawiera wytyczne w zakresie dalszych działań dotyczących wsparcia renowacji budynków w Polsce. DSRB poza wypełnieniem wymogów wynikających z warunku 2.1, spełnia również wymagania nałożone art. 2a dyrektywy 2010/31/UE.</w:t>
            </w:r>
          </w:p>
          <w:p w14:paraId="64FFD400"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r>
      <w:tr w:rsidR="00644235" w:rsidRPr="00EE14D2" w14:paraId="221E2C77" w14:textId="77777777" w:rsidTr="00644235">
        <w:trPr>
          <w:jc w:val="center"/>
        </w:trPr>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E1740E"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2E12A7"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8E7B25"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16F230"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55FAAD"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2. Działania na rzecz poprawy efektywności energetycznej w celu osiągnięcia wymaganych oszczędności energii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7E6D28"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917410" w14:textId="77777777" w:rsidR="00D60321" w:rsidRPr="00EE14D2" w:rsidRDefault="00D60321" w:rsidP="00D60321">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Spełnienie warunku stanowi Długoterminowa strategia renowacji budynków (DSRB) jako wymóg wynikający z art. 2a dyrektywy 2010/31/UE z dnia 19 maja 2010 r. w sprawie charakterystyki energetycznej budynków. W zakresie kryterium 2 dotyczącego działań na rzecz poprawy efektywności energetycznej w celu osiągnięcia wymaganych oszczędności energii warunek należy uznać za spełniony w oparciu o przekazany do Komisji Europejskiej w dniu 30 grudnia 2019 r. Krajowy plan na rzecz energii i klimatu na lata 2021-2030. </w:t>
            </w:r>
          </w:p>
          <w:p w14:paraId="501E8F8F" w14:textId="77777777" w:rsidR="00D60321" w:rsidRPr="00EE14D2" w:rsidRDefault="00D60321" w:rsidP="00D60321">
            <w:pPr>
              <w:spacing w:before="100" w:after="0" w:line="240" w:lineRule="auto"/>
              <w:rPr>
                <w:rFonts w:ascii="Times New Roman" w:eastAsia="Times New Roman" w:hAnsi="Times New Roman" w:cs="Times New Roman"/>
                <w:noProof/>
                <w:color w:val="000000"/>
                <w:sz w:val="20"/>
                <w:szCs w:val="20"/>
              </w:rPr>
            </w:pPr>
          </w:p>
          <w:p w14:paraId="7D8A2C69" w14:textId="77777777" w:rsidR="00644235" w:rsidRPr="00EE14D2" w:rsidRDefault="00D60321" w:rsidP="00D60321">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Link do dokumentu:</w:t>
            </w:r>
          </w:p>
          <w:p w14:paraId="7514FCFF" w14:textId="18FABC7A" w:rsidR="00D60321" w:rsidRPr="00EE14D2" w:rsidRDefault="00D60321" w:rsidP="00D60321">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https://www.gov.pl/web/aktywa-panstwowe/krajowy-plan-na-rzecz-energii-i-klimatu-na-lata-2021-2030-przekazany-do-ke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3AB74D"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Kryterium dotyczące działań na rzecz poprawy efektywności energetycznej w celu osiągnięcia wymaganych oszczędności energii należy uznać za spełnione w oparciu o przekazany do Komisji Europejskiej w dniu 30 grudnia 2019 r. Krajowy plan na rzecz energii i klimatu na lata 2021-2030. Ponadto, w dniu 16 czerwca 2021 r., za pośrednictwem Stałego Przedstawiciela RP przy UE, przekazano do Dyrekcji Generalnej ds. Energii (DG ENER) Komisji Europejskiej dokument pn. Informacja w sprawie metod i środków stosowanych w Polsce służących wdrożeniu art. 7, 7a i 7b dyrektywy 2012/27/UE w sprawie efektywności energetycznej - zawierający opis szczegółowej metody funkcjonowania systemów zobowiązujących do efektywności energetycznej oraz alternatywnych środków z dziedziny polityki, o których mowa w art. 7a oraz 7b ww. dyrektywy. W wymienionych dokumentach zawarto informacje na temat działań podjętych i planowanych na rzecz poprawy efektywności energetycznej w celu osiągnięcia wymaganych oszczędności energii, w tym m.in. łącznej kwoty wymaganych oszczędności w zakresie końcowego </w:t>
            </w:r>
            <w:r w:rsidRPr="00EE14D2">
              <w:rPr>
                <w:rFonts w:ascii="Times New Roman" w:eastAsia="Times New Roman" w:hAnsi="Times New Roman" w:cs="Times New Roman"/>
                <w:noProof/>
                <w:color w:val="000000"/>
                <w:sz w:val="20"/>
                <w:szCs w:val="20"/>
              </w:rPr>
              <w:lastRenderedPageBreak/>
              <w:t>wykorzystania energii w terminie do 31 grudnia 2030 r.</w:t>
            </w:r>
          </w:p>
          <w:p w14:paraId="0496D7C6"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p w14:paraId="29E06F65"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r>
      <w:tr w:rsidR="00644235" w:rsidRPr="00EE14D2" w14:paraId="6271509E" w14:textId="77777777" w:rsidTr="00644235">
        <w:trPr>
          <w:jc w:val="center"/>
        </w:trPr>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9CA299"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lastRenderedPageBreak/>
              <w:t>2.2. Zarządzanie w sektorze energetycznym</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16D1D3"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p>
          <w:p w14:paraId="147C6A71"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EFRR</w:t>
            </w:r>
          </w:p>
          <w:p w14:paraId="040C1BEA"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978F96"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p w14:paraId="546C5471"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RSO2.1. Wspieranie efektywności energetycznej i redukcji emisji gazów cieplarnianych</w:t>
            </w:r>
            <w:r w:rsidRPr="00EE14D2">
              <w:rPr>
                <w:rFonts w:ascii="Times New Roman" w:eastAsia="Times New Roman" w:hAnsi="Times New Roman" w:cs="Times New Roman"/>
                <w:noProof/>
                <w:color w:val="000000"/>
                <w:sz w:val="20"/>
                <w:szCs w:val="20"/>
              </w:rPr>
              <w:br/>
              <w:t>RSO2.2. Wspieranie energii odnawialnej zgodnie z dyrektywą (UE) 2018/2001 w sprawie energii odnawialnej[1], w tym określonymi w niej kryteriami zrównoważonego rozwoju</w:t>
            </w:r>
          </w:p>
          <w:p w14:paraId="5AF062EB"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0FB27A"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Tak</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3EDBBF"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Przedłożenie Komisji zintegrowanego krajowego planu w dziedzinie energii i klimatu zgodnie z art. 3 rozporządzenia (UE) 2018/1999 i z zapewnieniem spójności z określonymi w porozumieniu paryskim długoterminowymi założeniami dotyczącymi redukcji emisji gazów cieplarnianych; plan ten obejmuje:</w:t>
            </w:r>
          </w:p>
          <w:p w14:paraId="3280F7AB"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1. wszystkie elementy wymagane we wzorze przedstawionym w załączniku I do rozporządzenia (UE) 2018/1999;</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AA2753"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DAA5FF" w14:textId="7F2D6AF2" w:rsidR="00CF1C95" w:rsidRPr="00EE14D2" w:rsidRDefault="00CF1C95" w:rsidP="00CF1C95">
            <w:pPr>
              <w:spacing w:before="100" w:after="0" w:line="240" w:lineRule="auto"/>
              <w:rPr>
                <w:rFonts w:ascii="Times New Roman" w:eastAsia="Times New Roman" w:hAnsi="Times New Roman" w:cs="Times New Roman"/>
                <w:noProof/>
                <w:color w:val="000000"/>
                <w:sz w:val="20"/>
                <w:szCs w:val="20"/>
              </w:rPr>
            </w:pPr>
          </w:p>
          <w:p w14:paraId="541F2B6F" w14:textId="77777777" w:rsidR="00CF1C95" w:rsidRPr="00EE14D2" w:rsidRDefault="00CF1C95" w:rsidP="00CF1C9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Przekazanie Komisji Europejskiej dn. 30 grudnia 2019 r. Krajowego planu na rzecz energii i klimatu na lata 2021-2030 (KPEiK), przyjętego przez Komitet do Spraw Europejskich na posiedzeniu 18 grudnia 2019 r., wypełnia obowiązek nałożony na Polskę przepisami rozporządzenia Parlamentu Europejskiego i Rady (UE) 2018/1999 z dnia 11 grudnia 2018 r. w sprawie zarządzania unią energetyczną i działaniami w dziedzinie klimatu. Informacja o przekazaniu KPEiK Komisji Europejskiej w dniu 30 grudnia 2019 r., została przyjęta przez Radę Ministrów dnia 28 czerwca 2021 r. </w:t>
            </w:r>
          </w:p>
          <w:p w14:paraId="4AD22EA5" w14:textId="77777777" w:rsidR="00CF1C95" w:rsidRPr="00EE14D2" w:rsidRDefault="00CF1C95" w:rsidP="00CF1C9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KPEiK pozostaje spójny ze Strategią zrównoważonego rozwoju transportu do 2030 roku, Polityką ekologiczną Państwa 2030, Strategią zrównoważonego rozwoju wsi, rolnictwa i rybactwa 2030 oraz uwzględnia założeniami Polityki energetycznej Polski do 2040 r. KPEiK przedstawia założenia i cele oraz polityki i działania na rzecz realizacji 5 </w:t>
            </w:r>
            <w:r w:rsidRPr="00EE14D2">
              <w:rPr>
                <w:rFonts w:ascii="Times New Roman" w:eastAsia="Times New Roman" w:hAnsi="Times New Roman" w:cs="Times New Roman"/>
                <w:noProof/>
                <w:color w:val="000000"/>
                <w:sz w:val="20"/>
                <w:szCs w:val="20"/>
              </w:rPr>
              <w:lastRenderedPageBreak/>
              <w:t>wymiarów unii energetycznej: Bezpieczeństwa energetycznego, Wewnętrznego rynku energii, Efektywności energetycznej, Obniżenia emisyjności, Badań naukowych, innowacji i konkurencyjności.</w:t>
            </w:r>
          </w:p>
          <w:p w14:paraId="7C544A4D" w14:textId="77777777" w:rsidR="00CF1C95" w:rsidRPr="00EE14D2" w:rsidRDefault="00CF1C95" w:rsidP="00CF1C9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KPEiK wyznacza cele klimatyczno-energetyczne na 2030 r. .m.in.:</w:t>
            </w:r>
          </w:p>
          <w:p w14:paraId="48B36E6C" w14:textId="77777777" w:rsidR="00CF1C95" w:rsidRPr="00EE14D2" w:rsidRDefault="00CF1C95" w:rsidP="00CF1C9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7% redukcji emisji gazów cieplarnianych w sektorach nieobjętych systemem ETS w porównaniu do poziomu w roku 2005,</w:t>
            </w:r>
          </w:p>
          <w:p w14:paraId="26A00837" w14:textId="77777777" w:rsidR="00CF1C95" w:rsidRPr="00EE14D2" w:rsidRDefault="00CF1C95" w:rsidP="00CF1C9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21-23% udziału OZE w finalnym zużyciu energii brutto (cel 23% będzie możliwy do osiągnięcia w sytuacji przyznania Polsce dodatkowych środków unijnych, w tym przeznaczonych na sprawiedliwą transformację), uwzględniając: 14% udziału OZE w transporcie i roczny wzrost udziału OZE w ciepłownictwie i chłodnictwie o 1,1 pkt. proc. średniorocznie.</w:t>
            </w:r>
          </w:p>
          <w:p w14:paraId="6467FDCB" w14:textId="77777777" w:rsidR="00CF1C95" w:rsidRPr="00EE14D2" w:rsidRDefault="00CF1C95" w:rsidP="00CF1C9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wzrost efektywności energetycznej o 23% w porównaniu z prognozami PRIMES2007,</w:t>
            </w:r>
          </w:p>
          <w:p w14:paraId="04805075" w14:textId="77777777" w:rsidR="00CF1C95" w:rsidRPr="00EE14D2" w:rsidRDefault="00CF1C95" w:rsidP="00CF1C9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redukcję do 56-60% udziału węgla w produkcji energii elektrycznej.</w:t>
            </w:r>
          </w:p>
          <w:p w14:paraId="499B47B5" w14:textId="77777777" w:rsidR="00CF1C95" w:rsidRPr="00EE14D2" w:rsidRDefault="00CF1C95" w:rsidP="00CF1C95">
            <w:pPr>
              <w:spacing w:before="100" w:after="0" w:line="240" w:lineRule="auto"/>
              <w:rPr>
                <w:rFonts w:ascii="Times New Roman" w:eastAsia="Times New Roman" w:hAnsi="Times New Roman" w:cs="Times New Roman"/>
                <w:noProof/>
                <w:color w:val="000000"/>
                <w:sz w:val="20"/>
                <w:szCs w:val="20"/>
              </w:rPr>
            </w:pPr>
          </w:p>
          <w:p w14:paraId="651AD53A" w14:textId="77777777" w:rsidR="00CF1C95" w:rsidRPr="00EE14D2" w:rsidRDefault="00CF1C95" w:rsidP="00CF1C9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Link do dokumentu:</w:t>
            </w:r>
          </w:p>
          <w:p w14:paraId="5172F02E" w14:textId="77777777" w:rsidR="00CF1C95" w:rsidRPr="00EE14D2" w:rsidRDefault="00CF1C95" w:rsidP="00CF1C9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https://www.gov.pl/web/aktywa-panstwowe/krajowy-plan-na-rzecz-energii-i-klimatu-na-lata-2021-2030-przekazany-do-ke</w:t>
            </w:r>
          </w:p>
          <w:p w14:paraId="31FF6861" w14:textId="77777777" w:rsidR="00644235" w:rsidRPr="00EE14D2" w:rsidRDefault="00644235" w:rsidP="00CF1C95">
            <w:pPr>
              <w:spacing w:before="100" w:after="0" w:line="240" w:lineRule="auto"/>
              <w:rPr>
                <w:rFonts w:ascii="Times New Roman" w:eastAsia="Times New Roman" w:hAnsi="Times New Roman" w:cs="Times New Roman"/>
                <w:noProof/>
                <w:color w:val="000000"/>
                <w:sz w:val="20"/>
                <w:szCs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5413C7"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KPEiK zawiera działania na rzecz realizacji 5 wymiarów unii energetycznej: Bezpieczeństwa energetycznego, Wewnętrznego rynku energii, Efektywności energetycznej, Obniżenia emisyjności, Badań naukowych, innowacji i konkurencyjności.</w:t>
            </w:r>
          </w:p>
          <w:p w14:paraId="6A877828"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KPEiK wyznacza cele klimatyczno-energetyczne na 2030 r. :</w:t>
            </w:r>
          </w:p>
          <w:p w14:paraId="6A197F94"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7% redukcji emisji gazów cieplarnianych w sektorach nieobjętych systemem ETS w porównaniu do 2005 r.,</w:t>
            </w:r>
          </w:p>
          <w:p w14:paraId="6F4043EE"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21-23% udziału OZE w finalnym zużyciu energii brutto (cel 23% możliwy do osiągnięcia dzięki dodatkowym środkom unijnych, w tym na sprawiedliwą transformację), uwzględniając: 14% udziału OZE w transporcie i roczny wzrost udziału OZE w ciepłownictwie i chłodnictwie o 1,1 pkt. proc. średniorocznie.</w:t>
            </w:r>
          </w:p>
          <w:p w14:paraId="0F7AE246"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wzrost efektywności energetycznej o 23% w porównaniu z prognozami PRIMES2007,</w:t>
            </w:r>
          </w:p>
          <w:p w14:paraId="78473E9D"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w:t>
            </w:r>
            <w:r w:rsidRPr="00EE14D2">
              <w:rPr>
                <w:rFonts w:ascii="Times New Roman" w:eastAsia="Times New Roman" w:hAnsi="Times New Roman" w:cs="Times New Roman"/>
                <w:noProof/>
                <w:color w:val="000000"/>
                <w:sz w:val="20"/>
                <w:szCs w:val="20"/>
              </w:rPr>
              <w:tab/>
              <w:t>redukcję do 56-60% udziału węgla w produkcji energii elektrycznej</w:t>
            </w:r>
          </w:p>
          <w:p w14:paraId="603A0D29"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Krajowe założenia i cele polskiej polityki energetyczno-klimatycznej szczegółowo opisane zostały w rozdziale drugim dokumentu, natomiast rozdział trzeci wskazuje polityki i środki mające służyć ich realizacji. Analizę skutków planowanych polityk i środków przedstawiono w Załączniku nr 2 do KPEiK. </w:t>
            </w:r>
          </w:p>
          <w:p w14:paraId="2E17CF1D"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r>
      <w:tr w:rsidR="00644235" w:rsidRPr="00EE14D2" w14:paraId="4C54B2D1" w14:textId="77777777" w:rsidTr="00644235">
        <w:trPr>
          <w:jc w:val="center"/>
        </w:trPr>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2EA95F"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24718A"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246E4F"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A8A8DC"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62E9CC"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2. zarys planowanych zasobów i mechanizmów finansowych w odniesieniu do środków promujących energię niskoemisyjną. </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B003D5"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CF3D30" w14:textId="77777777" w:rsidR="00CF1C95" w:rsidRPr="00EE14D2" w:rsidRDefault="00CF1C95" w:rsidP="00CF1C9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Spełniony</w:t>
            </w:r>
          </w:p>
          <w:p w14:paraId="746B2883" w14:textId="77777777" w:rsidR="00CF1C95" w:rsidRPr="00EE14D2" w:rsidRDefault="00CF1C95" w:rsidP="00CF1C9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Przekazanie Komisji Europejskiej dn. 30 grudnia 2019 r. Krajowego planu na rzecz energii i klimatu na lata 2021-2030 (KPEiK), przyjętego przez Komitet do Spraw Europejskich na posiedzeniu 18 grudnia 2019 r., wypełnia obowiązek nałożony na Polskę przepisami rozporządzenia Parlamentu Europejskiego i Rady (UE) 2018/1999 z dnia 11 grudnia 2018 r. w sprawie zarządzania unią energetyczną i działaniami w dziedzinie klimatu. Informacja o przekazaniu KPEiK Komisji Europejskiej w dniu 30 grudnia 2019 r., została przyjęta przez Radę Ministrów dnia 28 czerwca 2021 r. </w:t>
            </w:r>
          </w:p>
          <w:p w14:paraId="4DFE0DC5" w14:textId="77777777" w:rsidR="00CF1C95" w:rsidRPr="00EE14D2" w:rsidRDefault="00CF1C95" w:rsidP="00CF1C9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KPEiK pozostaje spójny ze Strategią zrównoważonego rozwoju transportu do 2030 roku, Polityką ekologiczną Państwa 2030, Strategią zrównoważonego rozwoju wsi, rolnictwa i rybactwa 2030 oraz uwzględnia założeniami Polityki energetycznej Polski do 2040 r. KPEiK przedstawia założenia i cele oraz </w:t>
            </w:r>
            <w:r w:rsidRPr="00EE14D2">
              <w:rPr>
                <w:rFonts w:ascii="Times New Roman" w:eastAsia="Times New Roman" w:hAnsi="Times New Roman" w:cs="Times New Roman"/>
                <w:noProof/>
                <w:color w:val="000000"/>
                <w:sz w:val="20"/>
                <w:szCs w:val="20"/>
              </w:rPr>
              <w:lastRenderedPageBreak/>
              <w:t>polityki i działania na rzecz realizacji 5 wymiarów unii energetycznej: Bezpieczeństwa energetycznego, Wewnętrznego rynku energii, Efektywności energetycznej, Obniżenia emisyjności, Badań naukowych, innowacji i konkurencyjności.</w:t>
            </w:r>
          </w:p>
          <w:p w14:paraId="266312DD" w14:textId="77777777" w:rsidR="00CF1C95" w:rsidRPr="00EE14D2" w:rsidRDefault="00CF1C95" w:rsidP="00CF1C9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KPEiK wyznacza cele klimatyczno-energetyczne na 2030 r. .m.in.:</w:t>
            </w:r>
          </w:p>
          <w:p w14:paraId="41D76906" w14:textId="77777777" w:rsidR="00CF1C95" w:rsidRPr="00EE14D2" w:rsidRDefault="00CF1C95" w:rsidP="00CF1C9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7% redukcji emisji gazów cieplarnianych w sektorach nieobjętych systemem ETS w porównaniu do poziomu w roku 2005,</w:t>
            </w:r>
          </w:p>
          <w:p w14:paraId="7FE4E29E" w14:textId="77777777" w:rsidR="00CF1C95" w:rsidRPr="00EE14D2" w:rsidRDefault="00CF1C95" w:rsidP="00CF1C9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21-23% udziału OZE w finalnym zużyciu energii brutto (cel 23% będzie możliwy do osiągnięcia w sytuacji przyznania Polsce dodatkowych środków unijnych, w tym przeznaczonych na sprawiedliwą transformację), uwzględniając: 14% udziału OZE w transporcie i roczny wzrost udziału OZE w ciepłownictwie i chłodnictwie o 1,1 pkt. proc. średniorocznie.</w:t>
            </w:r>
          </w:p>
          <w:p w14:paraId="0AD6C6A1" w14:textId="77777777" w:rsidR="00CF1C95" w:rsidRPr="00EE14D2" w:rsidRDefault="00CF1C95" w:rsidP="00CF1C9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wzrost efektywności energetycznej o 23% w porównaniu z prognozami PRIMES2007,</w:t>
            </w:r>
          </w:p>
          <w:p w14:paraId="6C8ED272" w14:textId="77777777" w:rsidR="00CF1C95" w:rsidRPr="00EE14D2" w:rsidRDefault="00CF1C95" w:rsidP="00CF1C9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redukcję do 56-60% udziału węgla w produkcji energii elektrycznej.</w:t>
            </w:r>
          </w:p>
          <w:p w14:paraId="3E2C55F3" w14:textId="77777777" w:rsidR="00CF1C95" w:rsidRPr="00EE14D2" w:rsidRDefault="00CF1C95" w:rsidP="00CF1C95">
            <w:pPr>
              <w:spacing w:before="100" w:after="0" w:line="240" w:lineRule="auto"/>
              <w:rPr>
                <w:rFonts w:ascii="Times New Roman" w:eastAsia="Times New Roman" w:hAnsi="Times New Roman" w:cs="Times New Roman"/>
                <w:noProof/>
                <w:color w:val="000000"/>
                <w:sz w:val="20"/>
                <w:szCs w:val="20"/>
              </w:rPr>
            </w:pPr>
          </w:p>
          <w:p w14:paraId="45EA32E7" w14:textId="77777777" w:rsidR="00CF1C95" w:rsidRPr="00EE14D2" w:rsidRDefault="00CF1C95" w:rsidP="00CF1C9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Link do dokumentu:</w:t>
            </w:r>
          </w:p>
          <w:p w14:paraId="44AFA9C6" w14:textId="77777777" w:rsidR="00CF1C95" w:rsidRPr="00EE14D2" w:rsidRDefault="00CF1C95" w:rsidP="00CF1C9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https://www.gov.pl/web/aktywa-panstwowe/krajowy-plan-na-rzecz-energii-i-klimatu-na-lata-2021-2030-przekazany-do-ke</w:t>
            </w:r>
          </w:p>
          <w:p w14:paraId="46D0B083" w14:textId="77777777" w:rsidR="00644235" w:rsidRPr="00EE14D2" w:rsidRDefault="00644235" w:rsidP="00CF1C95">
            <w:pPr>
              <w:spacing w:before="100" w:after="0" w:line="240" w:lineRule="auto"/>
              <w:rPr>
                <w:rFonts w:ascii="Times New Roman" w:eastAsia="Times New Roman" w:hAnsi="Times New Roman" w:cs="Times New Roman"/>
                <w:noProof/>
                <w:color w:val="000000"/>
                <w:sz w:val="20"/>
                <w:szCs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105D57"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KPEiK zawiera działania na rzecz realizacji 5 wymiarów unii energetycznej: Bezpieczeństwa energetycznego, Wewnętrznego rynku energii, Efektywności energetycznej, Obniżenia emisyjności, Badań naukowych, innowacji i konkurencyjności.</w:t>
            </w:r>
          </w:p>
          <w:p w14:paraId="41D9C4F2"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KPEiK wyznacza cele klimatyczno-energetyczne na 2030 r. :</w:t>
            </w:r>
          </w:p>
          <w:p w14:paraId="5A6558CC"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7% redukcji emisji gazów cieplarnianych w sektorach nieobjętych systemem ETS w porównaniu do 2005 r.,</w:t>
            </w:r>
          </w:p>
          <w:p w14:paraId="7D0C5EA0"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21-23% udziału OZE w finalnym zużyciu energii brutto (cel 23% możliwy do osiągnięcia dzięki dodatkowym środkom unijnych, w tym na sprawiedliwą transformację), uwzględniając: 14% udziału OZE w transporcie i roczny wzrost udziału OZE w ciepłownictwie i chłodnictwie o 1,1 pkt. proc. średniorocznie.</w:t>
            </w:r>
          </w:p>
          <w:p w14:paraId="5E971C21"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w:t>
            </w:r>
            <w:r w:rsidRPr="00EE14D2">
              <w:rPr>
                <w:rFonts w:ascii="Times New Roman" w:eastAsia="Times New Roman" w:hAnsi="Times New Roman" w:cs="Times New Roman"/>
                <w:noProof/>
                <w:color w:val="000000"/>
                <w:sz w:val="20"/>
                <w:szCs w:val="20"/>
              </w:rPr>
              <w:tab/>
              <w:t>wzrost efektywności energetycznej o 23% w porównaniu z prognozami PRIMES2007,</w:t>
            </w:r>
          </w:p>
          <w:p w14:paraId="661F0F81"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redukcję do 56-60% udziału węgla w produkcji energii elektrycznej</w:t>
            </w:r>
          </w:p>
          <w:p w14:paraId="50A2A8D2"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Krajowe założenia i cele polskiej polityki energetyczno-klimatycznej szczegółowo opisane zostały w rozdziale drugim dokumentu, natomiast rozdział trzeci wskazuje polityki i środki mające służyć ich realizacji. Analizę skutków planowanych polityk i środków przedstawiono w Załączniku nr 2 do KPEiK. </w:t>
            </w:r>
          </w:p>
          <w:p w14:paraId="0B335BC8"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r>
      <w:tr w:rsidR="00644235" w:rsidRPr="00EE14D2" w14:paraId="03706D85" w14:textId="77777777" w:rsidTr="00644235">
        <w:trPr>
          <w:jc w:val="center"/>
        </w:trPr>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5CC760"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2.3. Skuteczne propagowanie wykorzystania energii odnawialnej w poszczególnych sektorach i w całej UE</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59AAB5"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p w14:paraId="6CF6ACC1"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EFRR</w:t>
            </w:r>
          </w:p>
          <w:p w14:paraId="4E4E617F"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FF28DE"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p w14:paraId="6ACF9D6B"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RSO2.2. Wspieranie energii odnawialnej zgodnie z dyrektywą (UE) 2018/2001 w sprawie energii odnawialnej[1], w tym określonymi w niej kryteriami zrównoważonego rozwoju</w:t>
            </w:r>
          </w:p>
          <w:p w14:paraId="39D70ABB"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C38154"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Tak</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451B61"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Istnienie środków, które zapewniają:</w:t>
            </w:r>
          </w:p>
          <w:p w14:paraId="723823FD"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1. zgodność z wiążącym krajowym celem dotyczącym energii odnawialnej na 2020 r. i z udziałem bazowym energii odnawialnej do 2030 r. lub podjęcie dodatkowych środków w przypadku gdy udział bazowy nie jest utrzymywany przez okres jednego roku zgodnie z dyrektywą (UE) 2018/2001 i rozporządzeniem (UE) 2018/1999;</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C99340"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4E8522" w14:textId="77777777" w:rsidR="00CF1C95" w:rsidRPr="00EE14D2" w:rsidRDefault="00CF1C95" w:rsidP="00CF1C9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Spełnieniem warunku jest osiągnięcie w Polsce udziału energii z OZE w końcowym zużyciu energii brutto w 2020 r na poziomie 15% lub podjęcie dodatkowych działań zaradczych dla utrzymania ścieżki osiągnięcia celu. Cel z 2020 roku stanowi poziom odniesienia do wyznaczenia celu na 2030 r. i obejmuje obszary: elektroenergetyki, transportu, ciepła i chłodu. </w:t>
            </w:r>
          </w:p>
          <w:p w14:paraId="0B563C9A" w14:textId="77777777" w:rsidR="00CF1C95" w:rsidRPr="00EE14D2" w:rsidRDefault="00CF1C95" w:rsidP="00CF1C9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Cel udziału OZE w elektroenergetyce ma być osiągnięty głównie w dzięki aukcjom OZE z lat 2018-2020 a także produkcji energii pozyskanej z realizacji programów "Mój Prąd" i "Energia Plus" i „Agroenergia” a także „Czyste powietrze”.  </w:t>
            </w:r>
          </w:p>
          <w:p w14:paraId="065F8BDB" w14:textId="77777777" w:rsidR="00CF1C95" w:rsidRPr="00EE14D2" w:rsidRDefault="00CF1C95" w:rsidP="00CF1C9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 ramach przeprowadzonych środków zaradczych trzeba wymienić przede wszystkim:</w:t>
            </w:r>
          </w:p>
          <w:p w14:paraId="1A8514F9" w14:textId="77777777" w:rsidR="00CF1C95" w:rsidRPr="00EE14D2" w:rsidRDefault="00CF1C95" w:rsidP="00CF1C9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znaczny wolumen energii przeznaczony i zakontraktowany w ramach aukcji, w szczególności w latach 2019-2020,</w:t>
            </w:r>
          </w:p>
          <w:p w14:paraId="7E8241B6" w14:textId="77777777" w:rsidR="00CF1C95" w:rsidRPr="00EE14D2" w:rsidRDefault="00CF1C95" w:rsidP="00CF1C9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 wprowadzony w 2018 roku bardzo korzystny i unikalny system net-meteringu dla rozliczania prosumentów, tzw. system opustów.</w:t>
            </w:r>
          </w:p>
          <w:p w14:paraId="704DA17D" w14:textId="26C65A2A" w:rsidR="00CF1C95" w:rsidRPr="00EE14D2" w:rsidRDefault="00CF1C95" w:rsidP="00CF1C9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 celu osiągnięcia wymaganego poziomu udziału energii z OZE w elektroenergetyce kontynuowane będą obowiązujące mechanizmy wsparcia systemowego, takie jak system aukcyjny, systemy FiT/FiP oraz programy wsparcia inwestycyjnego źródeł OZE, zmodyfikowany zostanie dedykowany prosumentom model, co pozwoli na jego dostosowanie do wymagań regulacji wchodzących w skład pakietu „Czysta Energia dla Wszystkich Europejczyków”.</w:t>
            </w:r>
          </w:p>
          <w:p w14:paraId="2D441BDC" w14:textId="77777777" w:rsidR="00CF1C95" w:rsidRPr="00EE14D2" w:rsidRDefault="00CF1C95" w:rsidP="00CF1C9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Linki do dokumentów:</w:t>
            </w:r>
          </w:p>
          <w:p w14:paraId="12B65F4E" w14:textId="76BC34D7" w:rsidR="00CF1C95" w:rsidRPr="00EE14D2" w:rsidRDefault="00CF1C95" w:rsidP="00CF1C9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Ustawa z dnia 20 lutego 2015 r. o odnawialnych źródłach energii (dalej: „ustawa OZE”):</w:t>
            </w:r>
          </w:p>
          <w:p w14:paraId="79730022" w14:textId="77777777" w:rsidR="00CF1C95" w:rsidRPr="00EE14D2" w:rsidRDefault="00CF1C95" w:rsidP="00CF1C9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http://isap.sejm.gov.pl/isap.nsf/download.xsp/WDU20150000478/U/D20150478Lj.pdf</w:t>
            </w:r>
          </w:p>
          <w:p w14:paraId="4BD91F86" w14:textId="77777777" w:rsidR="00CF1C95" w:rsidRPr="00EE14D2" w:rsidRDefault="00CF1C95" w:rsidP="00CF1C9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Ustawa z dnia 17 grudnia 2020 r. o promowaniu wytwarzania energii elektrycznej w morskich farmach wiatrowych (Dz. U. 2021 poz. 234):</w:t>
            </w:r>
          </w:p>
          <w:p w14:paraId="46B0D732" w14:textId="639B253B" w:rsidR="00CF1C95" w:rsidRPr="00EE14D2" w:rsidRDefault="00CF1C95" w:rsidP="00CF1C9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https://isap.sejm.gov.pl/isap.nsf/download.xsp/WDU20210000234/U/D20210234Lj.pdf</w:t>
            </w:r>
          </w:p>
          <w:p w14:paraId="45EAD4AF"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EE2439"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Instrumenty służące osiągnięciu celu OZE:</w:t>
            </w:r>
          </w:p>
          <w:p w14:paraId="36F09911"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Głównym mechanizmem jest aukcyjny system wsparcia. W ramach aukcji OZE zakontraktowano w l. 2016-2018 - ok. 2000 MW, w 2019 r. – ok. 3000 MW, w 2020 - ok. 2500 MW oraz ok. 2500 MW w 2021 r. Nowelizacja ustawy OZE przedłuży okres udzielania pomocy publicznej w systemie aukcyjnym oraz systemach FIT/FIP.</w:t>
            </w:r>
          </w:p>
          <w:p w14:paraId="472CEC67"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 xml:space="preserve">Systemy cen i premii gwarantowanych FIT/FIP dedykowanych małym wytwórcom OZE w technologii biogazowej, biomasowej oraz hydroenergetycznej. </w:t>
            </w:r>
          </w:p>
          <w:p w14:paraId="21761358"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Prosumencki system opustów oparty o rozliczenia energii z mikroinstalacji w ramach net-meteringu.</w:t>
            </w:r>
          </w:p>
          <w:p w14:paraId="49D0EE56"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 xml:space="preserve">Program "Mój Prąd" do 2020 roku zapewnił wsparcie dla 1200 MW. W lipcu 2021 r. rozpoczął się nabór do jego 3. edycji. Kolejna, poszerzona o nowe elementy, tj. punkty ładowania samochodów elektrycznych czy </w:t>
            </w:r>
            <w:r w:rsidRPr="00EE14D2">
              <w:rPr>
                <w:rFonts w:ascii="Times New Roman" w:eastAsia="Times New Roman" w:hAnsi="Times New Roman" w:cs="Times New Roman"/>
                <w:noProof/>
                <w:color w:val="000000"/>
                <w:sz w:val="20"/>
                <w:szCs w:val="20"/>
              </w:rPr>
              <w:lastRenderedPageBreak/>
              <w:t xml:space="preserve">magazyny energii jest w trakcie przygotowania.  </w:t>
            </w:r>
          </w:p>
          <w:p w14:paraId="6F542B23"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Programy "Energia Plus" dla przedsiębiorców i „Agroenergia” dedykowany rolnikom.</w:t>
            </w:r>
          </w:p>
          <w:p w14:paraId="0B07CC03"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Morskie farmy wiatrowe umożliwią skokowy przyrost mocy zainstalowanej OZE. Rozwój tej technologii będzie stanowić centralny element do osiągnięcia celów energetyczno-klimatycznych.</w:t>
            </w:r>
          </w:p>
          <w:p w14:paraId="452A50F4"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r>
      <w:tr w:rsidR="00644235" w:rsidRPr="00EE14D2" w14:paraId="5DDBD89E" w14:textId="77777777" w:rsidTr="00644235">
        <w:trPr>
          <w:jc w:val="center"/>
        </w:trPr>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2648BB"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C0F75D"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DE84ED"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9E3F47"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EE7610"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2. zgodnie z wymogami dyrektywy (UE) 2018/2001 i rozporządzenia (UE) 2018/1999 – zwiększenie udziału energii odnawialnej w sektorze ciepłownictwa i chłodnictwa zgodnie z art. 23 dyrektywy (UE) 2018/2001.</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341389"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8AEE6E" w14:textId="77777777" w:rsidR="002A0057" w:rsidRPr="00EE14D2" w:rsidRDefault="002A0057" w:rsidP="002A0057">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Spełnieniem warunku jest osiągnięcie w Polsce udziału energii z OZE w końcowym zużyciu energii brutto w 2020 r na poziomie 15% lub podjęcie dodatkowych działań zaradczych dla utrzymania ścieżki osiągnięcia celu. Cel z 2020 roku stanowi poziom odniesienia do wyznaczenia celu na 2030 r. i obejmuje obszary: elektroenergetyki, transportu, ciepła i chłodu. </w:t>
            </w:r>
          </w:p>
          <w:p w14:paraId="46E9C43B" w14:textId="77777777" w:rsidR="002A0057" w:rsidRPr="00EE14D2" w:rsidRDefault="002A0057" w:rsidP="002A0057">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Cel udziału OZE w elektroenergetyce ma być osiągnięty głównie w dzięki aukcjom OZE z lat 2018-2020 a także produkcji energii pozyskanej z realizacji programów "Mój Prąd" i "Energia Plus" i „Agroenergia” a także „Czyste powietrze”.  </w:t>
            </w:r>
          </w:p>
          <w:p w14:paraId="1119F636" w14:textId="77777777" w:rsidR="002A0057" w:rsidRPr="00EE14D2" w:rsidRDefault="002A0057" w:rsidP="002A0057">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 ramach przeprowadzonych środków zaradczych trzeba wymienić przede wszystkim:</w:t>
            </w:r>
          </w:p>
          <w:p w14:paraId="2C0722E0" w14:textId="77777777" w:rsidR="002A0057" w:rsidRPr="00EE14D2" w:rsidRDefault="002A0057" w:rsidP="002A0057">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znaczny wolumen energii przeznaczony i zakontraktowany w ramach aukcji, w szczególności w latach 2019-2020,</w:t>
            </w:r>
          </w:p>
          <w:p w14:paraId="28D1BA20" w14:textId="77777777" w:rsidR="002A0057" w:rsidRPr="00EE14D2" w:rsidRDefault="002A0057" w:rsidP="002A0057">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wprowadzony w 2018 roku bardzo korzystny i unikalny system net-meteringu dla rozliczania prosumentów, tzw. system opustów.</w:t>
            </w:r>
          </w:p>
          <w:p w14:paraId="10DE33CC" w14:textId="77777777" w:rsidR="002A0057" w:rsidRPr="00EE14D2" w:rsidRDefault="002A0057" w:rsidP="002A0057">
            <w:pPr>
              <w:spacing w:before="100" w:after="0" w:line="240" w:lineRule="auto"/>
              <w:rPr>
                <w:rFonts w:ascii="Times New Roman" w:eastAsia="Times New Roman" w:hAnsi="Times New Roman" w:cs="Times New Roman"/>
                <w:noProof/>
                <w:color w:val="000000"/>
                <w:sz w:val="20"/>
                <w:szCs w:val="20"/>
              </w:rPr>
            </w:pPr>
          </w:p>
          <w:p w14:paraId="39F6DB52" w14:textId="3775C83D" w:rsidR="00644235" w:rsidRPr="00EE14D2" w:rsidRDefault="002A0057" w:rsidP="002A0057">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W celu osiągnięcia wymaganego poziomu udziału energii z OZE w elektroenergetyce kontynuowane będą obowiązujące mechanizmy wsparcia systemowego, takie jak system aukcyjny, systemy FiT/FiP oraz programy wsparcia inwestycyjnego źródeł OZE, zmodyfikowany zostanie dedykowany prosumentom model, co pozwoli na jego dostosowanie do wymagań regulacji wchodzących w skład pakietu „Czysta Energia dla Wszystkich Europejczyków”.</w:t>
            </w:r>
          </w:p>
          <w:p w14:paraId="4E48A0DF"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p w14:paraId="53505ACF"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p w14:paraId="4CB8A232"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3340B0" w14:textId="0F24BED6"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 xml:space="preserve">Promowaniu rozwoju OZE w zakresie produkcji ciepła i chłodu służą: </w:t>
            </w:r>
          </w:p>
          <w:p w14:paraId="634588AF"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Rozporządzenie Ministra Energii z dnia 18 maja 2017 r. w sprawie szczegółowego zakresu obowiązku i warunków technicznych zakupu ciepła z odnawialnych źródeł energii poszerzające katalog podmiotów zobowiązanych do zakupu ciepła z OZE.</w:t>
            </w:r>
          </w:p>
          <w:p w14:paraId="7D999F3A"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Program „Czyste Powietrze umożliwiający wymianę starych i nieefektywnych źródeł ciepła na paliwo stałe na nowoczesne źródła ciepła spełniające najwyższe normy i  termomodernizację budynków- kontynuacja do 2029 r.</w:t>
            </w:r>
          </w:p>
          <w:p w14:paraId="097E655E"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W celu  rozwoju produkcji ciepła i chłodu z OZE powołano Zespół ds. określenia modelu funkcjonowania rynku ciepła, który opracował wstępną Strategię dla Ciepłownictwa, określającą kierunki transformacji sektora w Polsce w odniesieniu do niskoemisyjności, która będzie stanowić podstawę dla działań w najbliższych latach. Ostateczna wersja ww. strategii powstanie do końca 2021 r.</w:t>
            </w:r>
          </w:p>
          <w:p w14:paraId="51036CD6"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 xml:space="preserve">Ponadto programy wsparcia inwestycyjnego w zakresie indywidualnych źródeł ciepła z OZE, </w:t>
            </w:r>
            <w:r w:rsidRPr="00EE14D2">
              <w:rPr>
                <w:rFonts w:ascii="Times New Roman" w:eastAsia="Times New Roman" w:hAnsi="Times New Roman" w:cs="Times New Roman"/>
                <w:noProof/>
                <w:color w:val="000000"/>
                <w:sz w:val="20"/>
                <w:szCs w:val="20"/>
              </w:rPr>
              <w:lastRenderedPageBreak/>
              <w:t>takie jak program "Czyste powietrze" oraz inne programy podlegać będą stosownym zmianom i udoskonaleniom, a zależności od potrzeb otrzymają komplementarne wsparcie.</w:t>
            </w:r>
          </w:p>
          <w:p w14:paraId="0B733599"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r>
      <w:tr w:rsidR="00644235" w:rsidRPr="00EE14D2" w14:paraId="3C1521FE" w14:textId="77777777" w:rsidTr="00644235">
        <w:trPr>
          <w:jc w:val="center"/>
        </w:trPr>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11FB6A"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2.5. Aktualizowane planowanie koniecznych inwestycji w sektorze wodno-kanalizacyjnym</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E6FF6E"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p w14:paraId="5AE1E458"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EFRR</w:t>
            </w:r>
          </w:p>
          <w:p w14:paraId="2701E574"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CC52AF"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p w14:paraId="4F8CB840"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RSO2.5. Wspieranie dostępu do wody oraz zrównoważonej gospodarki wodnej</w:t>
            </w:r>
          </w:p>
          <w:p w14:paraId="64853D53"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8E7D54"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Tak</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6AFA1A"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Dla każdego sektora lub obu tych sektorów istnieje krajowy plan inwestycji, który obejmuje:</w:t>
            </w:r>
          </w:p>
          <w:p w14:paraId="3A097137"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1. ocenę obecnego stanu wdrożenia dyrektywy Rady 91/271/EWG i dyrektywy Rady 98/83/WE;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49268C"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FEA360" w14:textId="77777777" w:rsidR="002659BE" w:rsidRPr="00EE14D2" w:rsidRDefault="002659BE" w:rsidP="002659BE">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Spełnieniem warunku jest przygotowanie planu inwestycji, który obejmuje ocenę obecnego stanu wdrożenia dyrektywy (91/271/EWG)  dotyczącej oczyszczania ścieków komunalnych i dyrektywy w sprawie wody pitnej (98/83/WE), tj.:</w:t>
            </w:r>
          </w:p>
          <w:p w14:paraId="28CE75AA" w14:textId="77777777" w:rsidR="002659BE" w:rsidRPr="00EE14D2" w:rsidRDefault="002659BE" w:rsidP="002659BE">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1. VI aktualizacji Krajowego Programu Oczyszczania Ścieków Komunalnych (przyjętej przez Radę Ministrów 5 maja 2022 r.)</w:t>
            </w:r>
          </w:p>
          <w:p w14:paraId="1384C1CB" w14:textId="77777777" w:rsidR="002659BE" w:rsidRPr="00EE14D2" w:rsidRDefault="002659BE" w:rsidP="002659BE">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2. Programu inwestycyjnego w zakresie poprawy jakości i ograniczenia strat </w:t>
            </w:r>
            <w:r w:rsidRPr="00EE14D2">
              <w:rPr>
                <w:rFonts w:ascii="Times New Roman" w:eastAsia="Times New Roman" w:hAnsi="Times New Roman" w:cs="Times New Roman"/>
                <w:noProof/>
                <w:color w:val="000000"/>
                <w:sz w:val="20"/>
                <w:szCs w:val="20"/>
              </w:rPr>
              <w:lastRenderedPageBreak/>
              <w:t>wody przeznaczonej do spożycia przez ludzi</w:t>
            </w:r>
          </w:p>
          <w:p w14:paraId="670B43B6" w14:textId="77777777" w:rsidR="002659BE" w:rsidRPr="00EE14D2" w:rsidRDefault="002659BE" w:rsidP="002659BE">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Dokumenty obejmują m.in.:</w:t>
            </w:r>
          </w:p>
          <w:p w14:paraId="36319B72" w14:textId="77777777" w:rsidR="002659BE" w:rsidRPr="00EE14D2" w:rsidRDefault="002659BE" w:rsidP="002659BE">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określenie i planowanie, w tym indykatywne szacunkowe dane finansowe, wszelkich inwestycji publicznych:</w:t>
            </w:r>
          </w:p>
          <w:p w14:paraId="282547B2" w14:textId="77777777" w:rsidR="002659BE" w:rsidRPr="00EE14D2" w:rsidRDefault="002659BE" w:rsidP="002659BE">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a) wymaganych do wdrożenia dyrektywy 91/271/EWG, </w:t>
            </w:r>
          </w:p>
          <w:p w14:paraId="393C44FE" w14:textId="77777777" w:rsidR="002659BE" w:rsidRPr="00EE14D2" w:rsidRDefault="002659BE" w:rsidP="002659BE">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b) wymaganych do wdrożenia dyrektywy 98/83/WE;</w:t>
            </w:r>
          </w:p>
          <w:p w14:paraId="582F8922" w14:textId="77777777" w:rsidR="002659BE" w:rsidRPr="00EE14D2" w:rsidRDefault="002659BE" w:rsidP="002659BE">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c) wymaganych, aby zaspokoić potrzeby wynikające z dyrektywy (UE) 2020/2184 , w szczególności w odniesieniu do zmienionych parametrów jakości określonych w załączniku I do tej dyrektywy;</w:t>
            </w:r>
          </w:p>
          <w:p w14:paraId="32ACB46B" w14:textId="77777777" w:rsidR="002659BE" w:rsidRPr="00EE14D2" w:rsidRDefault="002659BE" w:rsidP="002659BE">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oszacowanie inwestycji niezbędnych do odnowienia istniejącej infrastruktury wodno- ściekowej oraz wskazanie potencjalnych źródeł finansowania publicznego o ile są one niezbędne.</w:t>
            </w:r>
          </w:p>
          <w:p w14:paraId="26924942" w14:textId="77777777" w:rsidR="002659BE" w:rsidRPr="00EE14D2" w:rsidRDefault="002659BE" w:rsidP="002659BE">
            <w:pPr>
              <w:spacing w:before="100" w:after="0" w:line="240" w:lineRule="auto"/>
              <w:rPr>
                <w:rFonts w:ascii="Times New Roman" w:eastAsia="Times New Roman" w:hAnsi="Times New Roman" w:cs="Times New Roman"/>
                <w:noProof/>
                <w:color w:val="000000"/>
                <w:sz w:val="20"/>
                <w:szCs w:val="20"/>
              </w:rPr>
            </w:pPr>
          </w:p>
          <w:p w14:paraId="55114164" w14:textId="77777777" w:rsidR="002659BE" w:rsidRPr="00EE14D2" w:rsidRDefault="002659BE" w:rsidP="002659BE">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Link do dokumentów:</w:t>
            </w:r>
          </w:p>
          <w:p w14:paraId="7D09466A" w14:textId="1206800F" w:rsidR="00644235" w:rsidRPr="00EE14D2" w:rsidRDefault="002659BE" w:rsidP="002659BE">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https://www.gov.pl/attachment/a7096f8e-5961-4719-8c03-4b36cf61f56a</w:t>
            </w:r>
          </w:p>
          <w:p w14:paraId="67DF440C"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425DCB"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 xml:space="preserve">Warunek spełniony jest poprzez przyjęcie Programu inwestycyjnego w zakresie poprawy jakości i ograniczenia strat wody przeznaczonej do spożycia przez ludzi (Program Inwestycyjny) oraz VI aktualizacji Krajowego programu oczyszczania ścieków komunalnych (AKPOŚK 2022). Ocena obecnego stanu wdrożenia dyrektywy 91/271/EWG przedstawiona jest w AKPOŚK 2022 w rozdziale 10. Ocena inwestycji zaplanowanych w AKPOŚK 2022 w aspekcie wypełnienia warunków dyrektywy 91/271/EWG oraz w zał. 3 (kolumny 31-34). Plan Inwestycyjny </w:t>
            </w:r>
            <w:r w:rsidRPr="00EE14D2">
              <w:rPr>
                <w:rFonts w:ascii="Times New Roman" w:eastAsia="Times New Roman" w:hAnsi="Times New Roman" w:cs="Times New Roman"/>
                <w:noProof/>
                <w:color w:val="000000"/>
                <w:sz w:val="20"/>
                <w:szCs w:val="20"/>
              </w:rPr>
              <w:lastRenderedPageBreak/>
              <w:t>zawiera ocenę stanu wdrożenia dyrektywy 98/83/WE w sprawie jakości wody przeznaczonej do spożycia przez ludzi wraz z wyznaczeniem kluczowych potrzeb inwestycyjnych wymaganych do wdrożenia tej dyrektywy oraz do spełnienia wymagań wynikających z jej rewizji, dyrektywy 2020/2184 z dnia 16 grudnia 2020 r.</w:t>
            </w:r>
          </w:p>
        </w:tc>
      </w:tr>
      <w:tr w:rsidR="00644235" w:rsidRPr="00EE14D2" w14:paraId="79B5DCE1" w14:textId="77777777" w:rsidTr="00644235">
        <w:trPr>
          <w:jc w:val="center"/>
        </w:trPr>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C5E0D2"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4EA011"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5FACD4"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761636"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3EDD40"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2. określenie i planowanie, w tym indykatywne szacunkowe dane finansowe, wszelkich inwestycji publicznych:</w:t>
            </w:r>
          </w:p>
          <w:p w14:paraId="46BAAC9A"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a) wymaganych do wdrożenia dyrektywy 91/271/EWG, wraz z określeniem priorytetów ze względu na wielkość aglomeracji i wpływ na środowisko oraz z podziałem inwestycji na poszczególne aglomeracje;</w:t>
            </w:r>
          </w:p>
          <w:p w14:paraId="027C6D4F"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b) wymaganych do wdrożenia dyrektywy 98/83/WE;</w:t>
            </w:r>
          </w:p>
          <w:p w14:paraId="7A7A2F9C"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c) wymaganych, aby zaspokoić potrzeby wynikające z dyrektywy (UE) 2020/2184, w szczególności w odniesieniu do zmienionych parametrów jakości określonych w załączniku I do tej dyrektywy;</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81718E"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25A99F" w14:textId="77777777" w:rsidR="009F481B" w:rsidRPr="00EE14D2" w:rsidRDefault="009F481B" w:rsidP="009F481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Spełnieniem warunku jest przygotowanie planu inwestycji, który obejmuje ocenę obecnego stanu wdrożenia dyrektywy (91/271/EWG)  dotyczącej oczyszczania ścieków komunalnych i dyrektywy w sprawie wody pitnej (98/83/WE), tj.:</w:t>
            </w:r>
          </w:p>
          <w:p w14:paraId="38E921D0" w14:textId="77777777" w:rsidR="009F481B" w:rsidRPr="00EE14D2" w:rsidRDefault="009F481B" w:rsidP="009F481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1. VI aktualizacji Krajowego Programu Oczyszczania Ścieków Komunalnych (przyjętej przez Radę Ministrów 5 maja 2022 r.)</w:t>
            </w:r>
          </w:p>
          <w:p w14:paraId="62C2F55D" w14:textId="77777777" w:rsidR="009F481B" w:rsidRPr="00EE14D2" w:rsidRDefault="009F481B" w:rsidP="009F481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2. Programu inwestycyjnego w zakresie poprawy jakości i ograniczenia strat wody przeznaczonej do spożycia przez ludzi</w:t>
            </w:r>
          </w:p>
          <w:p w14:paraId="6C4BD197" w14:textId="77777777" w:rsidR="009F481B" w:rsidRPr="00EE14D2" w:rsidRDefault="009F481B" w:rsidP="009F481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Dokumenty obejmują m.in.:</w:t>
            </w:r>
          </w:p>
          <w:p w14:paraId="33B481C5" w14:textId="77777777" w:rsidR="009F481B" w:rsidRPr="00EE14D2" w:rsidRDefault="009F481B" w:rsidP="009F481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określenie i planowanie, w tym indykatywne szacunkowe dane finansowe, wszelkich inwestycji publicznych:</w:t>
            </w:r>
          </w:p>
          <w:p w14:paraId="2EE33C68" w14:textId="77777777" w:rsidR="009F481B" w:rsidRPr="00EE14D2" w:rsidRDefault="009F481B" w:rsidP="009F481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a) wymaganych do wdrożenia dyrektywy 91/271/EWG, </w:t>
            </w:r>
          </w:p>
          <w:p w14:paraId="5E913374" w14:textId="77777777" w:rsidR="009F481B" w:rsidRPr="00EE14D2" w:rsidRDefault="009F481B" w:rsidP="009F481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b) wymaganych do wdrożenia dyrektywy 98/83/WE;</w:t>
            </w:r>
          </w:p>
          <w:p w14:paraId="036FC289" w14:textId="77777777" w:rsidR="009F481B" w:rsidRPr="00EE14D2" w:rsidRDefault="009F481B" w:rsidP="009F481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c) wymaganych, aby zaspokoić potrzeby wynikające z dyrektywy (UE) 2020/2184 , w szczególności w odniesieniu do zmienionych parametrów jakości określonych w załączniku I do tej dyrektywy;</w:t>
            </w:r>
          </w:p>
          <w:p w14:paraId="7186A9A1" w14:textId="77777777" w:rsidR="009F481B" w:rsidRPr="00EE14D2" w:rsidRDefault="009F481B" w:rsidP="009F481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w:t>
            </w:r>
            <w:r w:rsidRPr="00EE14D2">
              <w:rPr>
                <w:rFonts w:ascii="Times New Roman" w:eastAsia="Times New Roman" w:hAnsi="Times New Roman" w:cs="Times New Roman"/>
                <w:noProof/>
                <w:color w:val="000000"/>
                <w:sz w:val="20"/>
                <w:szCs w:val="20"/>
              </w:rPr>
              <w:tab/>
              <w:t>oszacowanie inwestycji niezbędnych do odnowienia istniejącej infrastruktury wodno- ściekowej oraz wskazanie potencjalnych źródeł finansowania publicznego o ile są one niezbędne.</w:t>
            </w:r>
          </w:p>
          <w:p w14:paraId="5626779A" w14:textId="77777777" w:rsidR="009F481B" w:rsidRPr="00EE14D2" w:rsidRDefault="009F481B" w:rsidP="009F481B">
            <w:pPr>
              <w:spacing w:before="100" w:after="0" w:line="240" w:lineRule="auto"/>
              <w:rPr>
                <w:rFonts w:ascii="Times New Roman" w:eastAsia="Times New Roman" w:hAnsi="Times New Roman" w:cs="Times New Roman"/>
                <w:noProof/>
                <w:color w:val="000000"/>
                <w:sz w:val="20"/>
                <w:szCs w:val="20"/>
              </w:rPr>
            </w:pPr>
          </w:p>
          <w:p w14:paraId="1CC7415D" w14:textId="77777777" w:rsidR="009F481B" w:rsidRPr="00EE14D2" w:rsidRDefault="009F481B" w:rsidP="009F481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Link do dokumentów:</w:t>
            </w:r>
          </w:p>
          <w:p w14:paraId="49ADBEEE" w14:textId="23234E46" w:rsidR="00644235" w:rsidRPr="00EE14D2" w:rsidRDefault="009F481B" w:rsidP="009F481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https://www.gov.pl/attachment/a7096f8e-5961-4719-8c03-4b36cf61f56a</w:t>
            </w:r>
          </w:p>
          <w:p w14:paraId="29829385"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620DBE"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W AKPOŚK 2022 priorytetyzację aglomeracji niespełniających warunków dyrektywy 91/271/EWG opisano w rozdziale 6.2. (oraz w kolumnie 14 załącznika nr 3), planowane inwestycje w rozdziale 7, ocenę potrzeb finansowych na realizację inwestycji ujęto w rozdziale 11. Program Inwestycyjny identyfikuje 14 obszarów działań służących zapewnieniu jakości i bezpieczeństwa oraz przedstawia priorytety zidentyfikowane na poziomie regionalnym ze wskazaniem kategoryzacji inwestycji w sektorze zaopatrzenia w wodę (Tabela 14 w Programie Inwestycyjnym, s. 51). Wykaz inwestycji zgłoszonych przez gminy i przedsiębiorstwa świadczące usługi w zakresie zbiorowego zaopatrzenia w wodę w procesie ankietyzacji zawierają Załączniki 1 i 2 do Programu inwestycyjnego).</w:t>
            </w:r>
          </w:p>
        </w:tc>
      </w:tr>
      <w:tr w:rsidR="00644235" w:rsidRPr="00EE14D2" w14:paraId="462D41C8" w14:textId="77777777" w:rsidTr="00644235">
        <w:trPr>
          <w:jc w:val="center"/>
        </w:trPr>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E7A00B"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F3AD05"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418FA6"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30D6A8"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A7AE8B"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3. oszacowanie inwestycji niezbędnych do odnowienia istniejącej infrastruktury wodno-ściekowej, w tym sieci, w zależności od ich wieku i planów amortyzacji;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DFD739"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136A96" w14:textId="77777777" w:rsidR="009F481B" w:rsidRPr="00EE14D2" w:rsidRDefault="009F481B" w:rsidP="009F481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Spełnieniem warunku jest przygotowanie planu inwestycji, który obejmuje ocenę obecnego stanu wdrożenia dyrektywy (91/271/EWG)  dotyczącej oczyszczania ścieków komunalnych i dyrektywy w sprawie wody pitnej (98/83/WE), tj.:</w:t>
            </w:r>
          </w:p>
          <w:p w14:paraId="56ECE40B" w14:textId="77777777" w:rsidR="009F481B" w:rsidRPr="00EE14D2" w:rsidRDefault="009F481B" w:rsidP="009F481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1. VI aktualizacji Krajowego Programu Oczyszczania Ścieków Komunalnych (przyjętej przez Radę Ministrów 5 maja 2022 r.)</w:t>
            </w:r>
          </w:p>
          <w:p w14:paraId="58F55508" w14:textId="77777777" w:rsidR="009F481B" w:rsidRPr="00EE14D2" w:rsidRDefault="009F481B" w:rsidP="009F481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2. Programu inwestycyjnego w zakresie poprawy jakości i ograniczenia strat wody przeznaczonej do spożycia przez ludzi</w:t>
            </w:r>
          </w:p>
          <w:p w14:paraId="56CC0858" w14:textId="77777777" w:rsidR="009F481B" w:rsidRPr="00EE14D2" w:rsidRDefault="009F481B" w:rsidP="009F481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Dokumenty obejmują m.in.:</w:t>
            </w:r>
          </w:p>
          <w:p w14:paraId="6C68FC25" w14:textId="77777777" w:rsidR="009F481B" w:rsidRPr="00EE14D2" w:rsidRDefault="009F481B" w:rsidP="009F481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 xml:space="preserve">określenie i planowanie, w tym indykatywne szacunkowe dane </w:t>
            </w:r>
            <w:r w:rsidRPr="00EE14D2">
              <w:rPr>
                <w:rFonts w:ascii="Times New Roman" w:eastAsia="Times New Roman" w:hAnsi="Times New Roman" w:cs="Times New Roman"/>
                <w:noProof/>
                <w:color w:val="000000"/>
                <w:sz w:val="20"/>
                <w:szCs w:val="20"/>
              </w:rPr>
              <w:lastRenderedPageBreak/>
              <w:t>finansowe, wszelkich inwestycji publicznych:</w:t>
            </w:r>
          </w:p>
          <w:p w14:paraId="129E1207" w14:textId="77777777" w:rsidR="009F481B" w:rsidRPr="00EE14D2" w:rsidRDefault="009F481B" w:rsidP="009F481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a) wymaganych do wdrożenia dyrektywy 91/271/EWG, </w:t>
            </w:r>
          </w:p>
          <w:p w14:paraId="55265050" w14:textId="77777777" w:rsidR="009F481B" w:rsidRPr="00EE14D2" w:rsidRDefault="009F481B" w:rsidP="009F481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b) wymaganych do wdrożenia dyrektywy 98/83/WE;</w:t>
            </w:r>
          </w:p>
          <w:p w14:paraId="39E3E8A0" w14:textId="77777777" w:rsidR="009F481B" w:rsidRPr="00EE14D2" w:rsidRDefault="009F481B" w:rsidP="009F481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c) wymaganych, aby zaspokoić potrzeby wynikające z dyrektywy (UE) 2020/2184 , w szczególności w odniesieniu do zmienionych parametrów jakości określonych w załączniku I do tej dyrektywy;</w:t>
            </w:r>
          </w:p>
          <w:p w14:paraId="00B4D9B1" w14:textId="1C8C293A" w:rsidR="00644235" w:rsidRPr="00EE14D2" w:rsidRDefault="009F481B" w:rsidP="009F481B">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oszacowanie inwestycji niezbędnych do odnowienia istniejącej infrastruktury wodno- ściekowej oraz wskazanie potencjalnych źródeł finansowania publicznego o ile są one niezbędne.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101CCA"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 xml:space="preserve">Informacje dotyczące odnowienia istniejącej infrastruktury kanalizacyjnej ujęte są w AKPOŚK w rozdziale 7. Omówienie inwestycji zaplanowanych na lata 2021-2027 w aglomeracjach (oraz w kolumnie 44-45, 49-50 oraz 52 załącznika nr 3). Z planów inwestycyjnych wynika, że w ramach AKPOŚK 2022 planowane jest zmodernizowanie 3 173 km sieci kanalizacyjnej, w tym 1 036 km w aglomeracjach niespełniających warunków dyrektywy 91/271/EWG. W Programie Inwestycyjnym zawarto szacunkowe koszty wskazanych inwestycji, w tym koszty wynikające z wymogu badania większej liczby parametrów jakości wody, jak i modernizacji sieci dystrybucji wody z uwzględnieniem jej wieku i planów </w:t>
            </w:r>
            <w:r w:rsidRPr="00EE14D2">
              <w:rPr>
                <w:rFonts w:ascii="Times New Roman" w:eastAsia="Times New Roman" w:hAnsi="Times New Roman" w:cs="Times New Roman"/>
                <w:noProof/>
                <w:color w:val="000000"/>
                <w:sz w:val="20"/>
                <w:szCs w:val="20"/>
              </w:rPr>
              <w:lastRenderedPageBreak/>
              <w:t>amortyzacji oraz oszacowano nakłady finansowe na odnowienie infrastruktury. Szacunkowe koszty całkowite oszacowane na podstawie danych statystycznych ekstrapolowanych na obszary priorytetowe za pomocą wyznaczonego na podstawie ankietowania PWiK i gmin wskaźnika przeliczeniowego wyniosły ok. 44 mld złotych, w tym ok. 26 mld zł na inwestycje związane z siecią dystrybucji (w tym modernizacji sieci).</w:t>
            </w:r>
          </w:p>
        </w:tc>
      </w:tr>
      <w:tr w:rsidR="00644235" w:rsidRPr="00EE14D2" w14:paraId="180B3D77" w14:textId="77777777" w:rsidTr="00644235">
        <w:trPr>
          <w:jc w:val="center"/>
        </w:trPr>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41772D"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85CF84"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76D072"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2788EB"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BC819A"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4. wskazanie potencjalnych źródeł finansowania publicznego, jeżeli są potrzebne w celu uzupełnienia opłat pobieranych od użytkowników. </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C4CFCE"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A58041" w14:textId="77777777" w:rsidR="00991E35" w:rsidRPr="00EE14D2" w:rsidRDefault="00991E35" w:rsidP="00991E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Spełnieniem warunku jest przygotowanie planu inwestycji, który obejmuje ocenę obecnego stanu wdrożenia dyrektywy (91/271/EWG)  dotyczącej oczyszczania ścieków komunalnych i dyrektywy w sprawie wody pitnej (98/83/WE), tj.:</w:t>
            </w:r>
          </w:p>
          <w:p w14:paraId="5D363D71" w14:textId="77777777" w:rsidR="00991E35" w:rsidRPr="00EE14D2" w:rsidRDefault="00991E35" w:rsidP="00991E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1. VI aktualizacji Krajowego Programu Oczyszczania Ścieków Komunalnych (przyjętej przez Radę Ministrów 5 maja 2022 r.)</w:t>
            </w:r>
          </w:p>
          <w:p w14:paraId="04DFED66" w14:textId="77777777" w:rsidR="00991E35" w:rsidRPr="00EE14D2" w:rsidRDefault="00991E35" w:rsidP="00991E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2. Programu inwestycyjnego w zakresie poprawy jakości i ograniczenia strat wody przeznaczonej do spożycia przez ludzi</w:t>
            </w:r>
          </w:p>
          <w:p w14:paraId="1DA31143" w14:textId="77777777" w:rsidR="00991E35" w:rsidRPr="00EE14D2" w:rsidRDefault="00991E35" w:rsidP="00991E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Dokumenty obejmują m.in.:</w:t>
            </w:r>
          </w:p>
          <w:p w14:paraId="13D9FB74" w14:textId="77777777" w:rsidR="00991E35" w:rsidRPr="00EE14D2" w:rsidRDefault="00991E35" w:rsidP="00991E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określenie i planowanie, w tym indykatywne szacunkowe dane finansowe, wszelkich inwestycji publicznych:</w:t>
            </w:r>
          </w:p>
          <w:p w14:paraId="2C9048E4" w14:textId="77777777" w:rsidR="00991E35" w:rsidRPr="00EE14D2" w:rsidRDefault="00991E35" w:rsidP="00991E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a) wymaganych do wdrożenia dyrektywy 91/271/EWG, </w:t>
            </w:r>
          </w:p>
          <w:p w14:paraId="36490BB3" w14:textId="77777777" w:rsidR="00991E35" w:rsidRPr="00EE14D2" w:rsidRDefault="00991E35" w:rsidP="00991E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b) wymaganych do wdrożenia dyrektywy 98/83/WE;</w:t>
            </w:r>
          </w:p>
          <w:p w14:paraId="2B52A6B3" w14:textId="77777777" w:rsidR="00991E35" w:rsidRPr="00EE14D2" w:rsidRDefault="00991E35" w:rsidP="00991E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c) wymaganych, aby zaspokoić potrzeby wynikające z dyrektywy (UE) 2020/2184 , w szczególności w odniesieniu do zmienionych parametrów jakości określonych w załączniku I do tej dyrektywy;</w:t>
            </w:r>
          </w:p>
          <w:p w14:paraId="29D8CFD2" w14:textId="1E857E31" w:rsidR="00644235" w:rsidRPr="00EE14D2" w:rsidRDefault="00991E35" w:rsidP="00991E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oszacowanie inwestycji niezbędnych do odnowienia istniejącej infrastruktury wodno- ściekowej oraz wskazanie potencjalnych źródeł finansowania publicznego o ile są one niezbędne.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A9704B"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 xml:space="preserve">Informacja o źródłach finansowania ujęta w rozdziale 12. (oraz w kolumnach 114-122 załącznika nr 3) przewiduje, że głównymi źródłami finansowania inwestycji ujętych w AKPOŚK 2022 będą: </w:t>
            </w:r>
          </w:p>
          <w:p w14:paraId="6845F89C"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1.</w:t>
            </w:r>
            <w:r w:rsidRPr="00EE14D2">
              <w:rPr>
                <w:rFonts w:ascii="Times New Roman" w:eastAsia="Times New Roman" w:hAnsi="Times New Roman" w:cs="Times New Roman"/>
                <w:noProof/>
                <w:color w:val="000000"/>
                <w:sz w:val="20"/>
                <w:szCs w:val="20"/>
              </w:rPr>
              <w:tab/>
              <w:t>środki unijne w ramach programów polityki:</w:t>
            </w:r>
          </w:p>
          <w:p w14:paraId="5F5F732E"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Program Operacyjny Infrastruktura i Środowisko,</w:t>
            </w:r>
          </w:p>
          <w:p w14:paraId="6BD284E0"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              Program Fundusze Europejskie na Infrastrukturę, Klimat, Środowisko,</w:t>
            </w:r>
          </w:p>
          <w:p w14:paraId="06406510"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Programy Regionalne,</w:t>
            </w:r>
          </w:p>
          <w:p w14:paraId="6F71C8A3"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2.</w:t>
            </w:r>
            <w:r w:rsidRPr="00EE14D2">
              <w:rPr>
                <w:rFonts w:ascii="Times New Roman" w:eastAsia="Times New Roman" w:hAnsi="Times New Roman" w:cs="Times New Roman"/>
                <w:noProof/>
                <w:color w:val="000000"/>
                <w:sz w:val="20"/>
                <w:szCs w:val="20"/>
              </w:rPr>
              <w:tab/>
              <w:t>Rządowy Fundusz Polski Ład: Program Inwestycji Strategicznych,</w:t>
            </w:r>
          </w:p>
          <w:p w14:paraId="7B2B0D66"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3.</w:t>
            </w:r>
            <w:r w:rsidRPr="00EE14D2">
              <w:rPr>
                <w:rFonts w:ascii="Times New Roman" w:eastAsia="Times New Roman" w:hAnsi="Times New Roman" w:cs="Times New Roman"/>
                <w:noProof/>
                <w:color w:val="000000"/>
                <w:sz w:val="20"/>
                <w:szCs w:val="20"/>
              </w:rPr>
              <w:tab/>
              <w:t>krajowe fundusze ekologiczne: NFOŚGW i WFOŚGW</w:t>
            </w:r>
          </w:p>
          <w:p w14:paraId="3DADE962"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4.</w:t>
            </w:r>
            <w:r w:rsidRPr="00EE14D2">
              <w:rPr>
                <w:rFonts w:ascii="Times New Roman" w:eastAsia="Times New Roman" w:hAnsi="Times New Roman" w:cs="Times New Roman"/>
                <w:noProof/>
                <w:color w:val="000000"/>
                <w:sz w:val="20"/>
                <w:szCs w:val="20"/>
              </w:rPr>
              <w:tab/>
              <w:t>środki własne gmin.</w:t>
            </w:r>
          </w:p>
          <w:p w14:paraId="53DF1AA9"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 Planie Inwestycyjnym oceniono możliwości finansowania inwestycji z zysków pochodzących z opłat od użytkowników oraz, w przypadku potrzeby ich uzupełnienia, wskazano możliwe źródła finansowania ze środków krajowych i zagranicznych. Publiczne fundusze krajowe pochodzą głównie z funduszy zarządzanych przez NFPŚGW i WFOŚGW oraz budżetów JST i budżetu centralnego. Głównymi środkami finansowania z zagranicznych źródeł są fundusze strukturalne i Fundusz Spójności. Inne zagraniczne źródła to środki np.: Mechanizmu finansowego EOG czy Norweskiego Mechanizmu Finansowego.</w:t>
            </w:r>
          </w:p>
          <w:p w14:paraId="310E98DE"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r>
      <w:tr w:rsidR="00644235" w:rsidRPr="00EE14D2" w14:paraId="48F52558" w14:textId="77777777" w:rsidTr="00644235">
        <w:trPr>
          <w:jc w:val="center"/>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41B648"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 xml:space="preserve">2.7. Ramy priorytetowego traktowania w </w:t>
            </w:r>
            <w:r w:rsidRPr="00EE14D2">
              <w:rPr>
                <w:rFonts w:ascii="Times New Roman" w:eastAsia="Times New Roman" w:hAnsi="Times New Roman" w:cs="Times New Roman"/>
                <w:noProof/>
                <w:color w:val="000000"/>
                <w:sz w:val="20"/>
                <w:szCs w:val="20"/>
              </w:rPr>
              <w:lastRenderedPageBreak/>
              <w:t>przypadku koniecznych środków ochrony obejmujących współfinansowanie unijne</w:t>
            </w:r>
          </w:p>
        </w:tc>
        <w:tc>
          <w:tcPr>
            <w:tcW w:w="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FA968A"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p w14:paraId="016DF053"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EFRR</w:t>
            </w:r>
          </w:p>
          <w:p w14:paraId="71A94F81"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5C0047"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p w14:paraId="6F835EE9"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RSO2.7. Wzmacnianie ochrony i zachowania przyrody, różnorodności biologicznej oraz zielonej infrastruktury, w tym na obszarach miejskich, oraz ograniczanie wszelkich rodzajów zanieczyszczenia</w:t>
            </w:r>
          </w:p>
          <w:p w14:paraId="1DDCF68D"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EB33E6"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lastRenderedPageBreak/>
              <w:t>Tak</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32CCA2"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W przypadku interwencji wspierających środki ochrony przyrody w związku z obszarami </w:t>
            </w:r>
            <w:r w:rsidRPr="00EE14D2">
              <w:rPr>
                <w:rFonts w:ascii="Times New Roman" w:eastAsia="Times New Roman" w:hAnsi="Times New Roman" w:cs="Times New Roman"/>
                <w:noProof/>
                <w:color w:val="000000"/>
                <w:sz w:val="20"/>
                <w:szCs w:val="20"/>
              </w:rPr>
              <w:lastRenderedPageBreak/>
              <w:t>Natura 2000 objętymi zakresem dyrektywy Rady 92/43/EWG:</w:t>
            </w:r>
          </w:p>
          <w:p w14:paraId="29E120AB"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istnienie ram działań priorytetowych na podstawie art. 8 dyrektywy 92/43/EWG, które obejmują wszystkie elementy wymagane we wzorze ram działań priorytetowych na lata 2021–2027 uzgodnionym przez Komisję i państwa członkowskie, w tym określenie środków priorytetowych i oszacowanie potrzeb w zakresie finansowania.</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AF1457"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lastRenderedPageBreak/>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9CA5C4" w14:textId="77777777" w:rsidR="002A0EA4" w:rsidRPr="00EE14D2" w:rsidRDefault="002A0EA4" w:rsidP="002A0EA4">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Spełnieniem warunku jest przyjęcie dokumentu: „Priorytetowe Ramy Działań w zakresie finansowania </w:t>
            </w:r>
            <w:r w:rsidRPr="00EE14D2">
              <w:rPr>
                <w:rFonts w:ascii="Times New Roman" w:eastAsia="Times New Roman" w:hAnsi="Times New Roman" w:cs="Times New Roman"/>
                <w:noProof/>
                <w:color w:val="000000"/>
                <w:sz w:val="20"/>
                <w:szCs w:val="20"/>
              </w:rPr>
              <w:lastRenderedPageBreak/>
              <w:t xml:space="preserve">europejskiej sieci ekologicznej Natura 2000 na lata 2021-2027”. (ang: Prioritised Action Framework, PAF). </w:t>
            </w:r>
          </w:p>
          <w:p w14:paraId="759027DE" w14:textId="77777777" w:rsidR="002A0EA4" w:rsidRPr="00EE14D2" w:rsidRDefault="002A0EA4" w:rsidP="002A0EA4">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Dokument zawiera informacje nt. działań priorytetowych niezbędnych do</w:t>
            </w:r>
          </w:p>
          <w:p w14:paraId="36565D6B" w14:textId="77777777" w:rsidR="002A0EA4" w:rsidRPr="00EE14D2" w:rsidRDefault="002A0EA4" w:rsidP="002A0EA4">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zrealizowania na terenie obszarów sieci Natura 2000 po 2020 r. oraz wskazanie potencjalnych źródeł ich finansowania w zakresie: planowania ochrony, ochrony siedlisk i gatunków stanowiących przedmioty ochrony, badań naukowych, monitoringu przyrodniczego, działań edukacyjnych i promocyjnych oraz rozwoju zielonej infrastruktury, a także podsumowanie dotychczasowych działań podejmowanych na rzecz sieci Natura 2000 finansowanych z dostępnych środków krajowych i funduszy UE w latach 2014 – 2020. W dokumencie na postawie danych przekazanych przez sprawujących nadzór nad obszarami Natura 2000 określono odrębnie dla każdego obszaru Natura 2000 działania niezbędne do wykonania na jego terenie, w celu poprawy lub zachowania właściwego stanu ochrony siedlisk przyrodniczych oraz gatunków roślin i zwierząt, w tym ptaków, stanowiących ich przedmiot ochrony. Dodatkowo zaplanowano działania związane z zarządzaniem obszarami sieci Natura 2000 (w tym aktualizacją dokumentów </w:t>
            </w:r>
            <w:r w:rsidRPr="00EE14D2">
              <w:rPr>
                <w:rFonts w:ascii="Times New Roman" w:eastAsia="Times New Roman" w:hAnsi="Times New Roman" w:cs="Times New Roman"/>
                <w:noProof/>
                <w:color w:val="000000"/>
                <w:sz w:val="20"/>
                <w:szCs w:val="20"/>
              </w:rPr>
              <w:lastRenderedPageBreak/>
              <w:t>planistycznych), edukacją i promocją, potrzebami w zakresie prowadzenia dalszych badań, monitoringiem, oraz turystycznym udostępnieniem obszarów.</w:t>
            </w:r>
          </w:p>
          <w:p w14:paraId="2A4AAFC2" w14:textId="77777777" w:rsidR="002A0EA4" w:rsidRPr="00EE14D2" w:rsidRDefault="002A0EA4" w:rsidP="002A0EA4">
            <w:pPr>
              <w:spacing w:before="100" w:after="0" w:line="240" w:lineRule="auto"/>
              <w:rPr>
                <w:rFonts w:ascii="Times New Roman" w:eastAsia="Times New Roman" w:hAnsi="Times New Roman" w:cs="Times New Roman"/>
                <w:noProof/>
                <w:color w:val="000000"/>
                <w:sz w:val="20"/>
                <w:szCs w:val="20"/>
              </w:rPr>
            </w:pPr>
          </w:p>
          <w:p w14:paraId="0E456FCF" w14:textId="77777777" w:rsidR="002A0EA4" w:rsidRPr="00EE14D2" w:rsidRDefault="002A0EA4" w:rsidP="002A0EA4">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Link do dokumentu:</w:t>
            </w:r>
          </w:p>
          <w:p w14:paraId="48476E32" w14:textId="18DF12DF" w:rsidR="00644235" w:rsidRPr="00EE14D2" w:rsidRDefault="002A0EA4" w:rsidP="002A0EA4">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 http://www.gdos.gov.pl/files/artykuly/5073/PAF_icon.pdf</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5B61DB"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 xml:space="preserve">Działania dotyczące utrzymania dotychczasowej gospodarki na terenach siedlisk gatunków przyrodniczych  i </w:t>
            </w:r>
            <w:r w:rsidRPr="00EE14D2">
              <w:rPr>
                <w:rFonts w:ascii="Times New Roman" w:eastAsia="Times New Roman" w:hAnsi="Times New Roman" w:cs="Times New Roman"/>
                <w:noProof/>
                <w:color w:val="000000"/>
                <w:sz w:val="20"/>
                <w:szCs w:val="20"/>
              </w:rPr>
              <w:lastRenderedPageBreak/>
              <w:t>poprawie ich ochrony w formie czynnej, przewidują m.in. :</w:t>
            </w:r>
          </w:p>
          <w:p w14:paraId="07C60BC4"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zachowanie siedlisk przyrodniczych i populacji gatunków, w tym:</w:t>
            </w:r>
          </w:p>
          <w:p w14:paraId="53BE25C2"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ekstensywna gospodarka rolna, rybacka i leśna uwzględniająca ochronę siedlisk</w:t>
            </w:r>
          </w:p>
          <w:p w14:paraId="40BB6F39"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zabezpieczenie/odtworzenie miejsc rozrodu gatunków chronionych</w:t>
            </w:r>
          </w:p>
          <w:p w14:paraId="71A6BF30"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 wykup gruntów </w:t>
            </w:r>
          </w:p>
          <w:p w14:paraId="25017A58"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odtwarzanie zdegradowanych siedlisk i wzmacnianie zagrożonych gatunków:</w:t>
            </w:r>
          </w:p>
          <w:p w14:paraId="44BF36A5"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powstrzymanie naturalnej sukcesji siedlisk</w:t>
            </w:r>
          </w:p>
          <w:p w14:paraId="76A02604"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 przywrócenie/polepszenie reżimu hydrologicznego </w:t>
            </w:r>
          </w:p>
          <w:p w14:paraId="78DF4BA1"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zwalczanie gatunków ekspansywnych/obcych</w:t>
            </w:r>
          </w:p>
          <w:p w14:paraId="29655A26"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 restytucja gatunków zagrożonych </w:t>
            </w:r>
          </w:p>
          <w:p w14:paraId="3040249E"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udrożnienie ciągłości korytarzy ekologicznych</w:t>
            </w:r>
          </w:p>
          <w:p w14:paraId="27C99FCF"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utrzymanie ośrodków hodowli/rehabilitacji dzikich zwierząt.</w:t>
            </w:r>
          </w:p>
          <w:p w14:paraId="7D049CF1"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wsparcie zarządzania i nadzoru nad obszarami Natura 2000:</w:t>
            </w:r>
          </w:p>
          <w:p w14:paraId="3505B41A"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opracowanie/aktualizacja planów zadań ochronnych /planów ochrony wszystkich obszarów Natura 2000</w:t>
            </w:r>
          </w:p>
          <w:p w14:paraId="36DB0850"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 monitoring sieci Natura 2000</w:t>
            </w:r>
          </w:p>
          <w:p w14:paraId="0BDAA7C1"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badania i działania dot. edukacji i komunikacji dot. ochrony obszarów sieci Natura 2000</w:t>
            </w:r>
          </w:p>
          <w:p w14:paraId="5E623D8D"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budowa /rozwój infrastruktury turystycznej rozprowadzającej ruch turystyczny</w:t>
            </w:r>
          </w:p>
          <w:p w14:paraId="79E02B07"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na obszarach sieci Natura 2000</w:t>
            </w:r>
          </w:p>
          <w:p w14:paraId="27DF9F75"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p>
        </w:tc>
      </w:tr>
      <w:tr w:rsidR="00644235" w:rsidRPr="00EE14D2" w14:paraId="56FC3AF7" w14:textId="77777777" w:rsidTr="00644235">
        <w:trPr>
          <w:jc w:val="center"/>
        </w:trPr>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A672A3"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3.1. Kompleksowe planowanie transportu na odpowiednim poziomie</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88D6F8"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p w14:paraId="2FABB665"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EFRR</w:t>
            </w:r>
          </w:p>
          <w:p w14:paraId="69811369"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D2915E"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p w14:paraId="041F7E0C"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RSO3.2. Rozwój i udoskonalanie zrównoważonej, odpornej na zmiany klimatu, inteligentnej i intermodalnej mobilności na poziomie krajowym, regionalnym i lokalnym, w tym poprawa dostępu do TEN-T oraz mobilności transgranicznej</w:t>
            </w:r>
          </w:p>
          <w:p w14:paraId="47333CFE"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B7C3AD"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Nie</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DA90CD"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Funkcjonowanie multimodalnego mapowania istniejącej i planowanej infrastruktury – z wyjątkiem szczebla lokalnego – do 2030 r., które:</w:t>
            </w:r>
          </w:p>
          <w:p w14:paraId="5AF1D0DA"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1. zawiera ocenę ekonomiczną planowanych inwestycji, opartą na analizie zapotrzebowania i modelach przepływów transportowych, które powinny uwzględniać spodziewany wpływ otwarcia rynków usług kolejowych;</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626DF"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6DED29" w14:textId="45BEDD1B"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Na poziomie krajowym: </w:t>
            </w:r>
          </w:p>
          <w:p w14:paraId="36B5F1D5" w14:textId="180B597F" w:rsidR="00476426" w:rsidRPr="00EE14D2" w:rsidRDefault="00476426" w:rsidP="0047642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Spełnienie warunku zapewnia przyjęcie pakietu następujących narzędzi oraz dokumentów na poziomie krajowym:</w:t>
            </w:r>
          </w:p>
          <w:p w14:paraId="7D0B4075" w14:textId="77777777" w:rsidR="00476426" w:rsidRPr="00EE14D2" w:rsidRDefault="00476426" w:rsidP="0047642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 xml:space="preserve">Strategii Zrównoważonego Rozwoju Transportu do 2030 r., która zakłada aktualizację obecnie obowiązujących programów sektorowych. </w:t>
            </w:r>
          </w:p>
          <w:p w14:paraId="33B4BEAB" w14:textId="77777777" w:rsidR="00476426" w:rsidRPr="00EE14D2" w:rsidRDefault="00476426" w:rsidP="0047642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 xml:space="preserve">Zintegrowanego (multimodalnego) modelu ruchu </w:t>
            </w:r>
          </w:p>
          <w:p w14:paraId="38036AD5" w14:textId="77777777" w:rsidR="00476426" w:rsidRPr="00EE14D2" w:rsidRDefault="00476426" w:rsidP="0047642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Opracowanie lub aktualizacja planów sektorowych w zakresie transportu w  tym zapewnienie środków na realizację i utrzymanie istniejącej i planowanej  infrastruktury:</w:t>
            </w:r>
          </w:p>
          <w:p w14:paraId="76263682" w14:textId="77777777" w:rsidR="00476426" w:rsidRPr="00EE14D2" w:rsidRDefault="00476426" w:rsidP="0047642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1) Program Budowy Dróg Krajowych na lata 2014-2023 (z perspektywą do 2025 r.) oraz kolejny dokument do 2030 r.  </w:t>
            </w:r>
          </w:p>
          <w:p w14:paraId="3305FDDB" w14:textId="77777777" w:rsidR="00476426" w:rsidRPr="00EE14D2" w:rsidRDefault="00476426" w:rsidP="0047642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2) Krajowy Program Kolejowy do 2023 r. oraz kolejny dokument do 2030 r.</w:t>
            </w:r>
          </w:p>
          <w:p w14:paraId="07E8924E" w14:textId="77777777" w:rsidR="00476426" w:rsidRPr="00EE14D2" w:rsidRDefault="00476426" w:rsidP="0047642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3) Program rozwoju polskich portów morskich do 2030 r. </w:t>
            </w:r>
          </w:p>
          <w:p w14:paraId="0041625A" w14:textId="77777777" w:rsidR="00476426" w:rsidRPr="00EE14D2" w:rsidRDefault="00476426" w:rsidP="0047642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4) Krajowy Program Żeglugowy do 2030 r.</w:t>
            </w:r>
          </w:p>
          <w:p w14:paraId="6766CA05" w14:textId="77777777" w:rsidR="00476426" w:rsidRPr="00EE14D2" w:rsidRDefault="00476426" w:rsidP="0047642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5) Polityka rozwoju lotnictwa cywilnego w Polsce do 2030 r.  (z perspektywą do 2040)</w:t>
            </w:r>
          </w:p>
          <w:p w14:paraId="6D610BEA" w14:textId="77777777" w:rsidR="00476426" w:rsidRPr="00EE14D2" w:rsidRDefault="00476426" w:rsidP="0047642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6) Plan zamierzeń państwa oraz zatwierdzonych do realizacji przedsięwzięć w związku z budową Centralnego Portu Komunikacyjnego – w perspektywie obejmującej Strategię Zrównoważonego Rozwoju Transportu do 2030 roku</w:t>
            </w:r>
          </w:p>
          <w:p w14:paraId="3F130007" w14:textId="77777777" w:rsidR="00476426" w:rsidRPr="00EE14D2" w:rsidRDefault="00476426" w:rsidP="0047642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7) Kierunki rozwoju transportu intermodalnego w Polsce do 2030 r. z persp. do 2040 r. </w:t>
            </w:r>
          </w:p>
          <w:p w14:paraId="56F4D54C" w14:textId="77777777" w:rsidR="00476426" w:rsidRPr="00EE14D2" w:rsidRDefault="00476426" w:rsidP="0047642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8) Program Inwestycji Dworcowych na lata 2016 – 2023 </w:t>
            </w:r>
          </w:p>
          <w:p w14:paraId="09A7ACC3" w14:textId="77777777" w:rsidR="00476426" w:rsidRPr="00EE14D2" w:rsidRDefault="00476426" w:rsidP="0047642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9) Program Budowy 100 Obwodnic na lata 2020 – 2030 oraz aktualizacji tego dokumentu do 2030 r.</w:t>
            </w:r>
          </w:p>
          <w:p w14:paraId="009B7AC1" w14:textId="77777777" w:rsidR="00476426" w:rsidRPr="00EE14D2" w:rsidRDefault="00476426" w:rsidP="0047642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 xml:space="preserve">Bieżące przekazywanie informacji do KE w oparciu o Krajowy Plan Wdrażania TSI Sterowanie  w Polsce o statusie zabudowy ERTMS na infrastrukturze kolejowej i Suplement do KPW TSI Sterowanie o postępie </w:t>
            </w:r>
            <w:r w:rsidRPr="00EE14D2">
              <w:rPr>
                <w:rFonts w:ascii="Times New Roman" w:eastAsia="Times New Roman" w:hAnsi="Times New Roman" w:cs="Times New Roman"/>
                <w:noProof/>
                <w:color w:val="000000"/>
                <w:sz w:val="20"/>
                <w:szCs w:val="20"/>
              </w:rPr>
              <w:lastRenderedPageBreak/>
              <w:t>migracji do systemu ERTMS dla uczestników rynku kolejowego</w:t>
            </w:r>
          </w:p>
          <w:p w14:paraId="67C0DD48" w14:textId="77777777" w:rsidR="00476426" w:rsidRPr="00EE14D2" w:rsidRDefault="00476426" w:rsidP="0047642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Krajowe ramy polityki rozwoju infrastruktury paliw alternatywnych przyjęte przez RM 29 marca 2017 r.</w:t>
            </w:r>
          </w:p>
          <w:p w14:paraId="6CF60293" w14:textId="77777777" w:rsidR="00476426" w:rsidRPr="00EE14D2" w:rsidRDefault="00476426" w:rsidP="0047642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Program Wzmocnienia Krajowej Sieci Drogowej do 2030 roku oraz Program Bezpiecznej Infrastruktury Drogowej na lata 2021-2024</w:t>
            </w:r>
          </w:p>
          <w:p w14:paraId="34CDAA87" w14:textId="77777777" w:rsidR="00476426" w:rsidRPr="00EE14D2" w:rsidRDefault="00476426" w:rsidP="0047642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Programu poprawy bezpieczeństwa ruchu drogowego na l. 2021-2030.</w:t>
            </w:r>
          </w:p>
          <w:p w14:paraId="1B783D09"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Na poziomie regionalnym: Spełnienie kryterium nastąpi poprzez przyjęcie dokumentu "Plan rozwoju infrastruktury transportowej w województwie dolnośląskim z perspektywą do 2030"</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CA53DD"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 xml:space="preserve">Na poziomie krajowym: </w:t>
            </w:r>
          </w:p>
          <w:p w14:paraId="63003E11"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Kryterium 1. Spełnienie kryterium zapewnia m.in. Strategia Zrównoważonego Rozwoju Transportu do 2030 r. oraz stosowne dokumenty wdrożeniowe, a także przygotowanie i wdrożenie Zintegrowanego Modelu Ruchu. </w:t>
            </w:r>
          </w:p>
          <w:p w14:paraId="1B5A0AE3"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Na poziomie regionalnym:</w:t>
            </w:r>
          </w:p>
          <w:p w14:paraId="686071D7"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Kryterium 1. Zakres przedsięwzięć określonych w ramach RPT jest wynikiem analizy transportu która składa się z trzech elementów: bezpieczeństwa ruchu drogowego - przeprowadzone zostały analizy bezpieczeństwa ruchu drogowego, mające na celu wskazanie obszarów wymagających szczególnej uwagi; 2) ,- Koncepcji transportu zeroemisyjnego w województwie dolnośląskim – w </w:t>
            </w:r>
            <w:r w:rsidRPr="00EE14D2">
              <w:rPr>
                <w:rFonts w:ascii="Times New Roman" w:eastAsia="Times New Roman" w:hAnsi="Times New Roman" w:cs="Times New Roman"/>
                <w:noProof/>
                <w:color w:val="000000"/>
                <w:sz w:val="20"/>
                <w:szCs w:val="20"/>
              </w:rPr>
              <w:lastRenderedPageBreak/>
              <w:t>szczególności mobilności rowerowej w codziennych dojazdach Dolnoślązaków wraz z Koncepcją sieci głównych tras rowerowych  (tzw. Cyklostrada Dolnośląska), 3) modelowania ruchu w szczególności transportu towarowego oraz transportu pasażerskiego -przeprowadzono modelowanie ruchu niezbędne do przygotowania analizy popytu.</w:t>
            </w:r>
          </w:p>
        </w:tc>
      </w:tr>
      <w:tr w:rsidR="00644235" w:rsidRPr="00EE14D2" w14:paraId="67777009" w14:textId="77777777" w:rsidTr="00644235">
        <w:trPr>
          <w:jc w:val="center"/>
        </w:trPr>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6F0B38"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0E35FE"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3A122A"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D79446"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60120D"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2. jest spójne z elementami zintegrowanego krajowego planu w dziedzinie energii i klimatu dotyczącymi transportu;</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A167A5"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120680" w14:textId="46352A9B"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Na poziomie krajowym: </w:t>
            </w:r>
          </w:p>
          <w:p w14:paraId="1433C190" w14:textId="62F2D889" w:rsidR="00476426" w:rsidRPr="00EE14D2" w:rsidRDefault="00476426" w:rsidP="0047642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Spełnienie warunku zapewnia przyjęcie pakietu następujących narzędzi oraz dokumentów na poziomie krajowym:</w:t>
            </w:r>
          </w:p>
          <w:p w14:paraId="209573A0" w14:textId="77777777" w:rsidR="00476426" w:rsidRPr="00EE14D2" w:rsidRDefault="00476426" w:rsidP="0047642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 xml:space="preserve">Strategii Zrównoważonego Rozwoju Transportu do 2030 r., która zakłada aktualizację obecnie obowiązujących programów sektorowych. </w:t>
            </w:r>
          </w:p>
          <w:p w14:paraId="20819173" w14:textId="77777777" w:rsidR="00476426" w:rsidRPr="00EE14D2" w:rsidRDefault="00476426" w:rsidP="0047642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 xml:space="preserve">Zintegrowanego (multimodalnego) modelu ruchu </w:t>
            </w:r>
          </w:p>
          <w:p w14:paraId="25B5B7D4" w14:textId="77777777" w:rsidR="00476426" w:rsidRPr="00EE14D2" w:rsidRDefault="00476426" w:rsidP="0047642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w:t>
            </w:r>
            <w:r w:rsidRPr="00EE14D2">
              <w:rPr>
                <w:rFonts w:ascii="Times New Roman" w:eastAsia="Times New Roman" w:hAnsi="Times New Roman" w:cs="Times New Roman"/>
                <w:noProof/>
                <w:color w:val="000000"/>
                <w:sz w:val="20"/>
                <w:szCs w:val="20"/>
              </w:rPr>
              <w:tab/>
              <w:t>Opracowanie lub aktualizacja planów sektorowych w zakresie transportu w  tym zapewnienie środków na realizację i utrzymanie istniejącej i planowanej  infrastruktury:</w:t>
            </w:r>
          </w:p>
          <w:p w14:paraId="475A0BB1" w14:textId="77777777" w:rsidR="00476426" w:rsidRPr="00EE14D2" w:rsidRDefault="00476426" w:rsidP="0047642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1) Program Budowy Dróg Krajowych na lata 2014-2023 (z perspektywą do 2025 r.) oraz kolejny dokument do 2030 r.  </w:t>
            </w:r>
          </w:p>
          <w:p w14:paraId="647F70AC" w14:textId="77777777" w:rsidR="00476426" w:rsidRPr="00EE14D2" w:rsidRDefault="00476426" w:rsidP="0047642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2) Krajowy Program Kolejowy do 2023 r. oraz kolejny dokument do 2030 r.</w:t>
            </w:r>
          </w:p>
          <w:p w14:paraId="08125B7E" w14:textId="77777777" w:rsidR="00476426" w:rsidRPr="00EE14D2" w:rsidRDefault="00476426" w:rsidP="0047642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3) Program rozwoju polskich portów morskich do 2030 r. </w:t>
            </w:r>
          </w:p>
          <w:p w14:paraId="434C9E8E" w14:textId="77777777" w:rsidR="00476426" w:rsidRPr="00EE14D2" w:rsidRDefault="00476426" w:rsidP="0047642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4) Krajowy Program Żeglugowy do 2030 r.</w:t>
            </w:r>
          </w:p>
          <w:p w14:paraId="6D6B86C0" w14:textId="77777777" w:rsidR="00476426" w:rsidRPr="00EE14D2" w:rsidRDefault="00476426" w:rsidP="0047642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5) Polityka rozwoju lotnictwa cywilnego w Polsce do 2030 r.  (z perspektywą do 2040)</w:t>
            </w:r>
          </w:p>
          <w:p w14:paraId="511D536F" w14:textId="77777777" w:rsidR="00476426" w:rsidRPr="00EE14D2" w:rsidRDefault="00476426" w:rsidP="0047642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6) Plan zamierzeń państwa oraz zatwierdzonych do realizacji przedsięwzięć w związku z budową Centralnego Portu Komunikacyjnego – w perspektywie obejmującej Strategię Zrównoważonego Rozwoju Transportu do 2030 roku</w:t>
            </w:r>
          </w:p>
          <w:p w14:paraId="6D16A183" w14:textId="77777777" w:rsidR="00476426" w:rsidRPr="00EE14D2" w:rsidRDefault="00476426" w:rsidP="0047642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7) Kierunki rozwoju transportu intermodalnego w Polsce do 2030 r. z persp. do 2040 r. </w:t>
            </w:r>
          </w:p>
          <w:p w14:paraId="183F16C7" w14:textId="77777777" w:rsidR="00476426" w:rsidRPr="00EE14D2" w:rsidRDefault="00476426" w:rsidP="0047642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8) Program Inwestycji Dworcowych na lata 2016 – 2023 </w:t>
            </w:r>
          </w:p>
          <w:p w14:paraId="47599141" w14:textId="77777777" w:rsidR="00476426" w:rsidRPr="00EE14D2" w:rsidRDefault="00476426" w:rsidP="0047642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9) Program Budowy 100 Obwodnic na lata 2020 – 2030 oraz aktualizacji tego dokumentu do 2030 r.</w:t>
            </w:r>
          </w:p>
          <w:p w14:paraId="522656F5" w14:textId="77777777" w:rsidR="00476426" w:rsidRPr="00EE14D2" w:rsidRDefault="00476426" w:rsidP="0047642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Bieżące przekazywanie informacji do KE w oparciu o Krajowy Plan Wdrażania TSI Sterowanie  w Polsce o statusie zabudowy ERTMS na infrastrukturze kolejowej i Suplement do KPW TSI Sterowanie o postępie migracji do systemu ERTMS dla uczestników rynku kolejowego</w:t>
            </w:r>
          </w:p>
          <w:p w14:paraId="23E2E7DF" w14:textId="77777777" w:rsidR="00476426" w:rsidRPr="00EE14D2" w:rsidRDefault="00476426" w:rsidP="0047642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Krajowe ramy polityki rozwoju infrastruktury paliw alternatywnych przyjęte przez RM 29 marca 2017 r.</w:t>
            </w:r>
          </w:p>
          <w:p w14:paraId="52E61AF2" w14:textId="77777777" w:rsidR="00476426" w:rsidRPr="00EE14D2" w:rsidRDefault="00476426" w:rsidP="0047642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Program Wzmocnienia Krajowej Sieci Drogowej do 2030 roku oraz Program Bezpiecznej Infrastruktury Drogowej na lata 2021-2024</w:t>
            </w:r>
          </w:p>
          <w:p w14:paraId="04902303" w14:textId="384A8EF7" w:rsidR="00644235" w:rsidRPr="00EE14D2" w:rsidRDefault="00476426"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Programu poprawy bezpieczeństwa ruchu drogowego na l. 2021-2030.</w:t>
            </w:r>
          </w:p>
          <w:p w14:paraId="289BDAA5"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Na poziomie regionalnym: Spełnienie kryterium nastąpi poprzez przyjęcie dokumentu "Plan rozwoju infrastruktury transportowej w województwie dolnośląskim z perspektywą do 2030"</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1FBA63"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 xml:space="preserve">Na poziomie krajowym: </w:t>
            </w:r>
          </w:p>
          <w:p w14:paraId="223E6EFD"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Kryterium 2. Spełnienie kryterium zapewnia KPEIK i spójne z nim dokumenty wdrożeniowe. </w:t>
            </w:r>
          </w:p>
          <w:p w14:paraId="50349FAC"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p w14:paraId="0DDE796E"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Na poziomie regionalnym:</w:t>
            </w:r>
          </w:p>
          <w:p w14:paraId="2AE532AD"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Kryterium 2. Działania dotyczące łagodzenia zmian klimatu w dziedzinie transportu zostały uwzględnione w celach strategicznych RPT.</w:t>
            </w:r>
          </w:p>
          <w:p w14:paraId="35D5D5CA"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r>
      <w:tr w:rsidR="00644235" w:rsidRPr="00EE14D2" w14:paraId="569AFB8B" w14:textId="77777777" w:rsidTr="00644235">
        <w:trPr>
          <w:jc w:val="center"/>
        </w:trPr>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11F850"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6FF640"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4698FE"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681467"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E37BDF"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3. obejmuje inwestycje w korytarze sieci bazowej TEN-T zgodnie z definicją w rozporządzeniu w sprawie CEF, </w:t>
            </w:r>
            <w:r w:rsidRPr="00EE14D2">
              <w:rPr>
                <w:rFonts w:ascii="Times New Roman" w:eastAsia="Times New Roman" w:hAnsi="Times New Roman" w:cs="Times New Roman"/>
                <w:noProof/>
                <w:color w:val="000000"/>
                <w:sz w:val="20"/>
                <w:szCs w:val="20"/>
              </w:rPr>
              <w:lastRenderedPageBreak/>
              <w:t>zgodnie z odpowiednimi planami prac dotyczącymi korytarzy sieci bazowej TEN-T;</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140CA8"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lastRenderedPageBreak/>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363910" w14:textId="0578DD6A"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Na poziomie krajowym: </w:t>
            </w:r>
          </w:p>
          <w:p w14:paraId="632A5D6D" w14:textId="2AF73E00" w:rsidR="00180D73" w:rsidRPr="00EE14D2" w:rsidRDefault="00180D73" w:rsidP="00180D73">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Spełnienie warunku zapewnia przyjęcie pakietu następujących narzędzi oraz dokumentów na poziomie krajowym:</w:t>
            </w:r>
          </w:p>
          <w:p w14:paraId="6B4EFF07" w14:textId="77777777" w:rsidR="00180D73" w:rsidRPr="00EE14D2" w:rsidRDefault="00180D73" w:rsidP="00180D73">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w:t>
            </w:r>
            <w:r w:rsidRPr="00EE14D2">
              <w:rPr>
                <w:rFonts w:ascii="Times New Roman" w:eastAsia="Times New Roman" w:hAnsi="Times New Roman" w:cs="Times New Roman"/>
                <w:noProof/>
                <w:color w:val="000000"/>
                <w:sz w:val="20"/>
                <w:szCs w:val="20"/>
              </w:rPr>
              <w:tab/>
              <w:t xml:space="preserve">Strategii Zrównoważonego Rozwoju Transportu do 2030 r., która zakłada aktualizację obecnie obowiązujących programów sektorowych. </w:t>
            </w:r>
          </w:p>
          <w:p w14:paraId="509AA6FA" w14:textId="77777777" w:rsidR="00180D73" w:rsidRPr="00EE14D2" w:rsidRDefault="00180D73" w:rsidP="00180D73">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 xml:space="preserve">Zintegrowanego (multimodalnego) modelu ruchu </w:t>
            </w:r>
          </w:p>
          <w:p w14:paraId="5804B357" w14:textId="77777777" w:rsidR="00180D73" w:rsidRPr="00EE14D2" w:rsidRDefault="00180D73" w:rsidP="00180D73">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Opracowanie lub aktualizacja planów sektorowych w zakresie transportu w  tym zapewnienie środków na realizację i utrzymanie istniejącej i planowanej  infrastruktury:</w:t>
            </w:r>
          </w:p>
          <w:p w14:paraId="4760E75F" w14:textId="77777777" w:rsidR="00180D73" w:rsidRPr="00EE14D2" w:rsidRDefault="00180D73" w:rsidP="00180D73">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1) Program Budowy Dróg Krajowych na lata 2014-2023 (z perspektywą do 2025 r.) oraz kolejny dokument do 2030 r.  </w:t>
            </w:r>
          </w:p>
          <w:p w14:paraId="6B990E63" w14:textId="77777777" w:rsidR="00180D73" w:rsidRPr="00EE14D2" w:rsidRDefault="00180D73" w:rsidP="00180D73">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2) Krajowy Program Kolejowy do 2023 r. oraz kolejny dokument do 2030 r.</w:t>
            </w:r>
          </w:p>
          <w:p w14:paraId="69C9D4DD" w14:textId="77777777" w:rsidR="00180D73" w:rsidRPr="00EE14D2" w:rsidRDefault="00180D73" w:rsidP="00180D73">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3) Program rozwoju polskich portów morskich do 2030 r. </w:t>
            </w:r>
          </w:p>
          <w:p w14:paraId="7EF80782" w14:textId="77777777" w:rsidR="00180D73" w:rsidRPr="00EE14D2" w:rsidRDefault="00180D73" w:rsidP="00180D73">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4) Krajowy Program Żeglugowy do 2030 r.</w:t>
            </w:r>
          </w:p>
          <w:p w14:paraId="0C4515A5" w14:textId="77777777" w:rsidR="00180D73" w:rsidRPr="00EE14D2" w:rsidRDefault="00180D73" w:rsidP="00180D73">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5) Polityka rozwoju lotnictwa cywilnego w Polsce do 2030 r.  (z perspektywą do 2040)</w:t>
            </w:r>
          </w:p>
          <w:p w14:paraId="515C0187" w14:textId="77777777" w:rsidR="00180D73" w:rsidRPr="00EE14D2" w:rsidRDefault="00180D73" w:rsidP="00180D73">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6) Plan zamierzeń państwa oraz zatwierdzonych do realizacji przedsięwzięć w związku z budową Centralnego Portu Komunikacyjnego – w perspektywie obejmującej Strategię </w:t>
            </w:r>
            <w:r w:rsidRPr="00EE14D2">
              <w:rPr>
                <w:rFonts w:ascii="Times New Roman" w:eastAsia="Times New Roman" w:hAnsi="Times New Roman" w:cs="Times New Roman"/>
                <w:noProof/>
                <w:color w:val="000000"/>
                <w:sz w:val="20"/>
                <w:szCs w:val="20"/>
              </w:rPr>
              <w:lastRenderedPageBreak/>
              <w:t>Zrównoważonego Rozwoju Transportu do 2030 roku</w:t>
            </w:r>
          </w:p>
          <w:p w14:paraId="51B386C9" w14:textId="77777777" w:rsidR="00180D73" w:rsidRPr="00EE14D2" w:rsidRDefault="00180D73" w:rsidP="00180D73">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7) Kierunki rozwoju transportu intermodalnego w Polsce do 2030 r. z persp. do 2040 r. </w:t>
            </w:r>
          </w:p>
          <w:p w14:paraId="6F46B8B0" w14:textId="77777777" w:rsidR="00180D73" w:rsidRPr="00EE14D2" w:rsidRDefault="00180D73" w:rsidP="00180D73">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8) Program Inwestycji Dworcowych na lata 2016 – 2023 </w:t>
            </w:r>
          </w:p>
          <w:p w14:paraId="072838D1" w14:textId="77777777" w:rsidR="00180D73" w:rsidRPr="00EE14D2" w:rsidRDefault="00180D73" w:rsidP="00180D73">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9) Program Budowy 100 Obwodnic na lata 2020 – 2030 oraz aktualizacji tego dokumentu do 2030 r.</w:t>
            </w:r>
          </w:p>
          <w:p w14:paraId="2D186D96" w14:textId="77777777" w:rsidR="00180D73" w:rsidRPr="00EE14D2" w:rsidRDefault="00180D73" w:rsidP="00180D73">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Bieżące przekazywanie informacji do KE w oparciu o Krajowy Plan Wdrażania TSI Sterowanie  w Polsce o statusie zabudowy ERTMS na infrastrukturze kolejowej i Suplement do KPW TSI Sterowanie o postępie migracji do systemu ERTMS dla uczestników rynku kolejowego</w:t>
            </w:r>
          </w:p>
          <w:p w14:paraId="1D30EE28" w14:textId="77777777" w:rsidR="00180D73" w:rsidRPr="00EE14D2" w:rsidRDefault="00180D73" w:rsidP="00180D73">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Krajowe ramy polityki rozwoju infrastruktury paliw alternatywnych przyjęte przez RM 29 marca 2017 r.</w:t>
            </w:r>
          </w:p>
          <w:p w14:paraId="792D4620" w14:textId="77777777" w:rsidR="00180D73" w:rsidRPr="00EE14D2" w:rsidRDefault="00180D73" w:rsidP="00180D73">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Program Wzmocnienia Krajowej Sieci Drogowej do 2030 roku oraz Program Bezpiecznej Infrastruktury Drogowej na lata 2021-2024</w:t>
            </w:r>
          </w:p>
          <w:p w14:paraId="58E83269" w14:textId="77777777" w:rsidR="00180D73" w:rsidRPr="00EE14D2" w:rsidRDefault="00180D73" w:rsidP="00180D73">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Programu poprawy bezpieczeństwa ruchu drogowego na l. 2021-2030.</w:t>
            </w:r>
          </w:p>
          <w:p w14:paraId="5EE2B87D" w14:textId="77777777" w:rsidR="00180D73" w:rsidRPr="00EE14D2" w:rsidRDefault="00180D73" w:rsidP="00180D73">
            <w:pPr>
              <w:spacing w:before="100" w:after="0" w:line="240" w:lineRule="auto"/>
              <w:rPr>
                <w:rFonts w:ascii="Times New Roman" w:eastAsia="Times New Roman" w:hAnsi="Times New Roman" w:cs="Times New Roman"/>
                <w:noProof/>
                <w:color w:val="000000"/>
                <w:sz w:val="20"/>
                <w:szCs w:val="20"/>
              </w:rPr>
            </w:pPr>
          </w:p>
          <w:p w14:paraId="0937DEDA" w14:textId="3ACC8527" w:rsidR="00644235" w:rsidRPr="00EE14D2" w:rsidRDefault="00180D73" w:rsidP="00180D73">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Na poziomie regionalnym spełnienie warunku wykazywane będzie wraz z przekazaniem programów regionalnych. Spełnieniem warunku na poziomie regionalnym jest przyjęcie 16 Regionalnych Planów Transportowych.</w:t>
            </w:r>
          </w:p>
          <w:p w14:paraId="3F6D01F9"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Na poziomie regionalnym: Spełnienie kryterium nastąpi poprzez przyjęcie dokumentu "Plan rozwoju infrastruktury transportowej w województwie dolnośląskim z perspektywą do 2030"</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F190D0"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 xml:space="preserve">Na poziomie krajowym: </w:t>
            </w:r>
          </w:p>
          <w:p w14:paraId="754D4FDB"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Kryterium 3. Spełnienie kryterium zapewnia m.in.  Strategia Zrównoważonego Rozwoju Transportu </w:t>
            </w:r>
            <w:r w:rsidRPr="00EE14D2">
              <w:rPr>
                <w:rFonts w:ascii="Times New Roman" w:eastAsia="Times New Roman" w:hAnsi="Times New Roman" w:cs="Times New Roman"/>
                <w:noProof/>
                <w:color w:val="000000"/>
                <w:sz w:val="20"/>
                <w:szCs w:val="20"/>
              </w:rPr>
              <w:lastRenderedPageBreak/>
              <w:t>do 2030 r. oraz stosowne dokumenty wdrożeniowe, obejmujące swym zakresem inwestycje w korytarze sieci bazowej TEN-T</w:t>
            </w:r>
          </w:p>
          <w:p w14:paraId="31FD6BA9"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p w14:paraId="621809D6"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Na poziomie regionalnym:</w:t>
            </w:r>
          </w:p>
          <w:p w14:paraId="4F3E2F9B"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Kryterium 3. Głównym celem RPT jest umożliwienie kompleksowego rozwoju regionalnego systemu transportowego w oparciu</w:t>
            </w:r>
          </w:p>
          <w:p w14:paraId="1FB5377C"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o podstawowe obszary: poprawę dostępności i spójności regionu, wzmocnienie powiazań z Transeuropejską Siecią Transportową TEN-T (z uwzględnieniem planów prac nad realizacją sieci bazowej), wzrost bezpieczeństwa w transporcie oraz zmniejszenie wpływu transportu na środowisko. Zgodnie z Planem zagospodarowania przestrzennego województwa dolnośląskiego.</w:t>
            </w:r>
          </w:p>
          <w:p w14:paraId="061E524A"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 Najważniejsze elementy układu komunikacyjnego, zapewniające powiązania o charakterze międzynarodowym, zlokalizowane są w europejskich i krajowych korytarzach transportowych. Przestrzenny model systemu transportowego Dolnego śląska określony w RPT zalicza powyższe korytarze jako powiązania typu głównego, które stanowią najważniejsze szlaki komunikacyjne w regionie.</w:t>
            </w:r>
          </w:p>
          <w:p w14:paraId="544783E0"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r>
      <w:tr w:rsidR="00644235" w:rsidRPr="00EE14D2" w14:paraId="27AE0EC5" w14:textId="77777777" w:rsidTr="00644235">
        <w:trPr>
          <w:jc w:val="center"/>
        </w:trPr>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B0F52A"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BA14CA"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BC5CA0"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3A5EC2"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522340"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4. w przypadku inwestycji poza korytarzami sieci bazowej TEN-T, w tym na odcinkach transgranicznych, zapewnia komplementarność przez zapewnienie wystarczającego rozwoju połączeń sieci miejskich, regionów i lokalnych społeczności z siecią bazową TEN-T i jej węzłami;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1F21F2"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6616A2" w14:textId="1DDAFA0B"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Na poziomie krajowym: </w:t>
            </w:r>
          </w:p>
          <w:p w14:paraId="3108E7E6" w14:textId="1D514461" w:rsidR="003E6999" w:rsidRPr="00EE14D2" w:rsidRDefault="003E6999" w:rsidP="003E6999">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Spełnienie warunku zapewnia przyjęcie pakietu następujących narzędzi oraz dokumentów na poziomie krajowym:</w:t>
            </w:r>
          </w:p>
          <w:p w14:paraId="3DB52624" w14:textId="77777777" w:rsidR="003E6999" w:rsidRPr="00EE14D2" w:rsidRDefault="003E6999" w:rsidP="003E6999">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 xml:space="preserve">Strategii Zrównoważonego Rozwoju Transportu do 2030 r., która zakłada aktualizację obecnie obowiązujących programów sektorowych. </w:t>
            </w:r>
          </w:p>
          <w:p w14:paraId="698506C5" w14:textId="77777777" w:rsidR="003E6999" w:rsidRPr="00EE14D2" w:rsidRDefault="003E6999" w:rsidP="003E6999">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 xml:space="preserve">Zintegrowanego (multimodalnego) modelu ruchu </w:t>
            </w:r>
          </w:p>
          <w:p w14:paraId="2F61AFA6" w14:textId="77777777" w:rsidR="003E6999" w:rsidRPr="00EE14D2" w:rsidRDefault="003E6999" w:rsidP="003E6999">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Opracowanie lub aktualizacja planów sektorowych w zakresie transportu w  tym zapewnienie środków na realizację i utrzymanie istniejącej i planowanej  infrastruktury:</w:t>
            </w:r>
          </w:p>
          <w:p w14:paraId="519C455A" w14:textId="77777777" w:rsidR="003E6999" w:rsidRPr="00EE14D2" w:rsidRDefault="003E6999" w:rsidP="003E6999">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1) Program Budowy Dróg Krajowych na lata 2014-2023 (z perspektywą do 2025 r.) oraz kolejny dokument do 2030 r.  </w:t>
            </w:r>
          </w:p>
          <w:p w14:paraId="731D638F" w14:textId="77777777" w:rsidR="003E6999" w:rsidRPr="00EE14D2" w:rsidRDefault="003E6999" w:rsidP="003E6999">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2) Krajowy Program Kolejowy do 2023 r. oraz kolejny dokument do 2030 r.</w:t>
            </w:r>
          </w:p>
          <w:p w14:paraId="49816B4C" w14:textId="77777777" w:rsidR="003E6999" w:rsidRPr="00EE14D2" w:rsidRDefault="003E6999" w:rsidP="003E6999">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3) Program rozwoju polskich portów morskich do 2030 r. </w:t>
            </w:r>
          </w:p>
          <w:p w14:paraId="04FE1050" w14:textId="77777777" w:rsidR="003E6999" w:rsidRPr="00EE14D2" w:rsidRDefault="003E6999" w:rsidP="003E6999">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4) Krajowy Program Żeglugowy do 2030 r.</w:t>
            </w:r>
          </w:p>
          <w:p w14:paraId="21C48E67" w14:textId="77777777" w:rsidR="003E6999" w:rsidRPr="00EE14D2" w:rsidRDefault="003E6999" w:rsidP="003E6999">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5) Polityka rozwoju lotnictwa cywilnego w Polsce do 2030 r.  (z perspektywą do 2040)</w:t>
            </w:r>
          </w:p>
          <w:p w14:paraId="0C97C7E2" w14:textId="77777777" w:rsidR="003E6999" w:rsidRPr="00EE14D2" w:rsidRDefault="003E6999" w:rsidP="003E6999">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6) Plan zamierzeń państwa oraz zatwierdzonych do realizacji przedsięwzięć w związku z budową Centralnego Portu Komunikacyjnego – w perspektywie obejmującej Strategię Zrównoważonego Rozwoju Transportu do 2030 roku</w:t>
            </w:r>
          </w:p>
          <w:p w14:paraId="35DBE100" w14:textId="77777777" w:rsidR="003E6999" w:rsidRPr="00EE14D2" w:rsidRDefault="003E6999" w:rsidP="003E6999">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7) Kierunki rozwoju transportu intermodalnego w Polsce do 2030 r. z persp. do 2040 r. </w:t>
            </w:r>
          </w:p>
          <w:p w14:paraId="4F5383CE" w14:textId="77777777" w:rsidR="003E6999" w:rsidRPr="00EE14D2" w:rsidRDefault="003E6999" w:rsidP="003E6999">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8) Program Inwestycji Dworcowych na lata 2016 – 2023 </w:t>
            </w:r>
          </w:p>
          <w:p w14:paraId="51F468A0" w14:textId="77777777" w:rsidR="003E6999" w:rsidRPr="00EE14D2" w:rsidRDefault="003E6999" w:rsidP="003E6999">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9) Program Budowy 100 Obwodnic na lata 2020 – 2030 oraz aktualizacji tego dokumentu do 2030 r.</w:t>
            </w:r>
          </w:p>
          <w:p w14:paraId="285EA675" w14:textId="77777777" w:rsidR="003E6999" w:rsidRPr="00EE14D2" w:rsidRDefault="003E6999" w:rsidP="003E6999">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 xml:space="preserve">Bieżące przekazywanie informacji do KE w oparciu o Krajowy Plan Wdrażania TSI Sterowanie  w Polsce o statusie zabudowy ERTMS na infrastrukturze kolejowej i Suplement do KPW TSI Sterowanie o postępie </w:t>
            </w:r>
            <w:r w:rsidRPr="00EE14D2">
              <w:rPr>
                <w:rFonts w:ascii="Times New Roman" w:eastAsia="Times New Roman" w:hAnsi="Times New Roman" w:cs="Times New Roman"/>
                <w:noProof/>
                <w:color w:val="000000"/>
                <w:sz w:val="20"/>
                <w:szCs w:val="20"/>
              </w:rPr>
              <w:lastRenderedPageBreak/>
              <w:t>migracji do systemu ERTMS dla uczestników rynku kolejowego</w:t>
            </w:r>
          </w:p>
          <w:p w14:paraId="5224924C" w14:textId="77777777" w:rsidR="003E6999" w:rsidRPr="00EE14D2" w:rsidRDefault="003E6999" w:rsidP="003E6999">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Krajowe ramy polityki rozwoju infrastruktury paliw alternatywnych przyjęte przez RM 29 marca 2017 r.</w:t>
            </w:r>
          </w:p>
          <w:p w14:paraId="600D4580" w14:textId="77777777" w:rsidR="003E6999" w:rsidRPr="00EE14D2" w:rsidRDefault="003E6999" w:rsidP="003E6999">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Program Wzmocnienia Krajowej Sieci Drogowej do 2030 roku oraz Program Bezpiecznej Infrastruktury Drogowej na lata 2021-2024</w:t>
            </w:r>
          </w:p>
          <w:p w14:paraId="78301BCF" w14:textId="77777777" w:rsidR="003E6999" w:rsidRPr="00EE14D2" w:rsidRDefault="003E6999" w:rsidP="003E6999">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Programu poprawy bezpieczeństwa ruchu drogowego na l. 2021-2030.</w:t>
            </w:r>
          </w:p>
          <w:p w14:paraId="0D9E4B6D"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Na poziomie regionalnym: Spełnienie kryterium nastąpi poprzez przyjęcie dokumentu "Plan rozwoju infrastruktury transportowej w województwie dolnośląskim z perspektywą do 2030"</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C04E39"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 xml:space="preserve">Na poziomie krajowym: </w:t>
            </w:r>
          </w:p>
          <w:p w14:paraId="488587F8"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Kryterium 4. Spełnienie kryterium zapewniają stosowne dokumenty wdrożeniowe, obejmujące swym zakresem inwestycje poza korytarzami sieci bazowej TEN-T</w:t>
            </w:r>
          </w:p>
          <w:p w14:paraId="45BE15D3"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p w14:paraId="28582C9A"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Na poziomie regionalnym:</w:t>
            </w:r>
          </w:p>
          <w:p w14:paraId="59B3C777"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rPr>
              <w:t xml:space="preserve">Kryterium 4. Przestrzenny model systemu transportowego Dolnego śląska określony w RPT zalicza korytarze sieci bazowej TEN-T jako powiązania typu głównego, które stanowią najważniejsze szlaki komunikacyjne w regionie. RPT przewiduje działania mające na celu rozwój i modernizację infrastruktury transportowej, w szczególności na połączeniach stanowiących powiązania z siecią TEN-T. Wymagania dla </w:t>
            </w:r>
            <w:r w:rsidRPr="00EE14D2">
              <w:rPr>
                <w:rFonts w:ascii="Times New Roman" w:eastAsia="Times New Roman" w:hAnsi="Times New Roman" w:cs="Times New Roman"/>
                <w:noProof/>
                <w:color w:val="000000"/>
                <w:sz w:val="20"/>
                <w:szCs w:val="20"/>
              </w:rPr>
              <w:lastRenderedPageBreak/>
              <w:t xml:space="preserve">projektów drogowych w zakresie dróg wojewódzkich warunkują spełnienie kryterium przez weryfikowane poprzez sprawdzenie m.in. czy projekt przewiduje likwidację tzw. wąskich gardeł oraz poprawia dostęp do elementów liniowych lub punktowych sieci TEN-T. </w:t>
            </w:r>
            <w:r w:rsidRPr="00EE14D2">
              <w:rPr>
                <w:rFonts w:ascii="Times New Roman" w:eastAsia="Times New Roman" w:hAnsi="Times New Roman" w:cs="Times New Roman"/>
                <w:noProof/>
                <w:color w:val="000000"/>
                <w:sz w:val="20"/>
                <w:szCs w:val="20"/>
                <w:lang w:val="en-US"/>
              </w:rPr>
              <w:t>Zapewniono komplementarność inwestycji regionalnych z siecią TEN-T.</w:t>
            </w:r>
          </w:p>
          <w:p w14:paraId="60F810EC"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p>
        </w:tc>
      </w:tr>
      <w:tr w:rsidR="00644235" w:rsidRPr="00EE14D2" w14:paraId="656E8C03" w14:textId="77777777" w:rsidTr="00644235">
        <w:trPr>
          <w:jc w:val="center"/>
        </w:trPr>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7957A8"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24BBCB"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454CEF"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A56623"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4C0331"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5. zapewnia interoperacyjność sieci kolejowej oraz, w stosownych przypadkach, przedstawia sprawozdanie z wdrażania europejskiego systemu zarządzania ruchem kolejowym (ERTMS) zgodnie z rozporządzeniem wykonawczym Komisji (UE) 2017/6;</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23244D"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346BF9" w14:textId="35BF7001"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Na poziomie krajowym: </w:t>
            </w:r>
          </w:p>
          <w:p w14:paraId="333C9E19" w14:textId="77777777" w:rsidR="00F4035C" w:rsidRPr="00EE14D2" w:rsidRDefault="00F4035C" w:rsidP="00F4035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Niespełniony.</w:t>
            </w:r>
          </w:p>
          <w:p w14:paraId="3789F734" w14:textId="77777777" w:rsidR="00F4035C" w:rsidRPr="00EE14D2" w:rsidRDefault="00F4035C" w:rsidP="00F4035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 Spełnienie warunku zapewnia przyjęcie pakietu następujących narzędzi oraz dokumentów na poziomie krajowym:</w:t>
            </w:r>
          </w:p>
          <w:p w14:paraId="42DD62BA" w14:textId="77777777" w:rsidR="00F4035C" w:rsidRPr="00EE14D2" w:rsidRDefault="00F4035C" w:rsidP="00F4035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 xml:space="preserve">Strategii Zrównoważonego Rozwoju Transportu do 2030 r., która zakłada aktualizację obecnie obowiązujących programów sektorowych. </w:t>
            </w:r>
          </w:p>
          <w:p w14:paraId="4221556F" w14:textId="77777777" w:rsidR="00F4035C" w:rsidRPr="00EE14D2" w:rsidRDefault="00F4035C" w:rsidP="00F4035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 xml:space="preserve">Zintegrowanego (multimodalnego) modelu ruchu </w:t>
            </w:r>
          </w:p>
          <w:p w14:paraId="13D75154" w14:textId="77777777" w:rsidR="00F4035C" w:rsidRPr="00EE14D2" w:rsidRDefault="00F4035C" w:rsidP="00F4035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w:t>
            </w:r>
            <w:r w:rsidRPr="00EE14D2">
              <w:rPr>
                <w:rFonts w:ascii="Times New Roman" w:eastAsia="Times New Roman" w:hAnsi="Times New Roman" w:cs="Times New Roman"/>
                <w:noProof/>
                <w:color w:val="000000"/>
                <w:sz w:val="20"/>
                <w:szCs w:val="20"/>
              </w:rPr>
              <w:tab/>
              <w:t>Opracowanie lub aktualizacja planów sektorowych w zakresie transportu w  tym zapewnienie środków na realizację i utrzymanie istniejącej i planowanej  infrastruktury:</w:t>
            </w:r>
          </w:p>
          <w:p w14:paraId="4657BA5D" w14:textId="77777777" w:rsidR="00F4035C" w:rsidRPr="00EE14D2" w:rsidRDefault="00F4035C" w:rsidP="00F4035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1) Program Budowy Dróg Krajowych na lata 2014-2023 (z perspektywą do 2025 r.) oraz kolejny dokument do 2030 r.  </w:t>
            </w:r>
          </w:p>
          <w:p w14:paraId="2E955A21" w14:textId="77777777" w:rsidR="00F4035C" w:rsidRPr="00EE14D2" w:rsidRDefault="00F4035C" w:rsidP="00F4035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2) Krajowy Program Kolejowy do 2023 r. oraz kolejny dokument do 2030 r.</w:t>
            </w:r>
          </w:p>
          <w:p w14:paraId="32AF5D62" w14:textId="77777777" w:rsidR="00F4035C" w:rsidRPr="00EE14D2" w:rsidRDefault="00F4035C" w:rsidP="00F4035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3) Program rozwoju polskich portów morskich do 2030 r. </w:t>
            </w:r>
          </w:p>
          <w:p w14:paraId="0C9E57B0" w14:textId="77777777" w:rsidR="00F4035C" w:rsidRPr="00EE14D2" w:rsidRDefault="00F4035C" w:rsidP="00F4035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4) Krajowy Program Żeglugowy do 2030 r.</w:t>
            </w:r>
          </w:p>
          <w:p w14:paraId="3196C1AC" w14:textId="77777777" w:rsidR="00F4035C" w:rsidRPr="00EE14D2" w:rsidRDefault="00F4035C" w:rsidP="00F4035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5) Polityka rozwoju lotnictwa cywilnego w Polsce do 2030 r.  (z perspektywą do 2040)</w:t>
            </w:r>
          </w:p>
          <w:p w14:paraId="7F90A8F0" w14:textId="77777777" w:rsidR="00F4035C" w:rsidRPr="00EE14D2" w:rsidRDefault="00F4035C" w:rsidP="00F4035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6) Plan zamierzeń państwa oraz zatwierdzonych do realizacji przedsięwzięć w związku z budową Centralnego Portu Komunikacyjnego – w perspektywie obejmującej Strategię Zrównoważonego Rozwoju Transportu do 2030 roku</w:t>
            </w:r>
          </w:p>
          <w:p w14:paraId="6BAE0E00" w14:textId="77777777" w:rsidR="00F4035C" w:rsidRPr="00EE14D2" w:rsidRDefault="00F4035C" w:rsidP="00F4035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7) Kierunki rozwoju transportu intermodalnego w Polsce do 2030 r. z persp. do 2040 r. </w:t>
            </w:r>
          </w:p>
          <w:p w14:paraId="0F5BF7EF" w14:textId="77777777" w:rsidR="00F4035C" w:rsidRPr="00EE14D2" w:rsidRDefault="00F4035C" w:rsidP="00F4035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8) Program Inwestycji Dworcowych na lata 2016 – 2023 </w:t>
            </w:r>
          </w:p>
          <w:p w14:paraId="56434EE2" w14:textId="77777777" w:rsidR="00F4035C" w:rsidRPr="00EE14D2" w:rsidRDefault="00F4035C" w:rsidP="00F4035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9) Program Budowy 100 Obwodnic na lata 2020 – 2030 oraz aktualizacji tego dokumentu do 2030 r.</w:t>
            </w:r>
          </w:p>
          <w:p w14:paraId="6F3623BE" w14:textId="77777777" w:rsidR="00F4035C" w:rsidRPr="00EE14D2" w:rsidRDefault="00F4035C" w:rsidP="00F4035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Bieżące przekazywanie informacji do KE w oparciu o Krajowy Plan Wdrażania TSI Sterowanie  w Polsce o statusie zabudowy ERTMS na infrastrukturze kolejowej i Suplement do KPW TSI Sterowanie o postępie migracji do systemu ERTMS dla uczestników rynku kolejowego</w:t>
            </w:r>
          </w:p>
          <w:p w14:paraId="0B062298" w14:textId="77777777" w:rsidR="00F4035C" w:rsidRPr="00EE14D2" w:rsidRDefault="00F4035C" w:rsidP="00F4035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Krajowe ramy polityki rozwoju infrastruktury paliw alternatywnych przyjęte przez RM 29 marca 2017 r.</w:t>
            </w:r>
          </w:p>
          <w:p w14:paraId="0569CA5C" w14:textId="77777777" w:rsidR="00F4035C" w:rsidRPr="00EE14D2" w:rsidRDefault="00F4035C" w:rsidP="00F4035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Program Wzmocnienia Krajowej Sieci Drogowej do 2030 roku oraz Program Bezpiecznej Infrastruktury Drogowej na lata 2021-2024</w:t>
            </w:r>
          </w:p>
          <w:p w14:paraId="4684D42F" w14:textId="77777777" w:rsidR="00F4035C" w:rsidRPr="00EE14D2" w:rsidRDefault="00F4035C" w:rsidP="00F4035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Programu poprawy bezpieczeństwa ruchu drogowego na l. 2021-2030.</w:t>
            </w:r>
          </w:p>
          <w:p w14:paraId="1835D477"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Na poziomie regionalnym: Spełnienie kryterium nastąpi poprzez przyjęcie dokumentu "Plan rozwoju infrastruktury transportowej w województwie dolnośląskim z perspektywą do 2030"</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2492A0"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 xml:space="preserve">Na poziomie krajowym: </w:t>
            </w:r>
          </w:p>
          <w:p w14:paraId="6A19E335"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Kryterium spełnione poprzez bieżące przekazywanie informacji do KE w oparciu o przyjęty Narodowy Plan Wdrażania ERTMS w Polsce o statusie zabudowy ERTMS na infrastrukturze kolejowej.</w:t>
            </w:r>
          </w:p>
          <w:p w14:paraId="7E2E5559"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p w14:paraId="528D2327"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Na poziomie regionalnym:</w:t>
            </w:r>
          </w:p>
          <w:p w14:paraId="0B8A77B2"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Kryterium 5. RPT uwzględnia plany prac w zakresie zapewnienia interoperacyjności sieci kolejowej. </w:t>
            </w:r>
            <w:r w:rsidRPr="00EE14D2">
              <w:rPr>
                <w:rFonts w:ascii="Times New Roman" w:eastAsia="Times New Roman" w:hAnsi="Times New Roman" w:cs="Times New Roman"/>
                <w:noProof/>
                <w:color w:val="000000"/>
                <w:sz w:val="20"/>
                <w:szCs w:val="20"/>
              </w:rPr>
              <w:lastRenderedPageBreak/>
              <w:t xml:space="preserve">Wśród trzech wariantów planistycznych rozwoju systemu transportowego służących analizie alternatywnych ścieżek osiągnięcia sformułowanych celów w ramach procesu realizacji RPT do 2030 roku za optymalny i najbardziej efektywny uznano wariant 3, który zakłada, że sieć transportowa modernizowana jest pod kątem zwiększenia przepustowości oraz zapewnienia interoperacyjności. </w:t>
            </w:r>
          </w:p>
          <w:p w14:paraId="5A1EAA0D"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r>
      <w:tr w:rsidR="00644235" w:rsidRPr="00EE14D2" w14:paraId="6C9F5736" w14:textId="77777777" w:rsidTr="00644235">
        <w:trPr>
          <w:jc w:val="center"/>
        </w:trPr>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FE4061"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F8BBA8"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43DD86"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9607B7"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B2CD80"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6. wspiera multimodalność, określając potrzeby w zakresie transportu multimodalnego lub </w:t>
            </w:r>
            <w:r w:rsidRPr="00EE14D2">
              <w:rPr>
                <w:rFonts w:ascii="Times New Roman" w:eastAsia="Times New Roman" w:hAnsi="Times New Roman" w:cs="Times New Roman"/>
                <w:noProof/>
                <w:color w:val="000000"/>
                <w:sz w:val="20"/>
                <w:szCs w:val="20"/>
              </w:rPr>
              <w:lastRenderedPageBreak/>
              <w:t>przeładunkowego oraz terminali pasażerskich;</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827A8E"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lastRenderedPageBreak/>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CF5603" w14:textId="7393662B"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Na poziomie krajowym</w:t>
            </w:r>
          </w:p>
          <w:p w14:paraId="6BA81D08" w14:textId="77777777" w:rsidR="00E51E86" w:rsidRPr="00EE14D2" w:rsidRDefault="00E51E86" w:rsidP="00E51E8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Niespełniony.</w:t>
            </w:r>
          </w:p>
          <w:p w14:paraId="2B6E9D9D" w14:textId="77777777" w:rsidR="00E51E86" w:rsidRPr="00EE14D2" w:rsidRDefault="00E51E86" w:rsidP="00E51E8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 xml:space="preserve"> Spełnienie warunku zapewnia przyjęcie pakietu następujących narzędzi oraz dokumentów na poziomie krajowym:</w:t>
            </w:r>
          </w:p>
          <w:p w14:paraId="4DA1647B" w14:textId="77777777" w:rsidR="00E51E86" w:rsidRPr="00EE14D2" w:rsidRDefault="00E51E86" w:rsidP="00E51E8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 xml:space="preserve">Strategii Zrównoważonego Rozwoju Transportu do 2030 r., która zakłada aktualizację obecnie obowiązujących programów sektorowych. </w:t>
            </w:r>
          </w:p>
          <w:p w14:paraId="4398915C" w14:textId="77777777" w:rsidR="00E51E86" w:rsidRPr="00EE14D2" w:rsidRDefault="00E51E86" w:rsidP="00E51E8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 xml:space="preserve">Zintegrowanego (multimodalnego) modelu ruchu </w:t>
            </w:r>
          </w:p>
          <w:p w14:paraId="4F0D459F" w14:textId="77777777" w:rsidR="00E51E86" w:rsidRPr="00EE14D2" w:rsidRDefault="00E51E86" w:rsidP="00E51E8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Opracowanie lub aktualizacja planów sektorowych w zakresie transportu w  tym zapewnienie środków na realizację i utrzymanie istniejącej i planowanej  infrastruktury:</w:t>
            </w:r>
          </w:p>
          <w:p w14:paraId="4B34BE60" w14:textId="77777777" w:rsidR="00E51E86" w:rsidRPr="00EE14D2" w:rsidRDefault="00E51E86" w:rsidP="00E51E8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1) Program Budowy Dróg Krajowych na lata 2014-2023 (z perspektywą do 2025 r.) oraz kolejny dokument do 2030 r.  </w:t>
            </w:r>
          </w:p>
          <w:p w14:paraId="41784C01" w14:textId="77777777" w:rsidR="00E51E86" w:rsidRPr="00EE14D2" w:rsidRDefault="00E51E86" w:rsidP="00E51E8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2) Krajowy Program Kolejowy do 2023 r. oraz kolejny dokument do 2030 r.</w:t>
            </w:r>
          </w:p>
          <w:p w14:paraId="3F08A81E" w14:textId="77777777" w:rsidR="00E51E86" w:rsidRPr="00EE14D2" w:rsidRDefault="00E51E86" w:rsidP="00E51E8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3) Program rozwoju polskich portów morskich do 2030 r. </w:t>
            </w:r>
          </w:p>
          <w:p w14:paraId="4A265400" w14:textId="77777777" w:rsidR="00E51E86" w:rsidRPr="00EE14D2" w:rsidRDefault="00E51E86" w:rsidP="00E51E8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4) Krajowy Program Żeglugowy do 2030 r.</w:t>
            </w:r>
          </w:p>
          <w:p w14:paraId="3B715A51" w14:textId="77777777" w:rsidR="00E51E86" w:rsidRPr="00EE14D2" w:rsidRDefault="00E51E86" w:rsidP="00E51E8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5) Polityka rozwoju lotnictwa cywilnego w Polsce do 2030 r.  (z perspektywą do 2040)</w:t>
            </w:r>
          </w:p>
          <w:p w14:paraId="06A2B8DC" w14:textId="77777777" w:rsidR="00E51E86" w:rsidRPr="00EE14D2" w:rsidRDefault="00E51E86" w:rsidP="00E51E8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6) Plan zamierzeń państwa oraz zatwierdzonych do realizacji </w:t>
            </w:r>
            <w:r w:rsidRPr="00EE14D2">
              <w:rPr>
                <w:rFonts w:ascii="Times New Roman" w:eastAsia="Times New Roman" w:hAnsi="Times New Roman" w:cs="Times New Roman"/>
                <w:noProof/>
                <w:color w:val="000000"/>
                <w:sz w:val="20"/>
                <w:szCs w:val="20"/>
              </w:rPr>
              <w:lastRenderedPageBreak/>
              <w:t>przedsięwzięć w związku z budową Centralnego Portu Komunikacyjnego – w perspektywie obejmującej Strategię Zrównoważonego Rozwoju Transportu do 2030 roku</w:t>
            </w:r>
          </w:p>
          <w:p w14:paraId="2B9A84D3" w14:textId="77777777" w:rsidR="00E51E86" w:rsidRPr="00EE14D2" w:rsidRDefault="00E51E86" w:rsidP="00E51E8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7) Kierunki rozwoju transportu intermodalnego w Polsce do 2030 r. z persp. do 2040 r. </w:t>
            </w:r>
          </w:p>
          <w:p w14:paraId="61E64F45" w14:textId="77777777" w:rsidR="00E51E86" w:rsidRPr="00EE14D2" w:rsidRDefault="00E51E86" w:rsidP="00E51E8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8) Program Inwestycji Dworcowych na lata 2016 – 2023 </w:t>
            </w:r>
          </w:p>
          <w:p w14:paraId="5B7BE1E2" w14:textId="77777777" w:rsidR="00E51E86" w:rsidRPr="00EE14D2" w:rsidRDefault="00E51E86" w:rsidP="00E51E8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9) Program Budowy 100 Obwodnic na lata 2020 – 2030 oraz aktualizacji tego dokumentu do 2030 r.</w:t>
            </w:r>
          </w:p>
          <w:p w14:paraId="3A957072" w14:textId="77777777" w:rsidR="00E51E86" w:rsidRPr="00EE14D2" w:rsidRDefault="00E51E86" w:rsidP="00E51E8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Bieżące przekazywanie informacji do KE w oparciu o Krajowy Plan Wdrażania TSI Sterowanie  w Polsce o statusie zabudowy ERTMS na infrastrukturze kolejowej i Suplement do KPW TSI Sterowanie o postępie migracji do systemu ERTMS dla uczestników rynku kolejowego</w:t>
            </w:r>
          </w:p>
          <w:p w14:paraId="12079AFC" w14:textId="77777777" w:rsidR="00E51E86" w:rsidRPr="00EE14D2" w:rsidRDefault="00E51E86" w:rsidP="00E51E8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Krajowe ramy polityki rozwoju infrastruktury paliw alternatywnych przyjęte przez RM 29 marca 2017 r.</w:t>
            </w:r>
          </w:p>
          <w:p w14:paraId="48D179A8" w14:textId="77777777" w:rsidR="00E51E86" w:rsidRPr="00EE14D2" w:rsidRDefault="00E51E86" w:rsidP="00E51E8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Program Wzmocnienia Krajowej Sieci Drogowej do 2030 roku oraz Program Bezpiecznej Infrastruktury Drogowej na lata 2021-2024</w:t>
            </w:r>
          </w:p>
          <w:p w14:paraId="27350025" w14:textId="77777777" w:rsidR="00E51E86" w:rsidRPr="00EE14D2" w:rsidRDefault="00E51E86" w:rsidP="00E51E86">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Programu poprawy bezpieczeństwa ruchu drogowego na l. 2021-2030.</w:t>
            </w:r>
          </w:p>
          <w:p w14:paraId="242394E5"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Na poziomie regionalnym: Spełnienie kryterium nastąpi poprzez przyjęcie dokumentu "Plan rozwoju infrastruktury transportowej w województwie dolnośląskim z perspektywą do 2030"</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13ECF0"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 xml:space="preserve">Na poziomie krajowym: </w:t>
            </w:r>
          </w:p>
          <w:p w14:paraId="0B755B34"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Kryterium 6. Spełnienie kryterium zapewnia m.in. Strategia Zrównoważonego Rozwoju Transportu </w:t>
            </w:r>
            <w:r w:rsidRPr="00EE14D2">
              <w:rPr>
                <w:rFonts w:ascii="Times New Roman" w:eastAsia="Times New Roman" w:hAnsi="Times New Roman" w:cs="Times New Roman"/>
                <w:noProof/>
                <w:color w:val="000000"/>
                <w:sz w:val="20"/>
                <w:szCs w:val="20"/>
              </w:rPr>
              <w:lastRenderedPageBreak/>
              <w:t xml:space="preserve">do 2030 r. i stosowne dokumenty wdrożeniowe, obejmujące swym zakresem kwestie transportu multimodalnego </w:t>
            </w:r>
          </w:p>
          <w:p w14:paraId="30388D38"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p w14:paraId="048E6115"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Na poziomie regionalnym:</w:t>
            </w:r>
          </w:p>
          <w:p w14:paraId="652F1DE5"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Kryterium 6. Przygotowanie Koncepcji transportu zeroemisyjnego w województwie dolnośląskim - mobilność rowerowa w codziennych dojazdach Dolnoślązaków oraz Koncepcję sieci głównych tras rowerowych  (tzw. Cyklostrada Dolnośląska), których wyniki uwzględnione zostaną w RPT. </w:t>
            </w:r>
          </w:p>
          <w:p w14:paraId="5B9ACE07"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rPr>
              <w:t xml:space="preserve">Ostateczne uwzględnienie zagadnień nastąpi na etapie oceny projektów jako jedno z głównych kryteriów wyboru. </w:t>
            </w:r>
            <w:r w:rsidRPr="00EE14D2">
              <w:rPr>
                <w:rFonts w:ascii="Times New Roman" w:eastAsia="Times New Roman" w:hAnsi="Times New Roman" w:cs="Times New Roman"/>
                <w:noProof/>
                <w:color w:val="000000"/>
                <w:sz w:val="20"/>
                <w:szCs w:val="20"/>
                <w:lang w:val="en-US"/>
              </w:rPr>
              <w:t>Kryterium zostanie spełnione poprzez przyjęcie ww. dokumentów</w:t>
            </w:r>
          </w:p>
          <w:p w14:paraId="5CDEDBB3"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p>
        </w:tc>
      </w:tr>
      <w:tr w:rsidR="00644235" w:rsidRPr="00EE14D2" w14:paraId="7C27D38F" w14:textId="77777777" w:rsidTr="00644235">
        <w:trPr>
          <w:jc w:val="center"/>
        </w:trPr>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E1B61E"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146E58"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DA10D1"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C3FC83"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BB1E95"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7. obejmuje środki istotne z punktu widzenia planowania infrastruktury, mające na celu promowanie paliw alternatywnych zgodnie z odpowiednimi krajowymi ramami polityki;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9110AC"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396875"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Na poziomie krajowym: Spełnienie kryterium zapewniają Krajowe ramy polityki rozwoju infrastruktury paliw alternatywnych oraz spójne z nimi stosowne dokumenty wdrożeniowe.</w:t>
            </w:r>
          </w:p>
          <w:p w14:paraId="15E69686"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Na poziomie regionalnym: Spełnienie kryterium nastąpi poprzez przyjęcie dokumentu "Plan rozwoju infrastruktury transportowej w województwie dolnośląskim z perspektywą do 2030"</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295FEF"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Na poziomie krajowym: </w:t>
            </w:r>
          </w:p>
          <w:p w14:paraId="305228B8"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Kryterium 7. Spełnienie kryterium zapewniają Krajowe ramy polityki rozwoju infrastruktury paliw alternatywnych oraz spójne z nimi stosowne dokumenty wdrożeniowe.</w:t>
            </w:r>
          </w:p>
          <w:p w14:paraId="5AF0ECF7"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Na poziomie regionalnym:</w:t>
            </w:r>
          </w:p>
          <w:p w14:paraId="67BF9C91"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Kryterium 7. Sporządzono analizę obecnego stanu dostępności dla użytkowników prywatnych, analiza dla transportu zbiorowego powiązana jest z potrzebami wynikającymi z aktualizowanego Planu Transportowego.</w:t>
            </w:r>
          </w:p>
          <w:p w14:paraId="68937622" w14:textId="1C6E03E2"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Przygotowano analizę planowanych działań w celu promowania paliw alternatywnych.</w:t>
            </w:r>
          </w:p>
        </w:tc>
      </w:tr>
      <w:tr w:rsidR="00644235" w:rsidRPr="00EE14D2" w14:paraId="558C33C0" w14:textId="77777777" w:rsidTr="00644235">
        <w:trPr>
          <w:jc w:val="center"/>
        </w:trPr>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EC13A8"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BACD80"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6A8D8D"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C54332"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AFC15C"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8. przedstawia rezultaty oceny ryzyk dla bezpieczeństwa ruchu drogowego zgodnie z istniejącymi krajowymi strategiami bezpieczeństwa ruchu drogowego, wraz z mapowaniem dróg i odcinków narażonych na takie ryzyka oraz </w:t>
            </w:r>
            <w:r w:rsidRPr="00EE14D2">
              <w:rPr>
                <w:rFonts w:ascii="Times New Roman" w:eastAsia="Times New Roman" w:hAnsi="Times New Roman" w:cs="Times New Roman"/>
                <w:noProof/>
                <w:color w:val="000000"/>
                <w:sz w:val="20"/>
                <w:szCs w:val="20"/>
              </w:rPr>
              <w:lastRenderedPageBreak/>
              <w:t>ustaleniem związanych z tym priorytetów inwestycyjnych;</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99CB5B"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lastRenderedPageBreak/>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435629" w14:textId="499D6209" w:rsidR="00F72778" w:rsidRPr="00EE14D2" w:rsidRDefault="00644235" w:rsidP="00F72778">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Na poziomie krajowym: </w:t>
            </w:r>
            <w:r w:rsidR="00F72778" w:rsidRPr="00EE14D2">
              <w:rPr>
                <w:rFonts w:ascii="Times New Roman" w:eastAsia="Times New Roman" w:hAnsi="Times New Roman" w:cs="Times New Roman"/>
                <w:noProof/>
                <w:color w:val="000000"/>
                <w:sz w:val="20"/>
                <w:szCs w:val="20"/>
              </w:rPr>
              <w:t>Niespełniony.</w:t>
            </w:r>
          </w:p>
          <w:p w14:paraId="694D24AE" w14:textId="77777777" w:rsidR="00F72778" w:rsidRPr="00EE14D2" w:rsidRDefault="00F72778" w:rsidP="00F72778">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 Spełnienie warunku zapewnia przyjęcie pakietu następujących narzędzi oraz dokumentów na poziomie krajowym:</w:t>
            </w:r>
          </w:p>
          <w:p w14:paraId="4F85137B" w14:textId="77777777" w:rsidR="00F72778" w:rsidRPr="00EE14D2" w:rsidRDefault="00F72778" w:rsidP="00F72778">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 xml:space="preserve">Strategii Zrównoważonego Rozwoju Transportu do 2030 r., która zakłada aktualizację obecnie </w:t>
            </w:r>
            <w:r w:rsidRPr="00EE14D2">
              <w:rPr>
                <w:rFonts w:ascii="Times New Roman" w:eastAsia="Times New Roman" w:hAnsi="Times New Roman" w:cs="Times New Roman"/>
                <w:noProof/>
                <w:color w:val="000000"/>
                <w:sz w:val="20"/>
                <w:szCs w:val="20"/>
              </w:rPr>
              <w:lastRenderedPageBreak/>
              <w:t xml:space="preserve">obowiązujących programów sektorowych. </w:t>
            </w:r>
          </w:p>
          <w:p w14:paraId="3F494195" w14:textId="77777777" w:rsidR="00F72778" w:rsidRPr="00EE14D2" w:rsidRDefault="00F72778" w:rsidP="00F72778">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 xml:space="preserve">Zintegrowanego (multimodalnego) modelu ruchu </w:t>
            </w:r>
          </w:p>
          <w:p w14:paraId="7865BA2E" w14:textId="77777777" w:rsidR="00F72778" w:rsidRPr="00EE14D2" w:rsidRDefault="00F72778" w:rsidP="00F72778">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Opracowanie lub aktualizacja planów sektorowych w zakresie transportu w  tym zapewnienie środków na realizację i utrzymanie istniejącej i planowanej  infrastruktury:</w:t>
            </w:r>
          </w:p>
          <w:p w14:paraId="71A47ABB" w14:textId="77777777" w:rsidR="00F72778" w:rsidRPr="00EE14D2" w:rsidRDefault="00F72778" w:rsidP="00F72778">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1) Program Budowy Dróg Krajowych na lata 2014-2023 (z perspektywą do 2025 r.) oraz kolejny dokument do 2030 r.  </w:t>
            </w:r>
          </w:p>
          <w:p w14:paraId="4E055A3C" w14:textId="77777777" w:rsidR="00F72778" w:rsidRPr="00EE14D2" w:rsidRDefault="00F72778" w:rsidP="00F72778">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2) Krajowy Program Kolejowy do 2023 r. oraz kolejny dokument do 2030 r.</w:t>
            </w:r>
          </w:p>
          <w:p w14:paraId="3E6384D7" w14:textId="77777777" w:rsidR="00F72778" w:rsidRPr="00EE14D2" w:rsidRDefault="00F72778" w:rsidP="00F72778">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3) Program rozwoju polskich portów morskich do 2030 r. </w:t>
            </w:r>
          </w:p>
          <w:p w14:paraId="0AEC0C2B" w14:textId="77777777" w:rsidR="00F72778" w:rsidRPr="00EE14D2" w:rsidRDefault="00F72778" w:rsidP="00F72778">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4) Krajowy Program Żeglugowy do 2030 r.</w:t>
            </w:r>
          </w:p>
          <w:p w14:paraId="1C9B7BDB" w14:textId="77777777" w:rsidR="00F72778" w:rsidRPr="00EE14D2" w:rsidRDefault="00F72778" w:rsidP="00F72778">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5) Polityka rozwoju lotnictwa cywilnego w Polsce do 2030 r.  (z perspektywą do 2040)</w:t>
            </w:r>
          </w:p>
          <w:p w14:paraId="13EB36CF" w14:textId="77777777" w:rsidR="00F72778" w:rsidRPr="00EE14D2" w:rsidRDefault="00F72778" w:rsidP="00F72778">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6) Plan zamierzeń państwa oraz zatwierdzonych do realizacji przedsięwzięć w związku z budową Centralnego Portu Komunikacyjnego – w perspektywie obejmującej Strategię Zrównoważonego Rozwoju Transportu do 2030 roku</w:t>
            </w:r>
          </w:p>
          <w:p w14:paraId="41A26A28" w14:textId="77777777" w:rsidR="00F72778" w:rsidRPr="00EE14D2" w:rsidRDefault="00F72778" w:rsidP="00F72778">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 xml:space="preserve">7) Kierunki rozwoju transportu intermodalnego w Polsce do 2030 r. z persp. do 2040 r. </w:t>
            </w:r>
          </w:p>
          <w:p w14:paraId="0ECF5AE6" w14:textId="77777777" w:rsidR="00F72778" w:rsidRPr="00EE14D2" w:rsidRDefault="00F72778" w:rsidP="00F72778">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8) Program Inwestycji Dworcowych na lata 2016 – 2023 </w:t>
            </w:r>
          </w:p>
          <w:p w14:paraId="43DEDF47" w14:textId="77777777" w:rsidR="00F72778" w:rsidRPr="00EE14D2" w:rsidRDefault="00F72778" w:rsidP="00F72778">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9) Program Budowy 100 Obwodnic na lata 2020 – 2030 oraz aktualizacji tego dokumentu do 2030 r.</w:t>
            </w:r>
          </w:p>
          <w:p w14:paraId="582889B2" w14:textId="77777777" w:rsidR="00F72778" w:rsidRPr="00EE14D2" w:rsidRDefault="00F72778" w:rsidP="00F72778">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Bieżące przekazywanie informacji do KE w oparciu o Krajowy Plan Wdrażania TSI Sterowanie  w Polsce o statusie zabudowy ERTMS na infrastrukturze kolejowej i Suplement do KPW TSI Sterowanie o postępie migracji do systemu ERTMS dla uczestników rynku kolejowego</w:t>
            </w:r>
          </w:p>
          <w:p w14:paraId="263768E0" w14:textId="77777777" w:rsidR="00F72778" w:rsidRPr="00EE14D2" w:rsidRDefault="00F72778" w:rsidP="00F72778">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Krajowe ramy polityki rozwoju infrastruktury paliw alternatywnych przyjęte przez RM 29 marca 2017 r.</w:t>
            </w:r>
          </w:p>
          <w:p w14:paraId="36BF32D7" w14:textId="77777777" w:rsidR="00F72778" w:rsidRPr="00EE14D2" w:rsidRDefault="00F72778" w:rsidP="00F72778">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Program Wzmocnienia Krajowej Sieci Drogowej do 2030 roku oraz Program Bezpiecznej Infrastruktury Drogowej na lata 2021-2024</w:t>
            </w:r>
          </w:p>
          <w:p w14:paraId="1C6C4C9B" w14:textId="15DD21AC" w:rsidR="00F72778" w:rsidRPr="00EE14D2" w:rsidRDefault="00F72778" w:rsidP="00F72778">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Programu poprawy bezpieczeństwa ruchu drogowego na l. 2021-2030.</w:t>
            </w:r>
          </w:p>
          <w:p w14:paraId="09B9B2EC"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Na poziomie regionalnym: Spełnienie kryterium nastąpi poprzez przyjęcie dokumentu "Plan rozwoju infrastruktury </w:t>
            </w:r>
            <w:r w:rsidRPr="00EE14D2">
              <w:rPr>
                <w:rFonts w:ascii="Times New Roman" w:eastAsia="Times New Roman" w:hAnsi="Times New Roman" w:cs="Times New Roman"/>
                <w:noProof/>
                <w:color w:val="000000"/>
                <w:sz w:val="20"/>
                <w:szCs w:val="20"/>
              </w:rPr>
              <w:lastRenderedPageBreak/>
              <w:t>transportowej w województwie dolnośląskim z perspektywą do 2030"</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11BD02"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 xml:space="preserve">Na poziomie krajowym: </w:t>
            </w:r>
          </w:p>
          <w:p w14:paraId="278CD530"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Kryterium 8. Spełnienie kryterium zapewnia Narodowy Program Bezpieczeństwa Ruchu Drogowego na lata 2021 – 2030 wraz ze stosownymi dokumentami wdrożeniowymi sektora drogowego, obejmującymi kwestie bezpieczeństwa ruchu drogowego </w:t>
            </w:r>
          </w:p>
          <w:p w14:paraId="60DB55A6"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Na poziomie regionalnym:</w:t>
            </w:r>
          </w:p>
          <w:p w14:paraId="59719885"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Kryterium 8. Przeprowadzona analiza BRD bazuje na ATLASIE ZAGROŻEŃ NA GŁÓWNYCH DROGACH KOMUNIKACYJNYCH OBSZARU WOJEWÓDZTWA DOLNOŚLĄSKIEGO W LATACH  2017 – 2018, który przygotowany został w 2019 r. przez zespół specjalistów z zakresu problematyki bezpieczeństwa ruchu drogowego Urzędu Marszałkowskiego Województwa Dolnośląskiego oraz współpracy z Wydziałem Ruchu Drogowego Komendy Wojewódzkiej Policji. Ponadto przeprowadzone zostały dodatkowe analizy bezpieczeństwa ruchu drogowego, z użyciem map cieplnych, mające na celu wskazanie obszarów wymagających szczególnej uwagi. Wszystkie analizy oparte zostały na danych pozyskanych z Systemu Ewidencji Wypadków i Kolizji (SEWiK).</w:t>
            </w:r>
          </w:p>
          <w:p w14:paraId="75F510A3"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r>
      <w:tr w:rsidR="00644235" w:rsidRPr="00EE14D2" w14:paraId="6BCACFA0" w14:textId="77777777" w:rsidTr="00644235">
        <w:trPr>
          <w:jc w:val="center"/>
        </w:trPr>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AA345F"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A828BB"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2F7076"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FA5999"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4C30A6"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9. dostarcza informacji na temat zasobów finansowania odpowiadających planowanym inwestycjom, koniecznych do pokrycia kosztów operacyjnych i kosztów utrzymania istniejącej i planowanej infrastruktury.</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F34A10"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6D2806" w14:textId="271378B5"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Na poziomie krajowym: </w:t>
            </w:r>
          </w:p>
          <w:p w14:paraId="626A6802" w14:textId="77777777" w:rsidR="00E836B8" w:rsidRPr="00EE14D2" w:rsidRDefault="00E836B8" w:rsidP="00E836B8">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Niespełniony.</w:t>
            </w:r>
          </w:p>
          <w:p w14:paraId="27250BF0" w14:textId="77777777" w:rsidR="00E836B8" w:rsidRPr="00EE14D2" w:rsidRDefault="00E836B8" w:rsidP="00E836B8">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 Spełnienie warunku zapewnia przyjęcie pakietu następujących narzędzi oraz dokumentów na poziomie krajowym:</w:t>
            </w:r>
          </w:p>
          <w:p w14:paraId="5347CFA7" w14:textId="77777777" w:rsidR="00E836B8" w:rsidRPr="00EE14D2" w:rsidRDefault="00E836B8" w:rsidP="00E836B8">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 xml:space="preserve">Strategii Zrównoważonego Rozwoju Transportu do 2030 r., która zakłada aktualizację obecnie obowiązujących programów sektorowych. </w:t>
            </w:r>
          </w:p>
          <w:p w14:paraId="04F60EDE" w14:textId="77777777" w:rsidR="00E836B8" w:rsidRPr="00EE14D2" w:rsidRDefault="00E836B8" w:rsidP="00E836B8">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 xml:space="preserve">Zintegrowanego (multimodalnego) modelu ruchu </w:t>
            </w:r>
          </w:p>
          <w:p w14:paraId="6EA4FBEA" w14:textId="77777777" w:rsidR="00E836B8" w:rsidRPr="00EE14D2" w:rsidRDefault="00E836B8" w:rsidP="00E836B8">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Opracowanie lub aktualizacja planów sektorowych w zakresie transportu w  tym zapewnienie środków na realizację i utrzymanie istniejącej i planowanej  infrastruktury:</w:t>
            </w:r>
          </w:p>
          <w:p w14:paraId="4A6132B9" w14:textId="77777777" w:rsidR="00E836B8" w:rsidRPr="00EE14D2" w:rsidRDefault="00E836B8" w:rsidP="00E836B8">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1) Program Budowy Dróg Krajowych na lata 2014-2023 (z perspektywą do 2025 r.) oraz kolejny dokument do 2030 r.  </w:t>
            </w:r>
          </w:p>
          <w:p w14:paraId="0DE3C0A5" w14:textId="77777777" w:rsidR="00E836B8" w:rsidRPr="00EE14D2" w:rsidRDefault="00E836B8" w:rsidP="00E836B8">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2) Krajowy Program Kolejowy do 2023 r. oraz kolejny dokument do 2030 r.</w:t>
            </w:r>
          </w:p>
          <w:p w14:paraId="756240D2" w14:textId="77777777" w:rsidR="00E836B8" w:rsidRPr="00EE14D2" w:rsidRDefault="00E836B8" w:rsidP="00E836B8">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3) Program rozwoju polskich portów morskich do 2030 r. </w:t>
            </w:r>
          </w:p>
          <w:p w14:paraId="555DB20C" w14:textId="77777777" w:rsidR="00E836B8" w:rsidRPr="00EE14D2" w:rsidRDefault="00E836B8" w:rsidP="00E836B8">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4) Krajowy Program Żeglugowy do 2030 r.</w:t>
            </w:r>
          </w:p>
          <w:p w14:paraId="068456A5" w14:textId="77777777" w:rsidR="00E836B8" w:rsidRPr="00EE14D2" w:rsidRDefault="00E836B8" w:rsidP="00E836B8">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5) Polityka rozwoju lotnictwa cywilnego w Polsce do 2030 r.  (z perspektywą do 2040)</w:t>
            </w:r>
          </w:p>
          <w:p w14:paraId="1DFCBB14" w14:textId="77777777" w:rsidR="00E836B8" w:rsidRPr="00EE14D2" w:rsidRDefault="00E836B8" w:rsidP="00E836B8">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6) Plan zamierzeń państwa oraz zatwierdzonych do realizacji przedsięwzięć w związku z budową Centralnego Portu Komunikacyjnego – w perspektywie obejmującej Strategię Zrównoważonego Rozwoju Transportu do 2030 roku</w:t>
            </w:r>
          </w:p>
          <w:p w14:paraId="03A1BE85" w14:textId="77777777" w:rsidR="00E836B8" w:rsidRPr="00EE14D2" w:rsidRDefault="00E836B8" w:rsidP="00E836B8">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7) Kierunki rozwoju transportu intermodalnego w Polsce do 2030 r. z persp. do 2040 r. </w:t>
            </w:r>
          </w:p>
          <w:p w14:paraId="6F169608" w14:textId="77777777" w:rsidR="00E836B8" w:rsidRPr="00EE14D2" w:rsidRDefault="00E836B8" w:rsidP="00E836B8">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8) Program Inwestycji Dworcowych na lata 2016 – 2023 </w:t>
            </w:r>
          </w:p>
          <w:p w14:paraId="5086A711" w14:textId="77777777" w:rsidR="00E836B8" w:rsidRPr="00EE14D2" w:rsidRDefault="00E836B8" w:rsidP="00E836B8">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9) Program Budowy 100 Obwodnic na lata 2020 – 2030 oraz aktualizacji tego dokumentu do 2030 r.</w:t>
            </w:r>
          </w:p>
          <w:p w14:paraId="58C4223F" w14:textId="77777777" w:rsidR="00E836B8" w:rsidRPr="00EE14D2" w:rsidRDefault="00E836B8" w:rsidP="00E836B8">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Bieżące przekazywanie informacji do KE w oparciu o Krajowy Plan Wdrażania TSI Sterowanie  w Polsce o statusie zabudowy ERTMS na infrastrukturze kolejowej i Suplement do KPW TSI Sterowanie o postępie migracji do systemu ERTMS dla uczestników rynku kolejowego</w:t>
            </w:r>
          </w:p>
          <w:p w14:paraId="7762BA61" w14:textId="77777777" w:rsidR="00E836B8" w:rsidRPr="00EE14D2" w:rsidRDefault="00E836B8" w:rsidP="00E836B8">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Krajowe ramy polityki rozwoju infrastruktury paliw alternatywnych przyjęte przez RM 29 marca 2017 r.</w:t>
            </w:r>
          </w:p>
          <w:p w14:paraId="2194FFDF" w14:textId="77777777" w:rsidR="00E836B8" w:rsidRPr="00EE14D2" w:rsidRDefault="00E836B8" w:rsidP="00E836B8">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w:t>
            </w:r>
            <w:r w:rsidRPr="00EE14D2">
              <w:rPr>
                <w:rFonts w:ascii="Times New Roman" w:eastAsia="Times New Roman" w:hAnsi="Times New Roman" w:cs="Times New Roman"/>
                <w:noProof/>
                <w:color w:val="000000"/>
                <w:sz w:val="20"/>
                <w:szCs w:val="20"/>
              </w:rPr>
              <w:tab/>
              <w:t>Program Wzmocnienia Krajowej Sieci Drogowej do 2030 roku oraz Program Bezpiecznej Infrastruktury Drogowej na lata 2021-2024</w:t>
            </w:r>
          </w:p>
          <w:p w14:paraId="6C28BF63" w14:textId="77777777" w:rsidR="00E836B8" w:rsidRPr="00EE14D2" w:rsidRDefault="00E836B8" w:rsidP="00E836B8">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Programu poprawy bezpieczeństwa ruchu drogowego na l. 2021-2030.</w:t>
            </w:r>
          </w:p>
          <w:p w14:paraId="57566CB3"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Na poziomie regionalnym: Spełnienie kryterium nastąpi poprzez przyjęcie dokumentu "Plan rozwoju infrastruktury transportowej w województwie dolnośląskim z perspektywą do 2030"</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94FD19"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 xml:space="preserve">Na poziomie krajowym: </w:t>
            </w:r>
          </w:p>
          <w:p w14:paraId="53BE7B67"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Kryterium 9. Spełnienie kryterium zapewnione poprzez stosowne programy utrzymaniowe opracowane na poziomie krajowym lub informacje o sposobie zapewnienia środków na utrzymanie inwestycji i ich wartości, przedstawione w raporcie z samooceny spełnienia warunku. </w:t>
            </w:r>
          </w:p>
          <w:p w14:paraId="4D90F7A8"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Na poziomie regionalnym:</w:t>
            </w:r>
          </w:p>
          <w:p w14:paraId="4D79CEAF"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Kryterium 9. Sporządzono opis potrzeb finansowych niezbędnych do utrzymania obecnej i planowanej infrastruktury. Analizę przeprowadzono na podstawie danych dot. kosztów utrzymania pozyskanych od zarządców infrastruktury oraz jednostek odpowiedzialnymi za organizację transportu zbiorowego, przy uwzględnieniu m.in. kosztów rewitalizacji przejmowanych przez Samorząd Województwa linii kolejowych o znaczeniu regionalnym.</w:t>
            </w:r>
          </w:p>
          <w:p w14:paraId="54FAE391"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p w14:paraId="37F92345"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r>
      <w:tr w:rsidR="00644235" w:rsidRPr="00EE14D2" w14:paraId="7133F53A" w14:textId="77777777" w:rsidTr="00644235">
        <w:trPr>
          <w:jc w:val="center"/>
        </w:trPr>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8C2ADA"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4.1. Ramy strategiczne polityki na rzecz aktywnej polityki rynku pracy</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54E59B"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p w14:paraId="4DF9412D"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EFS+</w:t>
            </w:r>
          </w:p>
          <w:p w14:paraId="6E463B54"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5EF982"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p w14:paraId="3196AA99"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ESO4.2. Modernizacja instytucji i służb rynków pracy celem oceny i przewidywania zapotrzebowania na umiejętności oraz zapewnienia terminowej i odpowiednio dopasowanej pomocy i wsparcia na rzecz dostosowania umiejętności i kwalifikacji zawodowych do </w:t>
            </w:r>
            <w:r w:rsidRPr="00EE14D2">
              <w:rPr>
                <w:rFonts w:ascii="Times New Roman" w:eastAsia="Times New Roman" w:hAnsi="Times New Roman" w:cs="Times New Roman"/>
                <w:noProof/>
                <w:color w:val="000000"/>
                <w:sz w:val="20"/>
                <w:szCs w:val="20"/>
              </w:rPr>
              <w:lastRenderedPageBreak/>
              <w:t>potrzeb rynku pracy oraz na rzecz przepływów i mobilności na rynku pracy</w:t>
            </w:r>
            <w:r w:rsidRPr="00EE14D2">
              <w:rPr>
                <w:rFonts w:ascii="Times New Roman" w:eastAsia="Times New Roman" w:hAnsi="Times New Roman" w:cs="Times New Roman"/>
                <w:noProof/>
                <w:color w:val="000000"/>
                <w:sz w:val="20"/>
                <w:szCs w:val="20"/>
              </w:rPr>
              <w:br/>
              <w:t xml:space="preserve">ESO4.1. Poprawa dostępu do zatrudnienia i działań aktywizujących dla wszystkich osób poszukujących pracy – w szczególności osób młodych, zwłaszcza poprzez wdrażanie gwarancji dla młodzieży – dla osób długotrwale bezrobotnych oraz grup znajdujących się w niekorzystnej sytuacji na rynku pracy, jak również dla osób biernych zawodowo, a także poprzez promowanie </w:t>
            </w:r>
            <w:r w:rsidRPr="00EE14D2">
              <w:rPr>
                <w:rFonts w:ascii="Times New Roman" w:eastAsia="Times New Roman" w:hAnsi="Times New Roman" w:cs="Times New Roman"/>
                <w:noProof/>
                <w:color w:val="000000"/>
                <w:sz w:val="20"/>
                <w:szCs w:val="20"/>
              </w:rPr>
              <w:lastRenderedPageBreak/>
              <w:t>samozatrudnienia i ekonomii społecznej;</w:t>
            </w:r>
          </w:p>
          <w:p w14:paraId="7C1B7629"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910725" w14:textId="7B4BAFD7" w:rsidR="00644235" w:rsidRPr="00EE14D2" w:rsidRDefault="00A40083"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lastRenderedPageBreak/>
              <w:t>Tak</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CBE0D9"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Istnienie ram strategicznych polityki na rzecz aktywnych polityk rynku pracy w świetle wytycznych dotyczących zatrudnienia; ramy te obejmują:</w:t>
            </w:r>
          </w:p>
          <w:p w14:paraId="4A7DA678"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1. rozwiązania w zakresie sporządzania profilów osób poszukujących pracy i oceny ich potrzeb;</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6827ED" w14:textId="21A5C70A" w:rsidR="00644235" w:rsidRPr="00EE14D2" w:rsidRDefault="00A40083"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409C12" w14:textId="53C5F4EA" w:rsidR="00A40083" w:rsidRPr="00EE14D2" w:rsidRDefault="00A40083" w:rsidP="00A40083">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Ramy strategiczne</w:t>
            </w:r>
            <w:r w:rsidR="00EE14D2">
              <w:rPr>
                <w:rFonts w:ascii="Times New Roman" w:eastAsia="Times New Roman" w:hAnsi="Times New Roman" w:cs="Times New Roman"/>
                <w:noProof/>
                <w:color w:val="000000"/>
                <w:sz w:val="20"/>
                <w:szCs w:val="20"/>
              </w:rPr>
              <w:t xml:space="preserve"> </w:t>
            </w:r>
            <w:r w:rsidRPr="00EE14D2">
              <w:rPr>
                <w:rFonts w:ascii="Times New Roman" w:eastAsia="Times New Roman" w:hAnsi="Times New Roman" w:cs="Times New Roman"/>
                <w:noProof/>
                <w:color w:val="000000"/>
                <w:sz w:val="20"/>
                <w:szCs w:val="20"/>
              </w:rPr>
              <w:t xml:space="preserve">polityki na rzecz </w:t>
            </w:r>
          </w:p>
          <w:p w14:paraId="5C1EB400" w14:textId="6C5190DE" w:rsidR="00A40083" w:rsidRPr="00EE14D2" w:rsidRDefault="00A40083" w:rsidP="00A40083">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aktywnej polityki rynku pracy stanowi </w:t>
            </w:r>
          </w:p>
          <w:p w14:paraId="23DBFDF5" w14:textId="102F8904" w:rsidR="00A40083" w:rsidRPr="00EE14D2" w:rsidRDefault="00A40083" w:rsidP="00A40083">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ustawa o promocji zatrudnienia i </w:t>
            </w:r>
          </w:p>
          <w:p w14:paraId="2A4DD972" w14:textId="0AA81561" w:rsidR="00A40083" w:rsidRPr="00EE14D2" w:rsidRDefault="00A40083" w:rsidP="00A40083">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instytucjach rynku pracy (Dz. U. z 2020 </w:t>
            </w:r>
          </w:p>
          <w:p w14:paraId="7CED2CFB" w14:textId="6D48E32E" w:rsidR="00A40083" w:rsidRPr="00EE14D2" w:rsidRDefault="00A40083" w:rsidP="00A40083">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r. poz. 1409, z późn. zm.) wraz z aktami </w:t>
            </w:r>
          </w:p>
          <w:p w14:paraId="03C259D1" w14:textId="20405DB7" w:rsidR="00A40083" w:rsidRPr="00EE14D2" w:rsidRDefault="00A40083" w:rsidP="00A40083">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wykonawczymi. Spełnienie kryterium </w:t>
            </w:r>
          </w:p>
          <w:p w14:paraId="58759AFA" w14:textId="6057EEA6" w:rsidR="00A40083" w:rsidRPr="00EE14D2" w:rsidRDefault="00A40083" w:rsidP="00A40083">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zapewnia Indywidualny Planu </w:t>
            </w:r>
          </w:p>
          <w:p w14:paraId="02B2C59D" w14:textId="51834510" w:rsidR="00A40083" w:rsidRPr="00EE14D2" w:rsidRDefault="00A40083" w:rsidP="00A40083">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Działania (IPD) - art. 34a Ustawy z dnia 20 kwietnia 2004 r. o promocji zatrudnienia i instytucjach rynku pracy.</w:t>
            </w:r>
          </w:p>
          <w:p w14:paraId="774470EE" w14:textId="48FC4D44" w:rsidR="00644235" w:rsidRPr="00EE14D2" w:rsidRDefault="00A40083" w:rsidP="00EE14D2">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http://isap.sejm.gov.pl/isap.nsf/download</w:t>
            </w:r>
            <w:r w:rsidR="00EE14D2">
              <w:rPr>
                <w:rFonts w:ascii="Times New Roman" w:hAnsi="Times New Roman" w:cs="Times New Roman"/>
                <w:sz w:val="20"/>
                <w:szCs w:val="20"/>
              </w:rPr>
              <w:t>.</w:t>
            </w:r>
            <w:r w:rsidRPr="00EE14D2">
              <w:rPr>
                <w:rFonts w:ascii="Times New Roman" w:eastAsia="Times New Roman" w:hAnsi="Times New Roman" w:cs="Times New Roman"/>
                <w:noProof/>
                <w:color w:val="000000"/>
                <w:sz w:val="20"/>
                <w:szCs w:val="20"/>
              </w:rPr>
              <w:t>xsp/WDU20040991001/U/D20041001Lj.pdf</w:t>
            </w:r>
            <w:r w:rsidRPr="00EE14D2" w:rsidDel="00A40083">
              <w:rPr>
                <w:rFonts w:ascii="Times New Roman" w:eastAsia="Times New Roman" w:hAnsi="Times New Roman" w:cs="Times New Roman"/>
                <w:noProof/>
                <w:color w:val="000000"/>
                <w:sz w:val="20"/>
                <w:szCs w:val="20"/>
              </w:rPr>
              <w:t xml:space="preserve"> </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AD5F76" w14:textId="3038EB57" w:rsidR="00644235" w:rsidRPr="00EE14D2" w:rsidRDefault="00A40083" w:rsidP="00EE14D2">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Urząd pracy ma obowiązek przygotować IPD dla każdego bezrobotnego w terminie 60 dni od dnia rejestracji w urzędzie. Urząd pracy ustalając sytuację bezrobotnego i dostosowując dla niego pomoc bierze pod uwagę wiele czynników, m.in. wykształcenie, doświadczenie zawodowe, umiejętności i uprawnienia zawodowe, dyspozycyjność, czas pozostawania bez pracy, miejsce zamieszkania, </w:t>
            </w:r>
            <w:r w:rsidR="00EE14D2">
              <w:rPr>
                <w:rFonts w:ascii="Times New Roman" w:eastAsia="Times New Roman" w:hAnsi="Times New Roman" w:cs="Times New Roman"/>
                <w:noProof/>
                <w:color w:val="000000"/>
                <w:sz w:val="20"/>
                <w:szCs w:val="20"/>
              </w:rPr>
              <w:t>z</w:t>
            </w:r>
            <w:r w:rsidRPr="00EE14D2">
              <w:rPr>
                <w:rFonts w:ascii="Times New Roman" w:eastAsia="Times New Roman" w:hAnsi="Times New Roman" w:cs="Times New Roman"/>
                <w:noProof/>
                <w:color w:val="000000"/>
                <w:sz w:val="20"/>
                <w:szCs w:val="20"/>
              </w:rPr>
              <w:t>aangażowanie w</w:t>
            </w:r>
            <w:r w:rsidR="00EE14D2">
              <w:rPr>
                <w:rFonts w:ascii="Times New Roman" w:eastAsia="Times New Roman" w:hAnsi="Times New Roman" w:cs="Times New Roman"/>
                <w:noProof/>
                <w:color w:val="000000"/>
                <w:sz w:val="20"/>
                <w:szCs w:val="20"/>
              </w:rPr>
              <w:t xml:space="preserve"> </w:t>
            </w:r>
            <w:r w:rsidRPr="00EE14D2">
              <w:rPr>
                <w:rFonts w:ascii="Times New Roman" w:eastAsia="Times New Roman" w:hAnsi="Times New Roman" w:cs="Times New Roman"/>
                <w:noProof/>
                <w:color w:val="000000"/>
                <w:sz w:val="20"/>
                <w:szCs w:val="20"/>
              </w:rPr>
              <w:t>samodzielne poszukiwanie pracy i możliwości podjęcia pracy lub</w:t>
            </w:r>
            <w:r w:rsidR="00EE14D2">
              <w:rPr>
                <w:rFonts w:ascii="Times New Roman" w:eastAsia="Times New Roman" w:hAnsi="Times New Roman" w:cs="Times New Roman"/>
                <w:noProof/>
                <w:color w:val="000000"/>
                <w:sz w:val="20"/>
                <w:szCs w:val="20"/>
              </w:rPr>
              <w:t xml:space="preserve"> </w:t>
            </w:r>
            <w:r w:rsidRPr="00EE14D2">
              <w:rPr>
                <w:rFonts w:ascii="Times New Roman" w:eastAsia="Times New Roman" w:hAnsi="Times New Roman" w:cs="Times New Roman"/>
                <w:noProof/>
                <w:color w:val="000000"/>
                <w:sz w:val="20"/>
                <w:szCs w:val="20"/>
              </w:rPr>
              <w:t xml:space="preserve">działalności gospodarczej. Ww. informacje pozyskiwane są podczas rejestracji bezrobotnego oraz w wywiadzie (w tym z wykorzystaniem kwestionariusza udostępnianego w systemie teleinformatycznym przez ministra </w:t>
            </w:r>
            <w:r w:rsidRPr="00EE14D2">
              <w:rPr>
                <w:rFonts w:ascii="Times New Roman" w:eastAsia="Times New Roman" w:hAnsi="Times New Roman" w:cs="Times New Roman"/>
                <w:noProof/>
                <w:color w:val="000000"/>
                <w:sz w:val="20"/>
                <w:szCs w:val="20"/>
              </w:rPr>
              <w:lastRenderedPageBreak/>
              <w:t>właściwego do spraw pracy). Powiatowy urząd pracy w okresie</w:t>
            </w:r>
            <w:r w:rsidR="00EE14D2">
              <w:rPr>
                <w:rFonts w:ascii="Times New Roman" w:eastAsia="Times New Roman" w:hAnsi="Times New Roman" w:cs="Times New Roman"/>
                <w:noProof/>
                <w:color w:val="000000"/>
                <w:sz w:val="20"/>
                <w:szCs w:val="20"/>
              </w:rPr>
              <w:t xml:space="preserve"> </w:t>
            </w:r>
            <w:r w:rsidRPr="00EE14D2">
              <w:rPr>
                <w:rFonts w:ascii="Times New Roman" w:eastAsia="Times New Roman" w:hAnsi="Times New Roman" w:cs="Times New Roman"/>
                <w:noProof/>
                <w:color w:val="000000"/>
                <w:sz w:val="20"/>
                <w:szCs w:val="20"/>
              </w:rPr>
              <w:t>realizacji IPD ma obowiązek kontaktować się z bezrobotnym co najmniej</w:t>
            </w:r>
            <w:r w:rsidR="00EE14D2">
              <w:rPr>
                <w:rFonts w:ascii="Times New Roman" w:eastAsia="Times New Roman" w:hAnsi="Times New Roman" w:cs="Times New Roman"/>
                <w:noProof/>
                <w:color w:val="000000"/>
                <w:sz w:val="20"/>
                <w:szCs w:val="20"/>
              </w:rPr>
              <w:t xml:space="preserve"> </w:t>
            </w:r>
            <w:r w:rsidRPr="00EE14D2">
              <w:rPr>
                <w:rFonts w:ascii="Times New Roman" w:eastAsia="Times New Roman" w:hAnsi="Times New Roman" w:cs="Times New Roman"/>
                <w:noProof/>
                <w:color w:val="000000"/>
                <w:sz w:val="20"/>
                <w:szCs w:val="20"/>
              </w:rPr>
              <w:t>raz na 60 dni w celu monitorowania sytuacji i postępów w realizacji działań przewidzianych w IPD. Ww. kontakt może być realizowany przez powiatowy urząd pracy w formie spotkania, rozmowy telefonicznej lub</w:t>
            </w:r>
            <w:r w:rsidR="00EE14D2">
              <w:rPr>
                <w:rFonts w:ascii="Times New Roman" w:eastAsia="Times New Roman" w:hAnsi="Times New Roman" w:cs="Times New Roman"/>
                <w:noProof/>
                <w:color w:val="000000"/>
                <w:sz w:val="20"/>
                <w:szCs w:val="20"/>
              </w:rPr>
              <w:t xml:space="preserve"> </w:t>
            </w:r>
            <w:r w:rsidRPr="00EE14D2">
              <w:rPr>
                <w:rFonts w:ascii="Times New Roman" w:eastAsia="Times New Roman" w:hAnsi="Times New Roman" w:cs="Times New Roman"/>
                <w:noProof/>
                <w:color w:val="000000"/>
                <w:sz w:val="20"/>
                <w:szCs w:val="20"/>
              </w:rPr>
              <w:t>wymiany informacji drogą elektroniczną / pocztową.</w:t>
            </w:r>
          </w:p>
        </w:tc>
      </w:tr>
      <w:tr w:rsidR="00644235" w:rsidRPr="00EE14D2" w14:paraId="726390A5" w14:textId="77777777" w:rsidTr="00644235">
        <w:trPr>
          <w:jc w:val="center"/>
        </w:trPr>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539739"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DD47F0"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1DA11E"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BB016B"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325A15"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2. informacje o wolnych miejscach pracy i możliwościach zatrudnienia z uwzględnieniem potrzeb na rynku pracy;</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B6CD45"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685EB8" w14:textId="12A925C0" w:rsidR="00644235" w:rsidRPr="00EE14D2" w:rsidRDefault="00A40083" w:rsidP="001C11D9">
            <w:pPr>
              <w:spacing w:before="100" w:after="0" w:line="240" w:lineRule="auto"/>
              <w:rPr>
                <w:rFonts w:ascii="Times New Roman" w:eastAsia="Times New Roman" w:hAnsi="Times New Roman" w:cs="Times New Roman"/>
                <w:noProof/>
                <w:color w:val="000000"/>
                <w:sz w:val="20"/>
                <w:szCs w:val="20"/>
              </w:rPr>
            </w:pPr>
            <w:r w:rsidRPr="00EE14D2">
              <w:rPr>
                <w:rFonts w:ascii="Times New Roman" w:hAnsi="Times New Roman" w:cs="Times New Roman"/>
                <w:sz w:val="20"/>
                <w:szCs w:val="20"/>
              </w:rPr>
              <w:t>Spełnienie kryterium zapewnia Ustawa z dnia 20 kwietnia 2004 r. o promocji zatrudnienia i instytucjach rynku pracy (art. 4 ust. 1 pkt 7 lit. e) http://isap.sejm.gov. pl/isap.nsf/download.xsp/WDU200409910 01/U/D20041001Lj.pdf Centralna Baza Ofert Pracy http://oferty.praca.gov.pl/</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06A7E3" w14:textId="71F0FBD3" w:rsidR="00644235" w:rsidRPr="00EE14D2" w:rsidRDefault="00A40083" w:rsidP="00644235">
            <w:pPr>
              <w:spacing w:before="100" w:after="0" w:line="240" w:lineRule="auto"/>
              <w:rPr>
                <w:rFonts w:ascii="Times New Roman" w:eastAsia="Times New Roman" w:hAnsi="Times New Roman" w:cs="Times New Roman"/>
                <w:noProof/>
                <w:color w:val="000000"/>
                <w:sz w:val="20"/>
                <w:szCs w:val="20"/>
                <w:lang w:val="en-US"/>
              </w:rPr>
            </w:pPr>
            <w:r w:rsidRPr="00EE14D2">
              <w:rPr>
                <w:rFonts w:ascii="Times New Roman" w:hAnsi="Times New Roman" w:cs="Times New Roman"/>
                <w:sz w:val="20"/>
                <w:szCs w:val="20"/>
              </w:rPr>
              <w:t xml:space="preserve">Powiatowe urzędy pracy w ramach usługi pośrednictwa pracy przyjmują i realizują oferty pracy przestrzegając zasady jawności ofert pracy. Każda przyjęta i realizowana oferta pracy przez urząd pracy jest automatycznie przekazywana do internetowej bazy ofert pracy udostępnianej przez ministra właściwego do spraw pracy, której rolę pełni obecnie Centralna Baza Ofert Pracy (CBOP). CBOP to nieograniczony dostęp do aktualnej informacji o ofertach pracy w kraju i za granicą, upowszechnionych przez sieć EURES. CBOP umożliwia także prezentowanie informacji o organizowanych przez powiatowe urzędy pracy stażach, przygotowaniu zawodowym dorosłych, a także organizowanych przez powiatowe i wojewódzkie urzędy pracy szkoleniach, targach i giełdach pracy, </w:t>
            </w:r>
            <w:r w:rsidRPr="00EE14D2">
              <w:rPr>
                <w:rFonts w:ascii="Times New Roman" w:hAnsi="Times New Roman" w:cs="Times New Roman"/>
                <w:sz w:val="20"/>
                <w:szCs w:val="20"/>
              </w:rPr>
              <w:lastRenderedPageBreak/>
              <w:t>praktykach studenckich organizowanych w instytucjach publicznych oraz wyszukiwanie praktyk i staży zgłaszanych przez pracodawców. CBOP jest zintegrowana z innymi systemami takimi jak Wortal PSZ (psz.praca.gov.p1), praca.gov.pl, Syriusz Std (wykorzystywanym przez powiatowe urzędy pracy), WUP Viator (wykorzystywanym przez wojewódzkie urzędy pracy). CBOP dostępna z komputera, tabletu i smartfona.</w:t>
            </w:r>
          </w:p>
        </w:tc>
      </w:tr>
      <w:tr w:rsidR="00644235" w:rsidRPr="00EE14D2" w14:paraId="3F013306" w14:textId="77777777" w:rsidTr="00644235">
        <w:trPr>
          <w:jc w:val="center"/>
        </w:trPr>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B0FA55"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807A66"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E48E11"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2B1B69"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C76117"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3. rozwiązania służące zapewnieniu, by opracowanie tych ram, ich wdrożenie, monitorowanie i przegląd były prowadzone w ścisłej współpracy z odpowiednimi zainteresowanymi stronami;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E46FF1" w14:textId="44F9D25A" w:rsidR="00644235" w:rsidRPr="00EE14D2" w:rsidRDefault="00A40083"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78D5E1" w14:textId="7E19F29D" w:rsidR="00A67D49" w:rsidRPr="00EE14D2" w:rsidRDefault="00A40083" w:rsidP="00A67D49">
            <w:pPr>
              <w:spacing w:before="100" w:after="0" w:line="240" w:lineRule="auto"/>
              <w:rPr>
                <w:rFonts w:ascii="Times New Roman" w:eastAsia="Times New Roman" w:hAnsi="Times New Roman" w:cs="Times New Roman"/>
                <w:noProof/>
                <w:color w:val="000000"/>
                <w:sz w:val="20"/>
                <w:szCs w:val="20"/>
              </w:rPr>
            </w:pPr>
            <w:r w:rsidRPr="00EE14D2">
              <w:rPr>
                <w:rFonts w:ascii="Times New Roman" w:hAnsi="Times New Roman" w:cs="Times New Roman"/>
                <w:sz w:val="20"/>
                <w:szCs w:val="20"/>
              </w:rPr>
              <w:t xml:space="preserve">Ustawa z 20.04 2004 r. o promocji zatrudnienia i instytucjach rynku pracy (rozdział 5, rozdział 8, art. 22) http://isap.sejm.gov. pl/isap.nsf/download.xsp/WDU200409910 01/U/D20041001Lj.pdf Ustawa z 24.07 2015 r. o Radzie Dialogu Społecznego i innych instytucjach dialogu społecznego https://isap.sejm.gov.pl/isap.nsf/downloa d.xsp/WDU20150001 240/U/D20151240Lj. pdf Rozporządzenie MPiPS z 22.07 2011 r. w sprawie </w:t>
            </w:r>
            <w:r w:rsidR="00DC6C6F" w:rsidRPr="00EE14D2">
              <w:rPr>
                <w:rFonts w:ascii="Times New Roman" w:hAnsi="Times New Roman" w:cs="Times New Roman"/>
                <w:sz w:val="20"/>
                <w:szCs w:val="20"/>
              </w:rPr>
              <w:t xml:space="preserve">szczegółowych zadań i organizacji Ochotniczych Hufców Pracy http://isap.sejm.gov.pl/isap.nsf/download .xsp/WDU201115509 20/O/D20110920.pdf </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F01923" w14:textId="48F1E36A" w:rsidR="00644235" w:rsidRPr="00EE14D2" w:rsidRDefault="00A40083"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hAnsi="Times New Roman" w:cs="Times New Roman"/>
                <w:sz w:val="20"/>
                <w:szCs w:val="20"/>
              </w:rPr>
              <w:t xml:space="preserve">W procesie kształtowania, wdrażania, monitorowania i przeglądu działań na rzecz aktywnej polityki rynku pracy podstawową rolę odgrywają: 1. system rad rynku pracy, działających przy ministrze właściwym do spraw pracy, marszałku województwa (WUP), i starosty (PUP).W skład rad rynku pracy wchodzą m.in. przedstawiciele wszystkich reprezentatywnych organizacji pracodawców i związków zawodowych, Komisji Wspólnej Rządu i Samorządu Terytorialnego, organów samorządu terytorialnego i przedstawiciele nauki. Konsultacje społeczne aktów prawnych regulujących całokształt zasad i procedur funkcjonowania PSZ, prowadzone na każdym etapie prac nad projektowanym rozwiązaniem 2. Rola Rady Dialogu Społecznego. Przegląd otoczenia </w:t>
            </w:r>
            <w:r w:rsidRPr="00EE14D2">
              <w:rPr>
                <w:rFonts w:ascii="Times New Roman" w:hAnsi="Times New Roman" w:cs="Times New Roman"/>
                <w:sz w:val="20"/>
                <w:szCs w:val="20"/>
              </w:rPr>
              <w:lastRenderedPageBreak/>
              <w:t>prawnego rynku pracy, jego kształt oraz stan są również przedmiotem prac Rady Dialogu Społecznego, a wprowadzanie zmian prawa dotyczących aktywnych polityk rynku pracy przed ich wdrożeniem jest przedmiotem konsultacji w tej instytucji dialogu. 3. Rola Konwentu Dyrektorów Wojewódzkich Urzędów Pracy i Rada Forum Dyrektorów Powiatowych Urzędów Pracy.</w:t>
            </w:r>
            <w:r w:rsidRPr="00EE14D2" w:rsidDel="00A40083">
              <w:rPr>
                <w:rFonts w:ascii="Times New Roman" w:eastAsia="Times New Roman" w:hAnsi="Times New Roman" w:cs="Times New Roman"/>
                <w:noProof/>
                <w:color w:val="000000"/>
                <w:sz w:val="20"/>
                <w:szCs w:val="20"/>
              </w:rPr>
              <w:t xml:space="preserve"> </w:t>
            </w:r>
          </w:p>
        </w:tc>
      </w:tr>
      <w:tr w:rsidR="00644235" w:rsidRPr="00EE14D2" w14:paraId="0E27C748" w14:textId="77777777" w:rsidTr="00644235">
        <w:trPr>
          <w:jc w:val="center"/>
        </w:trPr>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0F48D2"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695962"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96EE2D"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3C0B91"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947DA3"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4. rozwiązania dotyczące monitorowania, ewaluacji i przeglądu aktywnych polityk rynku pracy;</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A4A664"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68922F" w14:textId="447D7642" w:rsidR="00644235" w:rsidRPr="00EE14D2" w:rsidRDefault="00DC6C6F" w:rsidP="00D832CD">
            <w:pPr>
              <w:spacing w:before="100" w:after="0" w:line="240" w:lineRule="auto"/>
              <w:rPr>
                <w:rFonts w:ascii="Times New Roman" w:eastAsia="Times New Roman" w:hAnsi="Times New Roman" w:cs="Times New Roman"/>
                <w:noProof/>
                <w:color w:val="000000"/>
                <w:sz w:val="20"/>
                <w:szCs w:val="20"/>
              </w:rPr>
            </w:pPr>
            <w:r w:rsidRPr="00EE14D2">
              <w:rPr>
                <w:rFonts w:ascii="Times New Roman" w:hAnsi="Times New Roman" w:cs="Times New Roman"/>
                <w:sz w:val="20"/>
                <w:szCs w:val="20"/>
              </w:rPr>
              <w:t>Spełnienie kryterium zapewnia Ustawa z dnia 20 kwietnia 2004 r. o promocji zatrudnienia i instytucjach rynku pracy (rozdział 8, art.22) i Ustawa z dnia 29 czerwca 1995 r. o statystyce publicznej http://isap.sejm.gov.pl/isap.nsf/download .xsp/WDU200409910 01/U/D20041001Lj.pdf https://www.gov.pl/ web/rodzina/efekty wnosc-form-promocji-zatrudnienia https://psz.praca.gov .pl/rynek-pracy/statystyki-i-</w:t>
            </w:r>
            <w:r w:rsidRPr="00EE14D2" w:rsidDel="00DC6C6F">
              <w:rPr>
                <w:rFonts w:ascii="Times New Roman" w:eastAsia="Times New Roman" w:hAnsi="Times New Roman" w:cs="Times New Roman"/>
                <w:noProof/>
                <w:color w:val="000000"/>
                <w:sz w:val="20"/>
                <w:szCs w:val="20"/>
              </w:rPr>
              <w:t xml:space="preserve"> </w:t>
            </w:r>
            <w:r w:rsidRPr="00EE14D2">
              <w:rPr>
                <w:rFonts w:ascii="Times New Roman" w:hAnsi="Times New Roman" w:cs="Times New Roman"/>
                <w:sz w:val="20"/>
                <w:szCs w:val="20"/>
              </w:rPr>
              <w:t xml:space="preserve">analizy/bezrobocie - rejestrowane </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22DB71" w14:textId="7E2FCCCB" w:rsidR="00644235" w:rsidRPr="00EE14D2" w:rsidRDefault="00DC6C6F"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hAnsi="Times New Roman" w:cs="Times New Roman"/>
                <w:sz w:val="20"/>
                <w:szCs w:val="20"/>
              </w:rPr>
              <w:t xml:space="preserve">Minister wł. ds. pracy, z Prezesem GUS prowadzi badanie "Bezrobotni i poszukujący pracy zarejestrowani w urzędach pracy", w którym zbierane są m. in. dane nt. liczby aktywizowanych bezrobotnych w rozbiciu na formy aktywizacji. Minister wł. ds. pracy co rok dokonuje analizy efektywności wybranych form aktywizacji bezrobotnych realizowanych przez PUP, finansowanych z Funduszu Pracy. Kluczowe mierniki to efektywność zatrudnieniowa i kosztowa. W POWER 2014-2020 realizowany jest projekt „Wypracowanie metodologii i wdrożenie monitorowania efektywności zatrudnieniowej podstawowych form aktywizacji zawodowe bezrobotnych w okresie dłuższym niż 12 miesięcy od zakończenia działań urzędu pracy". Minister wł. do spraw pracy publikuje na str. internetowej co rok katalog </w:t>
            </w:r>
            <w:r w:rsidRPr="00EE14D2">
              <w:rPr>
                <w:rFonts w:ascii="Times New Roman" w:hAnsi="Times New Roman" w:cs="Times New Roman"/>
                <w:sz w:val="20"/>
                <w:szCs w:val="20"/>
              </w:rPr>
              <w:lastRenderedPageBreak/>
              <w:t>podstawowych form aktywizacji zawodowej rozumianych jako usługi i instrumenty rynku pracy finansowane ze środków Funduszy Pracy, dla których w danym roku są określane wskaźniki, o których mowa w art. 4 ust. 11 pkt 2 lit b i c ustawy Opiniowanie planów i sprawozdań Funduszu Pracy należy do kompetencji rad rynku pracy, a monitoring i ocenę polityk rynku pracy realizuje Rada Dialogu Społecznego.</w:t>
            </w:r>
          </w:p>
          <w:p w14:paraId="04496156"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r>
      <w:tr w:rsidR="00644235" w:rsidRPr="00EE14D2" w14:paraId="6A5788E8" w14:textId="77777777" w:rsidTr="00644235">
        <w:trPr>
          <w:jc w:val="center"/>
        </w:trPr>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14E0FC"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07F67E"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881C89"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BB88A9"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76B3E1"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5. w odniesieniu do interwencji na rzecz zatrudnienia ludzi młodych – sprawdzone empirycznie, ukierunkowane ścieżki kariery przeznaczone dla ludzi młodych niepracujących, niekształcących się ani nieszkolących się, w tym działania informacyjne i oparte na wymogach jakościowych uwzględniających kryteria wysokiej jakości przygotowania zawodowego i staży, w tym w kontekście realizacji programów gwarancji dla młodzieży.</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DF9B93"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48A65A" w14:textId="529622EF" w:rsidR="009A137E" w:rsidRPr="00EE14D2" w:rsidRDefault="00DC6C6F" w:rsidP="009A137E">
            <w:pPr>
              <w:spacing w:before="100" w:after="0" w:line="240" w:lineRule="auto"/>
              <w:rPr>
                <w:rFonts w:ascii="Times New Roman" w:eastAsia="Times New Roman" w:hAnsi="Times New Roman" w:cs="Times New Roman"/>
                <w:noProof/>
                <w:color w:val="000000"/>
                <w:sz w:val="20"/>
                <w:szCs w:val="20"/>
              </w:rPr>
            </w:pPr>
            <w:r w:rsidRPr="00EE14D2">
              <w:rPr>
                <w:rFonts w:ascii="Times New Roman" w:hAnsi="Times New Roman" w:cs="Times New Roman"/>
                <w:sz w:val="20"/>
                <w:szCs w:val="20"/>
              </w:rPr>
              <w:t xml:space="preserve">Spełnienie kryterium zapewnia: Ustawa z dnia 20 kwietnia 2004 r. o promocji zatrudnienia i instytucjach rynku pracy (Rozdz. V, art. 50 ust. 1, art. 53) Rozporządzenie Ministra Pracy i Polityki Społecznej z dnia 22 lipca 2011 r. w sprawie szczegółowych zadań i organizacji Ochotniczych Hufców Pracy (Dz. U. z 2011 r., poz. 920) Rozporządzenie MPiPS z dnia 20 sierpnia 2009 r. w sprawie szczegółowych warunków odbywania stażu przez bezrobotnych (Dz. U. z 2009 r., poz. 1160) Rozporządzenie MPiPS z dnia 11 kwietnia 2014 r. w sprawie przygotowania zawodowego dorosłych (Dz. U. z 2014 r., poz. 497) </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1266C1" w14:textId="77777777" w:rsidR="00DC6C6F" w:rsidRPr="00EE14D2" w:rsidRDefault="00DC6C6F" w:rsidP="00644235">
            <w:pPr>
              <w:spacing w:before="100" w:after="0" w:line="240" w:lineRule="auto"/>
              <w:rPr>
                <w:rFonts w:ascii="Times New Roman" w:hAnsi="Times New Roman" w:cs="Times New Roman"/>
                <w:sz w:val="20"/>
                <w:szCs w:val="20"/>
              </w:rPr>
            </w:pPr>
            <w:r w:rsidRPr="00EE14D2">
              <w:rPr>
                <w:rFonts w:ascii="Times New Roman" w:hAnsi="Times New Roman" w:cs="Times New Roman"/>
                <w:sz w:val="20"/>
                <w:szCs w:val="20"/>
              </w:rPr>
              <w:t xml:space="preserve">Wsparcie osób młodych, w tym młodzieży NEET, w aktywizacji zawodowej odbywa się w ramach Gwarancji dla młodzieży. Plan realizacji GdM w Polsce, zatwierdzony 1.08.2022, osadzony jest na 4 filarach – urzędach pracy, ochotniczych hufcach pracy, projektach centralnych i programie pożyczkowym. W wyniku szczegółowej diagnozy sytuacji osób młodych na rynku pracy, opartej o dane z GUS i Eurostatu, wyróżniono cztery grupy priorytetowe: </w:t>
            </w:r>
          </w:p>
          <w:p w14:paraId="4257B2BD" w14:textId="77777777" w:rsidR="00DC6C6F" w:rsidRPr="00EE14D2" w:rsidRDefault="00DC6C6F" w:rsidP="00644235">
            <w:pPr>
              <w:spacing w:before="100" w:after="0" w:line="240" w:lineRule="auto"/>
              <w:rPr>
                <w:rFonts w:ascii="Times New Roman" w:hAnsi="Times New Roman" w:cs="Times New Roman"/>
                <w:sz w:val="20"/>
                <w:szCs w:val="20"/>
              </w:rPr>
            </w:pPr>
            <w:r w:rsidRPr="00EE14D2">
              <w:rPr>
                <w:rFonts w:ascii="Times New Roman" w:hAnsi="Times New Roman" w:cs="Times New Roman"/>
                <w:sz w:val="20"/>
                <w:szCs w:val="20"/>
              </w:rPr>
              <w:t xml:space="preserve">(1) Osoby w wieku 15–17 lat, które porzucają naukę lub zaniedbują obowiązek szkolny lub edukację; </w:t>
            </w:r>
          </w:p>
          <w:p w14:paraId="12F5058D" w14:textId="75B1D57A" w:rsidR="00DC6C6F" w:rsidRPr="00EE14D2" w:rsidRDefault="00DC6C6F" w:rsidP="00644235">
            <w:pPr>
              <w:spacing w:before="100" w:after="0" w:line="240" w:lineRule="auto"/>
              <w:rPr>
                <w:rFonts w:ascii="Times New Roman" w:hAnsi="Times New Roman" w:cs="Times New Roman"/>
                <w:sz w:val="20"/>
                <w:szCs w:val="20"/>
              </w:rPr>
            </w:pPr>
            <w:r w:rsidRPr="00EE14D2">
              <w:rPr>
                <w:rFonts w:ascii="Times New Roman" w:hAnsi="Times New Roman" w:cs="Times New Roman"/>
                <w:sz w:val="20"/>
                <w:szCs w:val="20"/>
              </w:rPr>
              <w:t xml:space="preserve">(2) Osoby w wieku 18–29 lat: </w:t>
            </w:r>
          </w:p>
          <w:p w14:paraId="3A581F45" w14:textId="77777777" w:rsidR="00285F58" w:rsidRPr="00EE14D2" w:rsidRDefault="00DC6C6F" w:rsidP="00644235">
            <w:pPr>
              <w:spacing w:before="100" w:after="0" w:line="240" w:lineRule="auto"/>
              <w:rPr>
                <w:rFonts w:ascii="Times New Roman" w:hAnsi="Times New Roman" w:cs="Times New Roman"/>
                <w:sz w:val="20"/>
                <w:szCs w:val="20"/>
              </w:rPr>
            </w:pPr>
            <w:r w:rsidRPr="00EE14D2">
              <w:rPr>
                <w:rFonts w:ascii="Times New Roman" w:hAnsi="Times New Roman" w:cs="Times New Roman"/>
                <w:sz w:val="20"/>
                <w:szCs w:val="20"/>
              </w:rPr>
              <w:t xml:space="preserve">o zarejestrowane jako bezrobotne; </w:t>
            </w:r>
          </w:p>
          <w:p w14:paraId="2ADCDFF8" w14:textId="74E2C2CD" w:rsidR="00DC6C6F" w:rsidRPr="00EE14D2" w:rsidRDefault="00DC6C6F" w:rsidP="00644235">
            <w:pPr>
              <w:spacing w:before="100" w:after="0" w:line="240" w:lineRule="auto"/>
              <w:rPr>
                <w:rFonts w:ascii="Times New Roman" w:hAnsi="Times New Roman" w:cs="Times New Roman"/>
                <w:sz w:val="20"/>
                <w:szCs w:val="20"/>
              </w:rPr>
            </w:pPr>
            <w:r w:rsidRPr="00EE14D2">
              <w:rPr>
                <w:rFonts w:ascii="Times New Roman" w:hAnsi="Times New Roman" w:cs="Times New Roman"/>
                <w:sz w:val="20"/>
                <w:szCs w:val="20"/>
              </w:rPr>
              <w:t xml:space="preserve">o młodzież NEET; </w:t>
            </w:r>
          </w:p>
          <w:p w14:paraId="22795E5B" w14:textId="77777777" w:rsidR="00DC6C6F" w:rsidRPr="00EE14D2" w:rsidRDefault="00DC6C6F" w:rsidP="00644235">
            <w:pPr>
              <w:spacing w:before="100" w:after="0" w:line="240" w:lineRule="auto"/>
              <w:rPr>
                <w:rFonts w:ascii="Times New Roman" w:hAnsi="Times New Roman" w:cs="Times New Roman"/>
                <w:sz w:val="20"/>
                <w:szCs w:val="20"/>
              </w:rPr>
            </w:pPr>
            <w:r w:rsidRPr="00EE14D2">
              <w:rPr>
                <w:rFonts w:ascii="Times New Roman" w:hAnsi="Times New Roman" w:cs="Times New Roman"/>
                <w:sz w:val="20"/>
                <w:szCs w:val="20"/>
              </w:rPr>
              <w:lastRenderedPageBreak/>
              <w:t xml:space="preserve">o osoby bezrobotne lub poszukujące pracy, osoby kończące naukę lub absolwenci uczelni wyższych; </w:t>
            </w:r>
          </w:p>
          <w:p w14:paraId="16884B37" w14:textId="77777777" w:rsidR="00DC6C6F" w:rsidRPr="00EE14D2" w:rsidRDefault="00DC6C6F" w:rsidP="00644235">
            <w:pPr>
              <w:spacing w:before="100" w:after="0" w:line="240" w:lineRule="auto"/>
              <w:rPr>
                <w:rFonts w:ascii="Times New Roman" w:hAnsi="Times New Roman" w:cs="Times New Roman"/>
                <w:sz w:val="20"/>
                <w:szCs w:val="20"/>
              </w:rPr>
            </w:pPr>
            <w:r w:rsidRPr="00EE14D2">
              <w:rPr>
                <w:rFonts w:ascii="Times New Roman" w:hAnsi="Times New Roman" w:cs="Times New Roman"/>
                <w:sz w:val="20"/>
                <w:szCs w:val="20"/>
              </w:rPr>
              <w:t xml:space="preserve">(3) Osoby, które opuściły opiekę zastępczą; </w:t>
            </w:r>
          </w:p>
          <w:p w14:paraId="058850A4" w14:textId="77777777" w:rsidR="00DC6C6F" w:rsidRPr="00EE14D2" w:rsidRDefault="00DC6C6F" w:rsidP="00644235">
            <w:pPr>
              <w:spacing w:before="100" w:after="0" w:line="240" w:lineRule="auto"/>
              <w:rPr>
                <w:rFonts w:ascii="Times New Roman" w:hAnsi="Times New Roman" w:cs="Times New Roman"/>
                <w:sz w:val="20"/>
                <w:szCs w:val="20"/>
              </w:rPr>
            </w:pPr>
            <w:r w:rsidRPr="00EE14D2">
              <w:rPr>
                <w:rFonts w:ascii="Times New Roman" w:hAnsi="Times New Roman" w:cs="Times New Roman"/>
                <w:sz w:val="20"/>
                <w:szCs w:val="20"/>
              </w:rPr>
              <w:t xml:space="preserve">(4) Kobiety poniżej 30 roku życia wychowujące dzieci. </w:t>
            </w:r>
          </w:p>
          <w:p w14:paraId="3EFC2656" w14:textId="5C259616" w:rsidR="00644235" w:rsidRPr="00EE14D2" w:rsidRDefault="00DC6C6F"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hAnsi="Times New Roman" w:cs="Times New Roman"/>
                <w:sz w:val="20"/>
                <w:szCs w:val="20"/>
              </w:rPr>
              <w:t xml:space="preserve">W ”Planie” zawarto priorytety wsparcia – np. wysoka jakość ofert, w tym staży, jako kluczowych form aktywizacji osób młodych i rozwoju ich umiejętności. Standardy jakości staży, obowiązujące przy wdrażaniu GdM regulowane są ustawą o promocji zatrudnienia (…) (Dz.U.2022poz.690) i rozporządzeniem MPiPS z 20.08.2009 w sprawie szczegółowych warunków odbywania stażu przez bezrobotnych (Dz.U.z2009r.poz.1160). </w:t>
            </w:r>
          </w:p>
        </w:tc>
      </w:tr>
      <w:tr w:rsidR="00644235" w:rsidRPr="00EE14D2" w14:paraId="5959A389" w14:textId="77777777" w:rsidTr="00644235">
        <w:trPr>
          <w:jc w:val="center"/>
        </w:trPr>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2C1A0D"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 xml:space="preserve">4.2. Krajowe ramy strategiczne na rzecz równości płci </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F04289"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p w14:paraId="0D354522"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EFS+</w:t>
            </w:r>
          </w:p>
          <w:p w14:paraId="4FA9E824"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B8F29"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p w14:paraId="3BEFE8D1"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ESO4.3. Wspieranie zrównoważonego pod względem płci uczestnictwa w rynku pracy, równych warunków pracy oraz lepszej równowagi </w:t>
            </w:r>
            <w:r w:rsidRPr="00EE14D2">
              <w:rPr>
                <w:rFonts w:ascii="Times New Roman" w:eastAsia="Times New Roman" w:hAnsi="Times New Roman" w:cs="Times New Roman"/>
                <w:noProof/>
                <w:color w:val="000000"/>
                <w:sz w:val="20"/>
                <w:szCs w:val="20"/>
              </w:rPr>
              <w:lastRenderedPageBreak/>
              <w:t>między życiem zawodowym a prywatnym, w tym poprzez dostęp do przystępnej cenowo opieki nad dziećmi i osobami wymagającymi wsparcia w codziennym funkcjonowaniu</w:t>
            </w:r>
          </w:p>
          <w:p w14:paraId="7DC37A5B"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39EC7E" w14:textId="28FBA27C" w:rsidR="00644235" w:rsidRPr="00EE14D2" w:rsidRDefault="00285F58"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lastRenderedPageBreak/>
              <w:t>Tak</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328C4A"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Istnienie krajowych ram strategicznych polityki na rzecz równouprawnienia płci, które obejmują: </w:t>
            </w:r>
          </w:p>
          <w:p w14:paraId="3A3CF004"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1. identyfikację w oparciu o rzetelne podstawy wyzwań związanych z równouprawnieniem płci;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D08A1E" w14:textId="58953661" w:rsidR="00644235" w:rsidRPr="00EE14D2" w:rsidRDefault="00285F58"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7ABFF0" w14:textId="2E0836F2" w:rsidR="00644235" w:rsidRPr="00EE14D2" w:rsidRDefault="00285F58" w:rsidP="00547DF5">
            <w:pPr>
              <w:spacing w:before="100" w:after="0" w:line="240" w:lineRule="auto"/>
              <w:rPr>
                <w:rFonts w:ascii="Times New Roman" w:eastAsia="Times New Roman" w:hAnsi="Times New Roman" w:cs="Times New Roman"/>
                <w:noProof/>
                <w:color w:val="000000"/>
                <w:sz w:val="20"/>
                <w:szCs w:val="20"/>
              </w:rPr>
            </w:pPr>
            <w:r w:rsidRPr="00EE14D2">
              <w:rPr>
                <w:rFonts w:ascii="Times New Roman" w:hAnsi="Times New Roman" w:cs="Times New Roman"/>
                <w:sz w:val="20"/>
                <w:szCs w:val="20"/>
              </w:rPr>
              <w:t>Krajowy Program Działań na Rzecz Równego Traktowania na lata 2022-2030 https://monitorpolski.g ov.pl/MP/2022/640 Ustawa z dnia 29 lipca 2005 r. o przeciwdziałaniu przemocy w rodzinie (t.j. Dz.U. z 2021 r. poz. 1249) i krajowe programy przeciwdziałania przemocy w rodzinie https://dziennikustaw.gov.pl/D202100012490 1.pdf</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EF3890" w14:textId="4060BC38" w:rsidR="00644235" w:rsidRPr="00EE14D2" w:rsidRDefault="00285F58"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hAnsi="Times New Roman" w:cs="Times New Roman"/>
                <w:sz w:val="20"/>
                <w:szCs w:val="20"/>
              </w:rPr>
              <w:t xml:space="preserve">KPDRT obejmuje następujące priorytety: Polityka antydyskryminacyjna, Praca i zabezpieczenia społeczne, Edukacja, Zdrowie, Dostęp do dóbr i usług, Budowanie świadomości, Gromadzenie danych i badania, Koordynacja. Zidentyfikowano następujące wyzwania dla równości między kobietami a mężczyznami: 1. Niższy poziom zatrudnienia kobiet 2. Luka płacowa i luka emerytalna na niekorzyść kobiet 3. </w:t>
            </w:r>
            <w:r w:rsidRPr="00EE14D2">
              <w:rPr>
                <w:rFonts w:ascii="Times New Roman" w:hAnsi="Times New Roman" w:cs="Times New Roman"/>
                <w:sz w:val="20"/>
                <w:szCs w:val="20"/>
              </w:rPr>
              <w:lastRenderedPageBreak/>
              <w:t>Niski odsetek kobiet na najwyższych stanowiskach 4. Niski poziom kobiet w STEM Jeżeli chodzi o przemoc wobec kobiet, zgodnie z ustawą z dnia 29 lipca 2005 r. o przeciwdziałaniu przemocy w rodzinie (Dz. U. z 2021 r. poz. 1249), działania przeciw przemocy są uregulowane w Krajowym Programie Przeciwdziałania Przemocy w Rodzinie, który jest przyjmowany przez Radę Ministrów.</w:t>
            </w:r>
          </w:p>
        </w:tc>
      </w:tr>
      <w:tr w:rsidR="00644235" w:rsidRPr="00EE14D2" w14:paraId="5EBB060C" w14:textId="77777777" w:rsidTr="00644235">
        <w:trPr>
          <w:jc w:val="center"/>
        </w:trPr>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E39396"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A1D302"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28D4AE"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741910"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F24C55"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2. środki na rzecz rozwiązania problemu zróżnicowania sytuacji kobiet i mężczyzn w zakresie zatrudnienia, płac i emerytur oraz na rzecz promowania równowagi między życiem zawodowym a prywatnym, w tym przez poprawę dostępu do wczesnej edukacji i opieki nad dzieckiem, wraz z celami końcowymi, przy jednoczesnym poszanowaniu roli i autonomii partnerów społecznych;</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674AB2" w14:textId="5A21951F" w:rsidR="00644235" w:rsidRPr="00EE14D2" w:rsidRDefault="00285F58"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23A3F9" w14:textId="57B74CC0" w:rsidR="00644235" w:rsidRPr="00EE14D2" w:rsidRDefault="00CD05DE" w:rsidP="00547DF5">
            <w:pPr>
              <w:spacing w:before="100" w:after="0" w:line="240" w:lineRule="auto"/>
              <w:rPr>
                <w:rFonts w:ascii="Times New Roman" w:eastAsia="Times New Roman" w:hAnsi="Times New Roman" w:cs="Times New Roman"/>
                <w:noProof/>
                <w:color w:val="000000"/>
                <w:sz w:val="20"/>
                <w:szCs w:val="20"/>
              </w:rPr>
            </w:pPr>
            <w:r w:rsidRPr="00EE14D2">
              <w:rPr>
                <w:rFonts w:ascii="Times New Roman" w:hAnsi="Times New Roman" w:cs="Times New Roman"/>
                <w:sz w:val="20"/>
                <w:szCs w:val="20"/>
              </w:rPr>
              <w:t>Krajowy Program Działań na Rzecz Równego Traktowania na lata 2022-2030 https://monitorpolski.gov.pl/MP/2022/640</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0AF08D" w14:textId="36131826" w:rsidR="00644235" w:rsidRPr="00EE14D2" w:rsidRDefault="00285F58"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hAnsi="Times New Roman" w:cs="Times New Roman"/>
                <w:sz w:val="20"/>
                <w:szCs w:val="20"/>
              </w:rPr>
              <w:t xml:space="preserve">Priorytet II – Praca i zabezpieczenia społeczne - obejmuje działania na rzecz: równowagi między życiem zawodowym a prywatnym rodziców i opiekunów; włączenia społecznego pod kątem równouprawnienia płci; wyrównywania szans kobiet i mężczyzn na rynku pracy; zwiększania zatrudnienia kobiet, zwłaszcza w starszych grupach wiekowych oraz żyjących w ubóstwie; zwiększenia udziału kobiet na stanowiskach kierowniczych oraz prowadzących działalność gospodarczą również w obszarach nowych technologii, dążenie do równości płac kobiet i mężczyzn za tą samą wykonywaną pracę lub pracę o równej wartości, wyeliminowanie różnic w płacach i emeryturach ze względu na płeć, zarządzania różnorodnością oraz klauzul społecznych w zamówieniach publicznych. W programie wskazane są </w:t>
            </w:r>
            <w:r w:rsidRPr="00EE14D2">
              <w:rPr>
                <w:rFonts w:ascii="Times New Roman" w:hAnsi="Times New Roman" w:cs="Times New Roman"/>
                <w:sz w:val="20"/>
                <w:szCs w:val="20"/>
              </w:rPr>
              <w:lastRenderedPageBreak/>
              <w:t xml:space="preserve">ramy czasowe dla każdego z zadań, instytucje odpowiedzialne i współpracujące, a także wskaźniki z wartością bazową i docelową. </w:t>
            </w:r>
          </w:p>
        </w:tc>
      </w:tr>
      <w:tr w:rsidR="00644235" w:rsidRPr="00EE14D2" w14:paraId="786F3D82" w14:textId="77777777" w:rsidTr="00644235">
        <w:trPr>
          <w:jc w:val="center"/>
        </w:trPr>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E3D65F"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A3D674"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66CEBF"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164E79"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CD770A"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3. rozwiązania dotyczące monitorowania, ewaluacji i przeglądu ram strategicznych polityki i metod gromadzenia danych w oparciu o dane segregowane ze względu na płeć;</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5C7082" w14:textId="15924884" w:rsidR="00644235" w:rsidRPr="00EE14D2" w:rsidRDefault="00CD05DE"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9F48A3" w14:textId="32CF59DD" w:rsidR="00644235" w:rsidRPr="00EE14D2" w:rsidRDefault="00CD05DE" w:rsidP="00547DF5">
            <w:pPr>
              <w:spacing w:before="100" w:after="0" w:line="240" w:lineRule="auto"/>
              <w:rPr>
                <w:rFonts w:ascii="Times New Roman" w:eastAsia="Times New Roman" w:hAnsi="Times New Roman" w:cs="Times New Roman"/>
                <w:noProof/>
                <w:color w:val="000000"/>
                <w:sz w:val="20"/>
                <w:szCs w:val="20"/>
              </w:rPr>
            </w:pPr>
            <w:r w:rsidRPr="00EE14D2">
              <w:rPr>
                <w:rFonts w:ascii="Times New Roman" w:hAnsi="Times New Roman" w:cs="Times New Roman"/>
                <w:sz w:val="20"/>
                <w:szCs w:val="20"/>
              </w:rPr>
              <w:t>Krajowy Program Działań na Rzecz Równego Traktowania na lata 2022-2030 https://monitorpolski.g ov.pl/MP/2022/640 Ustawa z dnia 29 lipca 2005 r. o przeciwdziałaniu przemocy w rodzinie (t.j. Dz.U. z 2021 r. poz. 1249) i krajowe programy przeciwdziałania przemocy w rodzinie https://dziennikustaw.gov.pl/D202100012490 1.pdf</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748DEB" w14:textId="2957C534" w:rsidR="00644235" w:rsidRPr="00EE14D2" w:rsidRDefault="00CD05DE"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hAnsi="Times New Roman" w:cs="Times New Roman"/>
                <w:sz w:val="20"/>
                <w:szCs w:val="20"/>
              </w:rPr>
              <w:t xml:space="preserve">Pełnomocnik Rządu do Spraw Równego Traktowania opracowuje i przedkłada Radzie Ministrów do 31 marca każdego roku, sprawozdanie za poprzedni rok, zawierające m.in. raport z realizacji KPDRT. Ponadto, celem wsparcia działań Koordynatora Programu, powołany zostanie Zespół, którego zadaniem będzie cykliczne monitorowanie osiągania zakładanych wskaźników, ujętych w załączniku nr 1 do KPDRT. Powołanie Zespołu nastąpi na podstawie przepisów ustawy o Radzie Ministrów. Zadania Zespołu Monitorującego KPDRT mogą także odnosić się do sygnalizowania ryzyka w realizacji poszczególnych priorytetów, a także wskazywania na poziom osiąganych zmian w życiu społecznym i gospodarczym. Dane segregowane ze względu na płeć będą cyklicznie zbierane. Przewidziano też działania na rzecz rozbudowy systemu gromadzenia danych równościowych, w tym w rozbiciu na płeć. Zgodnie z art. 11 ustawy, sprawozdanie z realizacji Krajowego Programu Przeciwdziałania Przemocy w Rodzinie jest składane corocznie, w terminie do 30 września, </w:t>
            </w:r>
            <w:r w:rsidRPr="00EE14D2">
              <w:rPr>
                <w:rFonts w:ascii="Times New Roman" w:hAnsi="Times New Roman" w:cs="Times New Roman"/>
                <w:sz w:val="20"/>
                <w:szCs w:val="20"/>
              </w:rPr>
              <w:lastRenderedPageBreak/>
              <w:t xml:space="preserve">Sejmowi i Senatowi Rzeczypospolitej Polskiej przez Radę Ministrów. </w:t>
            </w:r>
          </w:p>
          <w:p w14:paraId="1F757752"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r>
      <w:tr w:rsidR="00644235" w:rsidRPr="00EE14D2" w14:paraId="06C7AC4E" w14:textId="77777777" w:rsidTr="00644235">
        <w:trPr>
          <w:jc w:val="center"/>
        </w:trPr>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979152"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AEE29C"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386320"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3F7E32"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D90726"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4. rozwiązania dotyczące zapewnienia, aby opracowanie tych ram, ich wdrożenie, monitorowanie i przegląd były prowadzone w ścisłej współpracy z odpowiednimi zainteresowanymi stronami, w tym podmiotami ds. równości, partnerami społecznymi i organizacjami społeczeństwa obywatelskiego.</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F4257B" w14:textId="273516C9" w:rsidR="00644235" w:rsidRPr="00EE14D2" w:rsidRDefault="00CD05DE"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A79CF9" w14:textId="65F994D3" w:rsidR="00644235" w:rsidRPr="00EE14D2" w:rsidRDefault="00CD05DE" w:rsidP="00547DF5">
            <w:pPr>
              <w:spacing w:before="100" w:after="0" w:line="240" w:lineRule="auto"/>
              <w:rPr>
                <w:rFonts w:ascii="Times New Roman" w:eastAsia="Times New Roman" w:hAnsi="Times New Roman" w:cs="Times New Roman"/>
                <w:noProof/>
                <w:color w:val="000000"/>
                <w:sz w:val="20"/>
                <w:szCs w:val="20"/>
              </w:rPr>
            </w:pPr>
            <w:r w:rsidRPr="00EE14D2">
              <w:rPr>
                <w:rFonts w:ascii="Times New Roman" w:hAnsi="Times New Roman" w:cs="Times New Roman"/>
                <w:sz w:val="20"/>
                <w:szCs w:val="20"/>
              </w:rPr>
              <w:t>Krajowy Program Działań na Rzecz Równego Traktowania na lata 2022-2030 https://monitorpolski.g ov.pl/MP/2022/640 Ustawa z dnia 29 lipca 2005 r. o przeciwdziałaniu przemocy w rodzinie (t.j. Dz.U. z 2021 r. poz. 1249) i krajowe programy przeciwdziałania przemocy w rodzinie https://dziennikustaw.gov.pl/D202100012490 1.pdf</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7A3A3E" w14:textId="77777777" w:rsidR="00CD05DE" w:rsidRPr="00EE14D2" w:rsidRDefault="00CD05DE" w:rsidP="00644235">
            <w:pPr>
              <w:spacing w:before="100" w:after="0" w:line="240" w:lineRule="auto"/>
              <w:rPr>
                <w:rFonts w:ascii="Times New Roman" w:hAnsi="Times New Roman" w:cs="Times New Roman"/>
                <w:sz w:val="20"/>
                <w:szCs w:val="20"/>
              </w:rPr>
            </w:pPr>
            <w:r w:rsidRPr="00EE14D2">
              <w:rPr>
                <w:rFonts w:ascii="Times New Roman" w:hAnsi="Times New Roman" w:cs="Times New Roman"/>
                <w:sz w:val="20"/>
                <w:szCs w:val="20"/>
              </w:rPr>
              <w:t xml:space="preserve">KPDRT poddano szerokim konsultacjom ze stronami zainteresowanymi: </w:t>
            </w:r>
            <w:r w:rsidRPr="00EE14D2">
              <w:rPr>
                <w:rFonts w:ascii="Times New Roman" w:hAnsi="Times New Roman" w:cs="Times New Roman"/>
                <w:sz w:val="20"/>
                <w:szCs w:val="20"/>
              </w:rPr>
              <w:sym w:font="Symbol" w:char="F0B7"/>
            </w:r>
            <w:r w:rsidRPr="00EE14D2">
              <w:rPr>
                <w:rFonts w:ascii="Times New Roman" w:hAnsi="Times New Roman" w:cs="Times New Roman"/>
                <w:sz w:val="20"/>
                <w:szCs w:val="20"/>
              </w:rPr>
              <w:t xml:space="preserve"> „Zgłoś pomysł” 4.07-19.11.2020 r. poprzez formularz internetowy na stronie Pełnomocnika Rządu ds. Równego Traktowania. </w:t>
            </w:r>
          </w:p>
          <w:p w14:paraId="1E440C88" w14:textId="77777777" w:rsidR="00CD05DE" w:rsidRPr="00EE14D2" w:rsidRDefault="00CD05DE" w:rsidP="00644235">
            <w:pPr>
              <w:spacing w:before="100" w:after="0" w:line="240" w:lineRule="auto"/>
              <w:rPr>
                <w:rFonts w:ascii="Times New Roman" w:hAnsi="Times New Roman" w:cs="Times New Roman"/>
                <w:sz w:val="20"/>
                <w:szCs w:val="20"/>
              </w:rPr>
            </w:pPr>
            <w:r w:rsidRPr="00EE14D2">
              <w:rPr>
                <w:rFonts w:ascii="Times New Roman" w:hAnsi="Times New Roman" w:cs="Times New Roman"/>
                <w:sz w:val="20"/>
                <w:szCs w:val="20"/>
              </w:rPr>
              <w:sym w:font="Symbol" w:char="F0B7"/>
            </w:r>
            <w:r w:rsidRPr="00EE14D2">
              <w:rPr>
                <w:rFonts w:ascii="Times New Roman" w:hAnsi="Times New Roman" w:cs="Times New Roman"/>
                <w:sz w:val="20"/>
                <w:szCs w:val="20"/>
              </w:rPr>
              <w:t xml:space="preserve"> publicznym (24.11-18.12.2020 r.) </w:t>
            </w:r>
          </w:p>
          <w:p w14:paraId="424E25E8" w14:textId="77777777" w:rsidR="00CD05DE" w:rsidRPr="00EE14D2" w:rsidRDefault="00CD05DE" w:rsidP="00644235">
            <w:pPr>
              <w:spacing w:before="100" w:after="0" w:line="240" w:lineRule="auto"/>
              <w:rPr>
                <w:rFonts w:ascii="Times New Roman" w:hAnsi="Times New Roman" w:cs="Times New Roman"/>
                <w:sz w:val="20"/>
                <w:szCs w:val="20"/>
              </w:rPr>
            </w:pPr>
            <w:r w:rsidRPr="00EE14D2">
              <w:rPr>
                <w:rFonts w:ascii="Times New Roman" w:hAnsi="Times New Roman" w:cs="Times New Roman"/>
                <w:sz w:val="20"/>
                <w:szCs w:val="20"/>
              </w:rPr>
              <w:sym w:font="Symbol" w:char="F0B7"/>
            </w:r>
            <w:r w:rsidRPr="00EE14D2">
              <w:rPr>
                <w:rFonts w:ascii="Times New Roman" w:hAnsi="Times New Roman" w:cs="Times New Roman"/>
                <w:sz w:val="20"/>
                <w:szCs w:val="20"/>
              </w:rPr>
              <w:t xml:space="preserve"> w BIP MRiPS </w:t>
            </w:r>
          </w:p>
          <w:p w14:paraId="58210B9F" w14:textId="30C13AF9" w:rsidR="00644235" w:rsidRPr="00EE14D2" w:rsidRDefault="00CD05DE"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hAnsi="Times New Roman" w:cs="Times New Roman"/>
                <w:sz w:val="20"/>
                <w:szCs w:val="20"/>
              </w:rPr>
              <w:sym w:font="Symbol" w:char="F0B7"/>
            </w:r>
            <w:r w:rsidRPr="00EE14D2">
              <w:rPr>
                <w:rFonts w:ascii="Times New Roman" w:hAnsi="Times New Roman" w:cs="Times New Roman"/>
                <w:sz w:val="20"/>
                <w:szCs w:val="20"/>
              </w:rPr>
              <w:t xml:space="preserve"> z KWRiST (17.11.2020 r.-11.05.2021 r.) Realizacja działań przewiduje współpracę z partnerami społecznymi, organizacjami pozarządowymi i samorządami. Współpraca ta będzie przebiegała w różnoraki sposób, w zależności od sposobu obranego przez instytucję wiodącą np. na zasadzie powierzenia realizacji zadania publicznego, konkursu czy zamówień publicznych. Odpowiednie podmioty ds. równości, partnerzy społeczni i organizacje społeczeństwa obywatelskiego wchodzą w skład zespołów, których zadaniem jest m.in. monitorowanie realizacji obu programów. Oba sprawozdania wymienione w kryterium 3 podlegają szerokim konsultacjom z wszystkimi interesariuszami.</w:t>
            </w:r>
            <w:r w:rsidRPr="00EE14D2" w:rsidDel="00CD05DE">
              <w:rPr>
                <w:rFonts w:ascii="Times New Roman" w:eastAsia="Times New Roman" w:hAnsi="Times New Roman" w:cs="Times New Roman"/>
                <w:noProof/>
                <w:color w:val="000000"/>
                <w:sz w:val="20"/>
                <w:szCs w:val="20"/>
              </w:rPr>
              <w:t xml:space="preserve"> </w:t>
            </w:r>
          </w:p>
        </w:tc>
      </w:tr>
      <w:tr w:rsidR="00644235" w:rsidRPr="00EE14D2" w14:paraId="4AC34EB1" w14:textId="77777777" w:rsidTr="00644235">
        <w:trPr>
          <w:jc w:val="center"/>
        </w:trPr>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29E223"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4.3. Ramy strategiczne polityki na rzecz systemu kształcenia i szkolenia na wszystkich szczeblach</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D51C3A"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p w14:paraId="64A8A9CC"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EFS+</w:t>
            </w:r>
          </w:p>
          <w:p w14:paraId="3586D0F3"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0ACBF4"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p w14:paraId="093F02AC"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ESO4.6.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w:t>
            </w:r>
            <w:r w:rsidRPr="00EE14D2">
              <w:rPr>
                <w:rFonts w:ascii="Times New Roman" w:eastAsia="Times New Roman" w:hAnsi="Times New Roman" w:cs="Times New Roman"/>
                <w:noProof/>
                <w:color w:val="000000"/>
                <w:sz w:val="20"/>
                <w:szCs w:val="20"/>
              </w:rPr>
              <w:lastRenderedPageBreak/>
              <w:t>osób z niepełnosprawnościami</w:t>
            </w:r>
            <w:r w:rsidRPr="00EE14D2">
              <w:rPr>
                <w:rFonts w:ascii="Times New Roman" w:eastAsia="Times New Roman" w:hAnsi="Times New Roman" w:cs="Times New Roman"/>
                <w:noProof/>
                <w:color w:val="000000"/>
                <w:sz w:val="20"/>
                <w:szCs w:val="20"/>
              </w:rPr>
              <w:br/>
              <w:t>ESO4.7.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p>
          <w:p w14:paraId="51562858"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56AA15" w14:textId="000039FA" w:rsidR="00644235" w:rsidRPr="00EE14D2" w:rsidRDefault="00CD05DE"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lastRenderedPageBreak/>
              <w:t>Tak</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C7D9F9"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Istnienie krajowych lub regionalnych ram strategicznych polityki w zakresie systemu kształcenia i szkolenia, które obejmują:</w:t>
            </w:r>
          </w:p>
          <w:p w14:paraId="2201E021"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1. oparte na rzetelnych danych systemy przewidywania i prognozowania umiejętności;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000E15"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46FC84" w14:textId="6C7BF181"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p w14:paraId="1A6992B5" w14:textId="3AAF37B0" w:rsidR="00573D1D" w:rsidRPr="00EE14D2" w:rsidRDefault="00CD05DE" w:rsidP="00573D1D">
            <w:pPr>
              <w:spacing w:before="100" w:after="0" w:line="240" w:lineRule="auto"/>
              <w:rPr>
                <w:rFonts w:ascii="Times New Roman" w:eastAsia="Times New Roman" w:hAnsi="Times New Roman" w:cs="Times New Roman"/>
                <w:noProof/>
                <w:color w:val="000000"/>
                <w:sz w:val="20"/>
                <w:szCs w:val="20"/>
              </w:rPr>
            </w:pPr>
            <w:r w:rsidRPr="00EE14D2">
              <w:rPr>
                <w:rFonts w:ascii="Times New Roman" w:hAnsi="Times New Roman" w:cs="Times New Roman"/>
                <w:sz w:val="20"/>
                <w:szCs w:val="20"/>
              </w:rPr>
              <w:t>Link do dokumentów: https://efs.mein.go v.pl/zintegrowana-strategia-umiejetnosci-2030- czesc-ogolna/ https://www.gov.pl/ web/edukacja-i-nauka/zintegrowan a-strategia-umiejetnosci-2030- czesc-szczegolowa-- dokument-przyjety-przez-rade-ministrow</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2B5E08" w14:textId="043D285C" w:rsidR="00644235" w:rsidRPr="00EE14D2" w:rsidRDefault="00CD05DE"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hAnsi="Times New Roman" w:cs="Times New Roman"/>
                <w:sz w:val="20"/>
                <w:szCs w:val="20"/>
              </w:rPr>
              <w:t xml:space="preserve">Ramy strategiczne zostały określone w 1.Strategiina rzecz Odpowiedzialnego Rozwoju do roku 2020 (z perspektywą do 2030 r.), 2. Zintegrowanej Strategii Umiejętności 2030 (część ogólna) – Priorytet 4. Zbudowanie efektywnego systemu diagnozowania i informowania o obecnym stanie i zapotrzebowaniu na umiejętności, 3. Zintegrowanej Strategii Umiejętności 2030 (część szczegółowa) – Obszar oddziaływania VI Doradztwo zawodowe, Temat działania 19: Tworzenie efektywnych mechanizmów informowania o zapotrzebowaniu na zawody, kwalifikacje i umiejętności na poziomie krajowym i regionalnym. Ponadto, corocznie ustalana jest prognoza zapotrzebowania na pracowników w zawodach szkolnictwa branżowego na krajowym i wojewódzkim rynku pracy. </w:t>
            </w:r>
          </w:p>
        </w:tc>
      </w:tr>
      <w:tr w:rsidR="00644235" w:rsidRPr="00EE14D2" w14:paraId="47723B04" w14:textId="77777777" w:rsidTr="00644235">
        <w:trPr>
          <w:jc w:val="center"/>
        </w:trPr>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AECAD2"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A7B10E"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404CF6"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D56243"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27AFEE"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2. mechanizmy i usługi monitorowania losów absolwentów do celów wysokiej jakości i skutecznego poradnictwa zawodowego dla osób uczących się w każdym wieku;</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952695"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6D02EA" w14:textId="32646D4E" w:rsidR="00644235" w:rsidRPr="00EE14D2" w:rsidRDefault="00CD05DE"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hAnsi="Times New Roman" w:cs="Times New Roman"/>
                <w:sz w:val="20"/>
                <w:szCs w:val="20"/>
              </w:rPr>
              <w:t>Link do dokumentów: https://efs.mein.go v.pl/zintegrowana - strategia - umiejetnosci -2030 - czesc -ogolna/ https://www.gov.pl/ web/edukacja -inauka/zintegrowan a-strategiaumiejetnosci-2030- czesc - szczegolowa-- dokument -przyjety - przez -rade - ministrow</w:t>
            </w:r>
            <w:r w:rsidRPr="00EE14D2" w:rsidDel="00CD05DE">
              <w:rPr>
                <w:rFonts w:ascii="Times New Roman" w:eastAsia="Times New Roman" w:hAnsi="Times New Roman" w:cs="Times New Roman"/>
                <w:noProof/>
                <w:color w:val="000000"/>
                <w:sz w:val="20"/>
                <w:szCs w:val="20"/>
              </w:rPr>
              <w:t xml:space="preserve"> </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D24372" w14:textId="7151CD91" w:rsidR="00644235" w:rsidRPr="00EE14D2" w:rsidRDefault="00CD05DE"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hAnsi="Times New Roman" w:cs="Times New Roman"/>
                <w:sz w:val="20"/>
                <w:szCs w:val="20"/>
              </w:rPr>
              <w:t xml:space="preserve">Ramy strategiczne zostały określone w 1.Strategii na rzecz Odpowiedzialnego Rozwoju do roku 2020 (z perspektywą do 2030 r.), 2. Zintegrowanej Strategii Umiejętności 2030 (część ogólna) – Priorytet 4. Zbudowanie efektywnego systemu diagnozowania i informowania o obecnym stanie i zapotrzebowaniu na umiejętności, 3. Zintegrowanej Strategii Umiejętności 2030 (część szczegółowa) – Obszar oddziaływania VI Doradztwo </w:t>
            </w:r>
            <w:r w:rsidRPr="00EE14D2">
              <w:rPr>
                <w:rFonts w:ascii="Times New Roman" w:hAnsi="Times New Roman" w:cs="Times New Roman"/>
                <w:sz w:val="20"/>
                <w:szCs w:val="20"/>
              </w:rPr>
              <w:lastRenderedPageBreak/>
              <w:t xml:space="preserve">zawodowe, Temat działania 19: Tworzenie efektywnych mechanizmów informowania o zapotrzebowaniu na zawody, kwalifikacje i umiejętności na poziomie krajowym i regionalnym. Ponadto, funkcjonuje system monitorowania Ekonomicznych Losów Absolwentów ELA, monitoring karier absolwentów publicznych i niepublicznych szkół ponadpodstawowych. </w:t>
            </w:r>
          </w:p>
        </w:tc>
      </w:tr>
      <w:tr w:rsidR="00644235" w:rsidRPr="00EE14D2" w14:paraId="1941064B" w14:textId="77777777" w:rsidTr="00644235">
        <w:trPr>
          <w:jc w:val="center"/>
        </w:trPr>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4ED0B0"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A8A74F"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276475"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459F6B"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018737"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3. środki na rzecz zapewnienia równego dostępu do wysokiej jakości, przystępnego cenowo, odpowiedniego, wolnego od segregacji kształcenia i szkolenia sprzyjającego włączeniu społecznemu oraz uczestnictwa w takim kształceniu i szkoleniu i ukończenia go, a także nabywania kluczowych kompetencji na wszystkich poziomach, w tym na poziomie szkolnictwa wyższego;</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AD1D6D" w14:textId="6A4817ED" w:rsidR="00644235" w:rsidRPr="00EE14D2" w:rsidRDefault="00CD05DE"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2F65E4" w14:textId="07408BE2"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p w14:paraId="347F52C2" w14:textId="163AA045" w:rsidR="00573D1D" w:rsidRPr="00EE14D2" w:rsidRDefault="00CD05DE" w:rsidP="00573D1D">
            <w:pPr>
              <w:spacing w:before="100" w:after="0" w:line="240" w:lineRule="auto"/>
              <w:rPr>
                <w:rFonts w:ascii="Times New Roman" w:eastAsia="Times New Roman" w:hAnsi="Times New Roman" w:cs="Times New Roman"/>
                <w:noProof/>
                <w:color w:val="000000"/>
                <w:sz w:val="20"/>
                <w:szCs w:val="20"/>
              </w:rPr>
            </w:pPr>
            <w:r w:rsidRPr="00EE14D2">
              <w:rPr>
                <w:rFonts w:ascii="Times New Roman" w:hAnsi="Times New Roman" w:cs="Times New Roman"/>
                <w:sz w:val="20"/>
                <w:szCs w:val="20"/>
              </w:rPr>
              <w:t>Link do dokumentów: https://efs.mein.go v.pl/zintegrowana - strategia - umiejetnosci -2030 - czesc -ogolna/ https://www.gov.pl/ web/edukacja -i-nauka/zintegrowan a-strategia-umiejetnosci-2030- czesc - szczegolowa-- dokument -przyjety - przez -rade - ministrow</w:t>
            </w:r>
          </w:p>
          <w:p w14:paraId="064A03A3" w14:textId="3A7C4A77" w:rsidR="00573D1D" w:rsidRPr="00EE14D2" w:rsidRDefault="00573D1D" w:rsidP="00573D1D">
            <w:pPr>
              <w:spacing w:before="100" w:after="0" w:line="240" w:lineRule="auto"/>
              <w:rPr>
                <w:rFonts w:ascii="Times New Roman" w:eastAsia="Times New Roman" w:hAnsi="Times New Roman" w:cs="Times New Roman"/>
                <w:noProof/>
                <w:color w:val="000000"/>
                <w:sz w:val="20"/>
                <w:szCs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4647E5" w14:textId="1D6D9769" w:rsidR="00644235" w:rsidRPr="00EE14D2" w:rsidRDefault="00CD05DE"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hAnsi="Times New Roman" w:cs="Times New Roman"/>
                <w:sz w:val="20"/>
                <w:szCs w:val="20"/>
              </w:rPr>
              <w:t xml:space="preserve">Ramy strategiczne zostały określone w: 1. Strategii na rzecz Odpowiedzialnego Rozwoju do roku 2020 (z perspektywą do 2030 r.), 2. ZSU 2030 (część ogólna) – Priorytet 1 oraz Priorytet 6, 3. ZSU 2030 (część szczegółowa) – Obszar oddziaływania I Umiejętności podstawowe, przekrojowe i zawodowe (…). Ponadto: a) akty prawne podkreślające równy dostęp do kształcenia (m.in.: ustawa Prawo oświatowe, ustawa o systemie oświaty, ustawa Prawo o szkolnictwie wyższym i nauce, rozporządzenie Ministra Edukacji Narodowej w sprawie ogólnych celów i zadań kształcenia w zawodach szkolnictwa branżowego oraz klasyfikacji zawodów szkolnictwa branżowego, opracowywana ustawa o wsparciu dzieci, uczniów i rodzin (wpis do wykazu prac legislacyjnych Rady Ministrów nr UD319)), b) </w:t>
            </w:r>
            <w:r w:rsidRPr="00EE14D2">
              <w:rPr>
                <w:rFonts w:ascii="Times New Roman" w:hAnsi="Times New Roman" w:cs="Times New Roman"/>
                <w:sz w:val="20"/>
                <w:szCs w:val="20"/>
              </w:rPr>
              <w:lastRenderedPageBreak/>
              <w:t xml:space="preserve">przedsięwzięcie MEiN: „Włączeni w edukację" (wdrożenie edukacji włączającej wysokiej jakości, zapewniającej wszystkim dzieciom i uczniom warunki do rozwijania indywidualnego potencjału oraz nabywania wiedzy i umiejętności niezbędnych do samodzielnego funkcjonowania w życiu dorosłym i włączenia społecznego; obejmuje prace legislacyjne i działania wdrożeniowe w tym zakresie). </w:t>
            </w:r>
          </w:p>
        </w:tc>
      </w:tr>
      <w:tr w:rsidR="00644235" w:rsidRPr="00EE14D2" w14:paraId="58B5EA50" w14:textId="77777777" w:rsidTr="00644235">
        <w:trPr>
          <w:jc w:val="center"/>
        </w:trPr>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9B2683"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21636E"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F045E9"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B6B20C"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D924E3"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4. mechanizm koordynacji obejmujący wszystkie poziomy kształcenia i szkolenia, w tym szkolnictwo wyższe, oraz jasny podział obowiązków między odpowiednimi organami krajowymi lub regionalnymi;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6910F2"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9F9885" w14:textId="335583B0"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p w14:paraId="6B8C38AE" w14:textId="2679ED19" w:rsidR="00573D1D" w:rsidRPr="00EE14D2" w:rsidRDefault="00CD05DE" w:rsidP="00573D1D">
            <w:pPr>
              <w:spacing w:before="100" w:after="0" w:line="240" w:lineRule="auto"/>
              <w:rPr>
                <w:rFonts w:ascii="Times New Roman" w:eastAsia="Times New Roman" w:hAnsi="Times New Roman" w:cs="Times New Roman"/>
                <w:noProof/>
                <w:color w:val="000000"/>
                <w:sz w:val="20"/>
                <w:szCs w:val="20"/>
              </w:rPr>
            </w:pPr>
            <w:r w:rsidRPr="00EE14D2">
              <w:rPr>
                <w:rFonts w:ascii="Times New Roman" w:hAnsi="Times New Roman" w:cs="Times New Roman"/>
                <w:sz w:val="20"/>
                <w:szCs w:val="20"/>
              </w:rPr>
              <w:t>Link do dokumentów: https://efs.mein.go v.pl/zintegrowana - strategia - umiejetnosci -2030 - czesc -ogolna/ https://www.gov.pl/ web/edukacja -i-nauka/zintegrowan a-strategia-umiejetnosci-2030- czesc - szczegolowa-- dokument -przyjety - przez -rade - ministrow</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8CDAE3" w14:textId="012FB229" w:rsidR="00644235" w:rsidRPr="00EE14D2" w:rsidRDefault="00CD05DE"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hAnsi="Times New Roman" w:cs="Times New Roman"/>
                <w:sz w:val="20"/>
                <w:szCs w:val="20"/>
              </w:rPr>
              <w:t xml:space="preserve">Ramy strategiczne zostały określone w: 1. Zintegrowanej Strategii Umiejętności 2030 (część ogólna) – Priorytet 5. Wypracowanie skutecznych i trwałych mechanizmów współpracy i koordynacji międzyresortowej oraz międzysektorowej w zakresie rozwoju umiejętności, 2. Zintegrowanej Strategii Umiejętności 2030 (część szczegółowa) – wszystkie Obszary oddziaływania poprzez wskazanie podmiotów kluczowych dla realizacji Tematu działania. Dodatkowo ma zastosowanie w szczególności rozdział 3. „Zasady realizacji Zintegrowanej Strategii Umiejętności 2030 jako polityki publicznej”, 3. Ustawie o Zintegrowanym Systemie Kwalifikacji – rozdział 8 ustawy (Koordynacja funkcjonowania Zintegrowanego Systemu Kwalifikacji), 4. Ustawie o </w:t>
            </w:r>
            <w:r w:rsidRPr="00EE14D2">
              <w:rPr>
                <w:rFonts w:ascii="Times New Roman" w:hAnsi="Times New Roman" w:cs="Times New Roman"/>
                <w:sz w:val="20"/>
                <w:szCs w:val="20"/>
              </w:rPr>
              <w:lastRenderedPageBreak/>
              <w:t xml:space="preserve">utworzeniu Polskiej Agencji Rozwoju Przedsiębiorczości – art. 4c ustanawiający: a) Radę Programową do spraw kompetencji, b) sektorowe rady do spraw kompetencji. Ponadto: projekt MEiN: „Wsparcie i rozwój mechanizmów współpracy i koordynacji na szczeblu krajowym i regionalnym w zakresie uczenia się przez całe życie”. </w:t>
            </w:r>
          </w:p>
        </w:tc>
      </w:tr>
      <w:tr w:rsidR="00644235" w:rsidRPr="00EE14D2" w14:paraId="6BD8E2AA" w14:textId="77777777" w:rsidTr="00644235">
        <w:trPr>
          <w:jc w:val="center"/>
        </w:trPr>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EAF393"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8F398D"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9FA652"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BC784C"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5FD3A7"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5. rozwiązania dotyczące monitorowania, ewaluacji i przeglądu ram strategicznych polityki;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47718E"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AE7E9A" w14:textId="71E21A44" w:rsidR="00644235" w:rsidRPr="00EE14D2" w:rsidRDefault="00CD05DE" w:rsidP="004259F7">
            <w:pPr>
              <w:spacing w:before="100" w:after="0" w:line="240" w:lineRule="auto"/>
              <w:rPr>
                <w:rFonts w:ascii="Times New Roman" w:eastAsia="Times New Roman" w:hAnsi="Times New Roman" w:cs="Times New Roman"/>
                <w:noProof/>
                <w:color w:val="000000"/>
                <w:sz w:val="20"/>
                <w:szCs w:val="20"/>
              </w:rPr>
            </w:pPr>
            <w:r w:rsidRPr="00EE14D2">
              <w:rPr>
                <w:rFonts w:ascii="Times New Roman" w:hAnsi="Times New Roman" w:cs="Times New Roman"/>
                <w:sz w:val="20"/>
                <w:szCs w:val="20"/>
              </w:rPr>
              <w:t>Link do dokumentów: https://efs.mein.go v.pl/zintegrowana - strategia - umiejetnosci -2030 - czesc -ogolna/ https://www.gov.pl/ web/edukacja -i-nauka/zintegrowan a-strategia-umiejetnosci-2030- czesc - szczegolowa-- dokument -przyjety - przez -rade - ministrow</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221DAA" w14:textId="62ED880B" w:rsidR="00644235" w:rsidRPr="00EE14D2" w:rsidRDefault="00505560"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hAnsi="Times New Roman" w:cs="Times New Roman"/>
                <w:sz w:val="20"/>
                <w:szCs w:val="20"/>
              </w:rPr>
              <w:t xml:space="preserve">Ramy zostały określone w: 1. ZSU 2030 (część ogólna) – Priorytet 5. oraz rozdział 10. 2. ZSU 2030 (część szczegółowa) – rozdział 3. 3. Ustawie o Zintegrowanym Systemie Kwalifikacji – rozdział 8 ustawy 4. Ustawie o utworzeniu Polskiej Agencji Rozwoju Przedsiębiorczości – art. 4c ustanawiający: a) Radę Programową do spraw kompetencji, b) sektorowe rady do spraw kompetencji. Ponadto: a) funkcjonowanie Międzyresortowego Zespołu do spraw uczenia się przez całe życie i Zintegrowanego Systemu Kwalifikacji, b) projekt MEiN „Wsparcie i rozwój mechanizmów współpracy i koordynacji na szczeblu krajowym i regionalnym w zakresie uczenia się przez całe życie”. Przegląd śródokresowy i ewaluacja wdrażania ZSU 2030, w tym ewaluacja koordynacji jej wdrażania na poziomie krajowym i wojewódzkim, zostały przewidziane do realizacji przez </w:t>
            </w:r>
            <w:r w:rsidRPr="00EE14D2">
              <w:rPr>
                <w:rFonts w:ascii="Times New Roman" w:hAnsi="Times New Roman" w:cs="Times New Roman"/>
                <w:sz w:val="20"/>
                <w:szCs w:val="20"/>
              </w:rPr>
              <w:lastRenderedPageBreak/>
              <w:t xml:space="preserve">Ministerstwo Edukacji i Nauki. Planowana data przeglądu śródokresowego i ewaluacji: III kw. 2024 – I kw. 2025). </w:t>
            </w:r>
          </w:p>
        </w:tc>
      </w:tr>
      <w:tr w:rsidR="00644235" w:rsidRPr="00EE14D2" w14:paraId="1064B9E6" w14:textId="77777777" w:rsidTr="00644235">
        <w:trPr>
          <w:jc w:val="center"/>
        </w:trPr>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7C80C6"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653739"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0452F5"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EF6542"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0C702B"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6. środki skierowane do osób dorosłych o niskich umiejętnościach zawodowych i niskich kwalifikacjach i osób znajdujących się w niekorzystnej sytuacji społeczno-ekonomicznej oraz ścieżki poprawy umiejętności;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37D744"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1BF53D" w14:textId="2F5AEF36" w:rsidR="00644235" w:rsidRPr="00EE14D2" w:rsidRDefault="00505560" w:rsidP="00B171D9">
            <w:pPr>
              <w:spacing w:before="100" w:after="0" w:line="240" w:lineRule="auto"/>
              <w:rPr>
                <w:rFonts w:ascii="Times New Roman" w:eastAsia="Times New Roman" w:hAnsi="Times New Roman" w:cs="Times New Roman"/>
                <w:noProof/>
                <w:color w:val="000000"/>
                <w:sz w:val="20"/>
                <w:szCs w:val="20"/>
              </w:rPr>
            </w:pPr>
            <w:r w:rsidRPr="00EE14D2">
              <w:rPr>
                <w:rFonts w:ascii="Times New Roman" w:hAnsi="Times New Roman" w:cs="Times New Roman"/>
                <w:sz w:val="20"/>
                <w:szCs w:val="20"/>
              </w:rPr>
              <w:t xml:space="preserve"> Link do dokumentów: https://efs.mein.go v.pl/zintegrowanastrategiaumiejetnosci-2030- czesc-ogolna/ https://www.gov.pl/ web/edukacja-i-nauka/zintegrowan a-strategia-umiejetnosci-2030- czesc-szczegolowa-- dokument-przyjety-przez-rade-ministrow</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948FFD" w14:textId="7374A7E4" w:rsidR="00644235" w:rsidRPr="00EE14D2" w:rsidRDefault="00505560"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hAnsi="Times New Roman" w:cs="Times New Roman"/>
                <w:sz w:val="20"/>
                <w:szCs w:val="20"/>
              </w:rPr>
              <w:t xml:space="preserve">Ramy zostały określone w: 1. Strategii na rzecz Odpowiedzialnego Rozwoju do roku 2020 (z perspektywą do 2030 r.) 2. Zintegrowanej Strategii Umiejętności 2030 (część ogólna) – Priorytety: 1. Podnoszenie poziomu umiejętności kluczowych u dzieci, młodzieży i osób dorosłych; 2. Rozwijanie i upowszechnianie kultury uczenia się nastawionej na aktywny i ciągły rozwój umiejętności; 4. Zbudowanie efektywnego systemu diagnozowania i informowania o obecnym stanie i zapotrzebowaniu na umiejętności; 6. Wyrównywanie szans w dostępie do rozwoju i możliwości wykorzystania umiejętności. 3. Zintegrowanej Strategii Umiejętności 2030 (część szczegółowa) – Obszary oddziaływania: I Umiejętności podstawowe, przekrojowe i zawodowe dzieci, młodzieży i dorosłych; IV Rozwijanie umiejętności poza edukacją formalną; V Rozwijanie umiejętności w miejscu pracy; VI Doradztwo zawodowe; VIII Planowanie uczenia się przez całe życie i potwierdzanie umiejętności. Ponadto: a) funkcjonowanie Uniwersytetów Drugiego i Trzeciego Wieku b) </w:t>
            </w:r>
            <w:r w:rsidRPr="00EE14D2">
              <w:rPr>
                <w:rFonts w:ascii="Times New Roman" w:hAnsi="Times New Roman" w:cs="Times New Roman"/>
                <w:sz w:val="20"/>
                <w:szCs w:val="20"/>
              </w:rPr>
              <w:lastRenderedPageBreak/>
              <w:t>przedsięwzięcie MEiN: „Lokalne Ośrodki Wiedzy i Edukacji” c) projekt FRSE: „Szansa - nowe możliwości dla dorosłych” d) program Senior+.</w:t>
            </w:r>
          </w:p>
        </w:tc>
      </w:tr>
      <w:tr w:rsidR="00644235" w:rsidRPr="00EE14D2" w14:paraId="5616F45F" w14:textId="77777777" w:rsidTr="00644235">
        <w:trPr>
          <w:jc w:val="center"/>
        </w:trPr>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3C6FFF"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A12908"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AFF5DF"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782DF3"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879720"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7. środki na rzecz wspierania nauczycieli, osób prowadzących szkolenia i kadry akademickiej w odniesieniu do odpowiednich metod nauczania, oceny i walidacji kompetencji kluczowych;</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BD7AEA"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1873DC" w14:textId="581AE81A" w:rsidR="00644235" w:rsidRPr="00EE14D2" w:rsidRDefault="00505560" w:rsidP="00B171D9">
            <w:pPr>
              <w:spacing w:before="100" w:after="0" w:line="240" w:lineRule="auto"/>
              <w:rPr>
                <w:rFonts w:ascii="Times New Roman" w:eastAsia="Times New Roman" w:hAnsi="Times New Roman" w:cs="Times New Roman"/>
                <w:noProof/>
                <w:color w:val="000000"/>
                <w:sz w:val="20"/>
                <w:szCs w:val="20"/>
              </w:rPr>
            </w:pPr>
            <w:r w:rsidRPr="00EE14D2">
              <w:rPr>
                <w:rFonts w:ascii="Times New Roman" w:hAnsi="Times New Roman" w:cs="Times New Roman"/>
                <w:sz w:val="20"/>
                <w:szCs w:val="20"/>
              </w:rPr>
              <w:t>Link do dokumentów: https://efs.mein.go v.pl/zintegrowana-strategia-umiejetnosci-2030- czesc-ogolna/ https://www.gov.pl/ web/edukacja-i-nauka/zintegrowan a-strategia-umiejetnosci-2030- czesc-szczegolowa-- dokument-przyjety-przez-rade-ministrow</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8C5147" w14:textId="71ABB67B" w:rsidR="00644235" w:rsidRPr="00EE14D2" w:rsidRDefault="00505560"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hAnsi="Times New Roman" w:cs="Times New Roman"/>
                <w:sz w:val="20"/>
                <w:szCs w:val="20"/>
              </w:rPr>
              <w:t xml:space="preserve">Ramy zostały określone w: 1. ustawie Karta Nauczyciela – Rozdział 7a: Finansowanie dokształcania i doskonalenia zawodowego nauczycieli, 2. rozporządzeniu Ministra Edukacji Narodowej w sprawie dofinansowania doskonalenia zawodowego nauczycieli, szczegółowych celów szkolenia branżowego oraz trybu i warunków kierowania nauczycieli na szkolenia branżowe, 3. ustawie Prawo o szkolnictwie wyższym i nauce – Dział XII Finansowanie systemu szkolnictwa wyższego i nauki oraz gospodarka finansowa uczelni (m.in. „Doktorat wdrożeniowy”), 4. Zintegrowanej Strategii Umiejętności 2030 (część ogólna) – Priorytety: 2. Rozwijanie i upowszechnianie kultury uczenia się (…); 5. Wypracowanie skutecznych i trwałych mechanizmów (…); 6. Wyrównywanie szans w dostępie do rozwoju (…), 5. Zintegrowanej Strategii Umiejętności 2030 (część szczegółowa) – Obszary oddziaływania: III Rozwijanie umiejętności w edukacji formalnej – kadry uczące; IV Rozwijanie umiejętności poza edukacją formalną; VII Współpraca pracodawców </w:t>
            </w:r>
            <w:r w:rsidRPr="00EE14D2">
              <w:rPr>
                <w:rFonts w:ascii="Times New Roman" w:hAnsi="Times New Roman" w:cs="Times New Roman"/>
                <w:sz w:val="20"/>
                <w:szCs w:val="20"/>
              </w:rPr>
              <w:lastRenderedPageBreak/>
              <w:t>z edukacją formalną i pozaformalną; VIII Planowanie uczenia się przez całe życie i potwierdzanie umiejętności.</w:t>
            </w:r>
          </w:p>
        </w:tc>
      </w:tr>
      <w:tr w:rsidR="00644235" w:rsidRPr="00EE14D2" w14:paraId="0F49D6D6" w14:textId="77777777" w:rsidTr="00644235">
        <w:trPr>
          <w:jc w:val="center"/>
        </w:trPr>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A9C9B6"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AC25DC"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351B20"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5E68ED"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EC1ED2"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8. środki na rzecz wspierania mobilności osób uczących się i kadry oraz transnarodowej współpracy podmiotów świadczących usługi w zakresie kształcenia i szkolenia, w tym przez uznawanie efektów uczenia się i kwalifikacji.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672626"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332E8C" w14:textId="3E4C4CAB" w:rsidR="00B171D9" w:rsidRPr="00EE14D2" w:rsidRDefault="00505560" w:rsidP="00B171D9">
            <w:pPr>
              <w:spacing w:before="100" w:after="0" w:line="240" w:lineRule="auto"/>
              <w:rPr>
                <w:rFonts w:ascii="Times New Roman" w:eastAsia="Times New Roman" w:hAnsi="Times New Roman" w:cs="Times New Roman"/>
                <w:noProof/>
                <w:color w:val="000000"/>
                <w:sz w:val="20"/>
                <w:szCs w:val="20"/>
              </w:rPr>
            </w:pPr>
            <w:r w:rsidRPr="00EE14D2">
              <w:rPr>
                <w:rFonts w:ascii="Times New Roman" w:hAnsi="Times New Roman" w:cs="Times New Roman"/>
                <w:sz w:val="20"/>
                <w:szCs w:val="20"/>
              </w:rPr>
              <w:t>Link do dokumentów: https://efs.mein.go v.pl/zintegrowana-strategia-umiejetnosci-2030- czesc-ogolna/ https://www.gov.pl/ web/edukacja-i-nauka/zintegrowan a-strategia-umiejetnosci-2030- czesc-szczegolowa-- dokument-przyjety-przez-rade-ministrow</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243674" w14:textId="0ED14C8F" w:rsidR="00644235" w:rsidRPr="00EE14D2" w:rsidRDefault="00505560"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hAnsi="Times New Roman" w:cs="Times New Roman"/>
                <w:sz w:val="20"/>
                <w:szCs w:val="20"/>
              </w:rPr>
              <w:t xml:space="preserve">Ramy zostały określone w: 1. Rozporządzeniu Ministra Edukacji Narodowej ws. postępowania w celu uznania świadectwa lub innego dokumentu (…), 2. Rozporządzeniu Ministra Edukacji Narodowej ws. kształcenia ustawicznego w formach pozaszkolnych, 3. Rozporządzeniu Ministra Edukacji Narodowej ws. warunków, jakie musi spełnić osoba ubiegająca się o uzyskanie dyplomu zawodowego (…), 4. Zintegrowanej Strategii Umiejętności 2030 (część ogólna) – Priorytety: 2 Rozwijanie i upowszechnianie kultury uczenia się (…); 5 Wypracowanie skutecznych i trwałych mechanizmów (…), 5. Zintegrowanej Strategii Umiejętności 2030 (część szczegółowa) – Obszary oddziaływania: III Rozwijanie umiejętności w edukacji formalnej – kadry uczące; IV Rozwijanie umiejętności poza edukacją formalną; VII Współpraca pracodawców z edukacją formalną i pozaformalną; VIII Planowanie uczenia się przez całe życie i potwierdzanie umiejętności. Ponadto funkcjonowanie: a) Narodowej Agencji Wymiany Akademickiej, b) Narodowego Centrum Nauki, c) Sieci </w:t>
            </w:r>
            <w:r w:rsidRPr="00EE14D2">
              <w:rPr>
                <w:rFonts w:ascii="Times New Roman" w:hAnsi="Times New Roman" w:cs="Times New Roman"/>
                <w:sz w:val="20"/>
                <w:szCs w:val="20"/>
              </w:rPr>
              <w:lastRenderedPageBreak/>
              <w:t xml:space="preserve">Badawczej Łukasiewicz, d) Narodowego Centrum Badań i Rozwoju, e) Fundacji Rozwoju Systemu Edukacji. </w:t>
            </w:r>
          </w:p>
        </w:tc>
      </w:tr>
      <w:tr w:rsidR="00644235" w:rsidRPr="00EE14D2" w14:paraId="5BEC0CAF" w14:textId="77777777" w:rsidTr="00644235">
        <w:trPr>
          <w:jc w:val="center"/>
        </w:trPr>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C3894A"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4.4. Krajowe ramy strategiczne polityki na rzecz włączenia społecznego i walki z ubóstwem</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76A28A"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p w14:paraId="38466CFD"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EFS+</w:t>
            </w:r>
          </w:p>
          <w:p w14:paraId="00CFEC1F"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A21C4E"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p w14:paraId="3D24BB46"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ESO4.8. Wspieranie aktywnego włączenia społecznego w celu promowania równości szans, niedyskryminacji i aktywnego uczestnictwa, oraz zwiększanie zdolności do zatrudnienia, w szczególności grup w niekorzystnej sytuacji</w:t>
            </w:r>
          </w:p>
          <w:p w14:paraId="453130B0"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25BBFD"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Nie</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A9898A"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Istnienie krajowych lub regionalnych ram strategicznych polityki lub ram ustawodawczych na rzecz włączenia społecznego i ograniczenia ubóstwa, które obejmują:</w:t>
            </w:r>
          </w:p>
          <w:p w14:paraId="200E488E"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1. opartą na rzetelnych danych diagnozę ubóstwa i wykluczenia społecznego, w tym ubóstwa dzieci, w szczególności pod względem równego dostępu do dobrej jakości usług dla dzieci znajdujących się w trudnej sytuacji, a także pod względem bezdomności, segregacji przestrzennej i edukacyjnej, ograniczonego dostępu do podstawowych usług i infrastruktury oraz szczególnych potrzeb osób w każdym wieku znajdujących się w trudnej sytuacji;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0225C2"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29AB90"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Niespełniony</w:t>
            </w:r>
          </w:p>
          <w:p w14:paraId="67A7971D"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Spełnieniem warunku jest Krajowy Program Przeciwdziałania Ubóstwu i Wykluczeniu Społecznemu. Aktualizacja 2021-2027 z perspektywą do roku 2030” (KPPUiWS) oraz w zakresie deinstytucjonalizacji usług społecznych Strategia rozwoju usług społecznych, polityka publiczna do roku 2030 (z perspektywą do 2035 r.)</w:t>
            </w:r>
          </w:p>
          <w:p w14:paraId="235D31A4"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KPPUiWS przyjęty przez Radę Ministrów w dniu 17 sierpnia 2021 r. to dokument o charakterze operacyjno-wdrożeniowym,  w którym przedstawiono działania do realizacji celów związanych z przeciwdziałaniem ubóstwu i wykluczeniu społecznemu  „Strategii na rzecz Odpowiedzialnego Rozwoju” oraz celu szczegółowego w tym obszarze wskazanego w Strategii Rozwoju Kapitału Ludzkiego (SRKL) -tj.: redukcja ubóstwa i wykluczenia społecznego oraz poprawa dostępu do usług świadczonych w odpowiedzi na wyzwania demograficzne. Wśród krajowych dokumentów strategicznych o szczególnym znaczeniu dla polityki walki z ubóstwem i wykluczeniem należy wymienić, poza SRKL:, </w:t>
            </w:r>
            <w:r w:rsidRPr="00EE14D2">
              <w:rPr>
                <w:rFonts w:ascii="Times New Roman" w:eastAsia="Times New Roman" w:hAnsi="Times New Roman" w:cs="Times New Roman"/>
                <w:noProof/>
                <w:color w:val="000000"/>
                <w:sz w:val="20"/>
                <w:szCs w:val="20"/>
              </w:rPr>
              <w:lastRenderedPageBreak/>
              <w:t xml:space="preserve">Narodowy Program Mieszkaniowy, Strategię na rzecz Osób z Niepełnosprawnościami 2021-2030, Krajową Strategię Rozwoju Regionalnego oraz opracowywaną Politykę Migracyjną. </w:t>
            </w:r>
          </w:p>
          <w:p w14:paraId="49462EF4"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7 czerwca br. Rada Ministrów przyjęła uchwałę w sprawie przyjęcia polityki publicznej pod nazwą Strategia rozwoju usług społecznych, polityka publiczna do roku 2030 (z perspektywą do 2035 r.). </w:t>
            </w:r>
          </w:p>
          <w:p w14:paraId="24842055"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p>
          <w:p w14:paraId="7BD9209C"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p>
          <w:p w14:paraId="53C508AA"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https://isap.sejm.gov.pl/isap.nsf/download.xsp/WMP20220000767/O/M20220767.pdf</w:t>
            </w:r>
          </w:p>
          <w:p w14:paraId="48EA55AC"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p>
          <w:p w14:paraId="60E5813F"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 </w:t>
            </w:r>
          </w:p>
          <w:p w14:paraId="5F9C3EF4"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Razem z  obowiązującymi  aktami prawnymi:</w:t>
            </w:r>
          </w:p>
          <w:p w14:paraId="0827F428"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ustawą 12 marca 2004 roku o pomocy społecznej (Dz.U. z 2020 r. poz. 1876 t. j. z późn. zm.);</w:t>
            </w:r>
          </w:p>
          <w:p w14:paraId="7FCE4A04"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 ustawą z dnia 9 czerwca 2011 r. o wspieraniu rodziny i systemie pieczy zastępczej </w:t>
            </w:r>
          </w:p>
          <w:p w14:paraId="27FA7118"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(Dz. U. z 2020 r. poz. 8210);</w:t>
            </w:r>
          </w:p>
          <w:p w14:paraId="4DD16016"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 ustawą z dnia 20 lipca 2018 r. Prawo o szkolnictwie wyższym i nauce  (Dz. U. z 2020 r. poz. 85, 374, 695, 875 i 1086);</w:t>
            </w:r>
          </w:p>
          <w:p w14:paraId="746018EF"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ustawą z dnia 19 lipca 2019 r. o realizowaniu usług społecznych przez centrum usług społecznych (Dz.U. poz. 1818, z późn. zm.);</w:t>
            </w:r>
          </w:p>
          <w:p w14:paraId="25A98D13"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ustawą z dnia 23 października 2018 r. o Funduszu Solidarnościowym (Dz. U. z 2020 poz. 1787)</w:t>
            </w:r>
          </w:p>
          <w:p w14:paraId="7495DC4E"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 ustawą z dnia 7 września 2007 r. o pomocy osobom uprawnionym do alimentów </w:t>
            </w:r>
          </w:p>
          <w:p w14:paraId="34318456"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(Dz. U. 2007 poz. 1378 t.j.);</w:t>
            </w:r>
          </w:p>
          <w:p w14:paraId="6AAEB593"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ustawą  z dnia 20 lipca 2018 r. o pomocy państwa w ponoszeniu wydatków mieszkaniowych w pierwszych latach najmu mieszkania (Dz. U. z 2020 r. poz. 551),</w:t>
            </w:r>
          </w:p>
          <w:p w14:paraId="4B78BC8A"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 ustawą z dnia 20 kwietnia 2004 r. o promocji zatrudnienia i instytucjach rynku pracy </w:t>
            </w:r>
          </w:p>
          <w:p w14:paraId="71E5E8CD"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(Dz. U. z 2020 r. poz. 1409 t.j.).</w:t>
            </w:r>
          </w:p>
          <w:p w14:paraId="1C20E52E"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tworzą krajowe ramy strategiczne i prawne.</w:t>
            </w:r>
          </w:p>
          <w:p w14:paraId="3504CDFC"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p>
          <w:p w14:paraId="145EFFD6"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Link do dokumentu:</w:t>
            </w:r>
          </w:p>
          <w:p w14:paraId="1B896C91"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 xml:space="preserve">http://isap.sejm.gov.pl/isap.nsf/download.xsp/WMP20210000843/O/M20210843.pdf </w:t>
            </w:r>
          </w:p>
          <w:p w14:paraId="65CF87FD"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A0DD49"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 xml:space="preserve">Diagnoza w Krajowym Programie Przeciwdziałania Ubóstwu i Wykluczeniu Społecznemu (KPPUiWS) dotyczy ubóstwa i wykluczenia społecznego,. Dokument zawiera analizę danych ogólnokrajowych oraz według makroregionów, stopnia urbanizacji, typów gospodarstw domowych. W diagnozie uwzględnione zostały takie problemy jak ubóstwo dzieci, bezdomność, ograniczony dostęp do usług społecznych oraz specyficzne potrzeby grup zagrożonych wykluczeniem. Diagnoza zawiera również informacje dotyczące dostępu do edukacji, w tym edukacji wczesnej i opieki. Opisany został obszar wsparcia rodziny i pieczy zastępczej, wykluczenia mieszkaniowego, ubóstwa osób pracujących i osób starszych oraz przedstawiona została sytuacja cudzoziemców - tytuły pobytowe, dostęp do usług.  Diagnoza obejmuje również usługi w ramach pomocy społecznej - usługi w miejscu zamieszkania a domy pomocy społecznej, środowiskowe domy samopomocy, mieszkania chronione. Przy opracowaniu diagnozy opierano się m.in. na danych Głównego Urzędu </w:t>
            </w:r>
            <w:r w:rsidRPr="00EE14D2">
              <w:rPr>
                <w:rFonts w:ascii="Times New Roman" w:eastAsia="Times New Roman" w:hAnsi="Times New Roman" w:cs="Times New Roman"/>
                <w:noProof/>
                <w:color w:val="000000"/>
                <w:sz w:val="20"/>
                <w:szCs w:val="20"/>
              </w:rPr>
              <w:lastRenderedPageBreak/>
              <w:t>Statystycznego, Eurostatu oraz sprawozdaniach resortowych.</w:t>
            </w:r>
          </w:p>
          <w:p w14:paraId="67561455"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p w14:paraId="6C56E069"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r>
      <w:tr w:rsidR="00644235" w:rsidRPr="00EE14D2" w14:paraId="7048E297" w14:textId="77777777" w:rsidTr="00644235">
        <w:trPr>
          <w:jc w:val="center"/>
        </w:trPr>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AF8F30"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14D059"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89AABE"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680EA4"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069EB1"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2. środki na rzecz zapobiegania i zwalczania segregacji we wszystkich dziedzinach, w tym ochrony socjalnej, rynków pracy sprzyjających włączeniu społecznemu i dostępu do wysokiej jakości usług dla osób w trudnej sytuacji, w tym migrantów i uchodźców;</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02C278"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5F22FD" w14:textId="448CB75A" w:rsidR="00A4382A" w:rsidRPr="00EE14D2" w:rsidRDefault="00A4382A" w:rsidP="00644235">
            <w:pPr>
              <w:spacing w:before="100" w:after="0" w:line="240" w:lineRule="auto"/>
              <w:rPr>
                <w:rFonts w:ascii="Times New Roman" w:eastAsia="Times New Roman" w:hAnsi="Times New Roman" w:cs="Times New Roman"/>
                <w:noProof/>
                <w:color w:val="000000"/>
                <w:sz w:val="20"/>
                <w:szCs w:val="20"/>
              </w:rPr>
            </w:pPr>
          </w:p>
          <w:p w14:paraId="09F00BD8" w14:textId="77777777" w:rsidR="00A4382A" w:rsidRPr="00EE14D2" w:rsidRDefault="00644235"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 </w:t>
            </w:r>
            <w:r w:rsidR="00A4382A" w:rsidRPr="00EE14D2">
              <w:rPr>
                <w:rFonts w:ascii="Times New Roman" w:eastAsia="Times New Roman" w:hAnsi="Times New Roman" w:cs="Times New Roman"/>
                <w:noProof/>
                <w:color w:val="000000"/>
                <w:sz w:val="20"/>
                <w:szCs w:val="20"/>
              </w:rPr>
              <w:t>Niespełniony</w:t>
            </w:r>
          </w:p>
          <w:p w14:paraId="59031FDB"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Spełnieniem warunku jest Krajowy Program Przeciwdziałania Ubóstwu i Wykluczeniu Społecznemu. Aktualizacja 2021-2027 z perspektywą do roku 2030” (KPPUiWS) oraz w zakresie deinstytucjonalizacji usług społecznych Strategia rozwoju usług społecznych, polityka publiczna do roku 2030 (z perspektywą do 2035 r.)</w:t>
            </w:r>
          </w:p>
          <w:p w14:paraId="67EA02D7"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KPPUiWS przyjęty przez Radę Ministrów w dniu 17 sierpnia 2021 r. to dokument o charakterze operacyjno-wdrożeniowym,  w którym przedstawiono działania do realizacji celów związanych z przeciwdziałaniem ubóstwu i wykluczeniu społecznemu  „Strategii na rzecz Odpowiedzialnego Rozwoju” oraz celu szczegółowego w tym obszarze wskazanego w Strategii Rozwoju Kapitału Ludzkiego (SRKL) -tj.: redukcja ubóstwa i wykluczenia społecznego oraz poprawa dostępu do usług świadczonych w odpowiedzi na wyzwania demograficzne. Wśród krajowych dokumentów strategicznych </w:t>
            </w:r>
            <w:r w:rsidRPr="00EE14D2">
              <w:rPr>
                <w:rFonts w:ascii="Times New Roman" w:eastAsia="Times New Roman" w:hAnsi="Times New Roman" w:cs="Times New Roman"/>
                <w:noProof/>
                <w:color w:val="000000"/>
                <w:sz w:val="20"/>
                <w:szCs w:val="20"/>
              </w:rPr>
              <w:lastRenderedPageBreak/>
              <w:t xml:space="preserve">o szczególnym znaczeniu dla polityki walki z ubóstwem i wykluczeniem należy wymienić, poza SRKL:, Narodowy Program Mieszkaniowy, Strategię na rzecz Osób z Niepełnosprawnościami 2021-2030, Krajową Strategię Rozwoju Regionalnego oraz opracowywaną Politykę Migracyjną. </w:t>
            </w:r>
          </w:p>
          <w:p w14:paraId="177BF169"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7 czerwca br. Rada Ministrów przyjęła uchwałę w sprawie przyjęcia polityki publicznej pod nazwą Strategia rozwoju usług społecznych, polityka publiczna do roku 2030 (z perspektywą do 2035 r.). </w:t>
            </w:r>
          </w:p>
          <w:p w14:paraId="08E913ED"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p>
          <w:p w14:paraId="70AE2936"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p>
          <w:p w14:paraId="646FECB5"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https://isap.sejm.gov.pl/isap.nsf/download.xsp/WMP20220000767/O/M20220767.pdf</w:t>
            </w:r>
          </w:p>
          <w:p w14:paraId="34D8D1C4"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p>
          <w:p w14:paraId="7CF42943"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 </w:t>
            </w:r>
          </w:p>
          <w:p w14:paraId="3DDFE01B"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Razem z  obowiązującymi  aktami prawnymi:</w:t>
            </w:r>
          </w:p>
          <w:p w14:paraId="50A553E2"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ustawą 12 marca 2004 roku o pomocy społecznej (Dz.U. z 2020 r. poz. 1876 t. j. z późn. zm.);</w:t>
            </w:r>
          </w:p>
          <w:p w14:paraId="718FEA67"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 ustawą z dnia 9 czerwca 2011 r. o wspieraniu rodziny i systemie pieczy zastępczej </w:t>
            </w:r>
          </w:p>
          <w:p w14:paraId="39206170"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(Dz. U. z 2020 r. poz. 8210);</w:t>
            </w:r>
          </w:p>
          <w:p w14:paraId="2A46CE72"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ustawą z dnia 20 lipca 2018 r. Prawo o szkolnictwie wyższym i nauce  (Dz. U. z 2020 r. poz. 85, 374, 695, 875 i 1086);</w:t>
            </w:r>
          </w:p>
          <w:p w14:paraId="796AAD33"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ustawą z dnia 19 lipca 2019 r. o realizowaniu usług społecznych przez centrum usług społecznych (Dz.U. poz. 1818, z późn. zm.);</w:t>
            </w:r>
          </w:p>
          <w:p w14:paraId="0C8369CD"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ustawą z dnia 23 października 2018 r. o Funduszu Solidarnościowym (Dz. U. z 2020 poz. 1787)</w:t>
            </w:r>
          </w:p>
          <w:p w14:paraId="287EA315"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 ustawą z dnia 7 września 2007 r. o pomocy osobom uprawnionym do alimentów </w:t>
            </w:r>
          </w:p>
          <w:p w14:paraId="1D432CA8"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(Dz. U. 2007 poz. 1378 t.j.);</w:t>
            </w:r>
          </w:p>
          <w:p w14:paraId="3514DC35"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ustawą  z dnia 20 lipca 2018 r. o pomocy państwa w ponoszeniu wydatków mieszkaniowych w pierwszych latach najmu mieszkania (Dz. U. z 2020 r. poz. 551),</w:t>
            </w:r>
          </w:p>
          <w:p w14:paraId="7C50B96A"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 ustawą z dnia 20 kwietnia 2004 r. o promocji zatrudnienia i instytucjach rynku pracy </w:t>
            </w:r>
          </w:p>
          <w:p w14:paraId="3FE60162"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(Dz. U. z 2020 r. poz. 1409 t.j.).</w:t>
            </w:r>
          </w:p>
          <w:p w14:paraId="75CFD966"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tworzą krajowe ramy strategiczne i prawne.</w:t>
            </w:r>
          </w:p>
          <w:p w14:paraId="41D4253A"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p>
          <w:p w14:paraId="02A4EFA0"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Link do dokumentu:</w:t>
            </w:r>
          </w:p>
          <w:p w14:paraId="0C898087"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 xml:space="preserve">http://isap.sejm.gov.pl/isap.nsf/download.xsp/WMP20210000843/O/M20210843.pdf </w:t>
            </w:r>
          </w:p>
          <w:p w14:paraId="49AC6E7F" w14:textId="121485C0"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17E05D"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KPPUiWS koncentruje się na :</w:t>
            </w:r>
          </w:p>
          <w:p w14:paraId="6A075501"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przeciwdziałaniu ubóstwu i wykluczeniu społecznemu dzieci i młodzieży,</w:t>
            </w:r>
          </w:p>
          <w:p w14:paraId="36550611"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przeciwdziałaniu bezdomności,</w:t>
            </w:r>
          </w:p>
          <w:p w14:paraId="76D699EE"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rozwijaniu usług społecznych dla osób z niepełnosprawnościami, starszych i innych potrzebujących wsparcia w codziennym funkcjonowaniu,</w:t>
            </w:r>
          </w:p>
          <w:p w14:paraId="21DC44E9"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wspieraniu osób i rodzin poprzez działania instytucji pomocy społecznej oraz działania podmiotów ekonomii społecznej,</w:t>
            </w:r>
          </w:p>
          <w:p w14:paraId="1A4C6574"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wspieraniu integracji cudzoziemców poprzez rozwój usług społecznych dla migrantów oraz ich integracji na rynku pracy.</w:t>
            </w:r>
          </w:p>
          <w:p w14:paraId="7FDCDF90"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We wszystkich obszarach uwzględniono działania na rzecz przejścia z opieki instytucjonalnej do opieki rodzinnej i środowiskowej.</w:t>
            </w:r>
          </w:p>
          <w:p w14:paraId="5779A201"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r>
      <w:tr w:rsidR="00644235" w:rsidRPr="00EE14D2" w14:paraId="7AC7C419" w14:textId="77777777" w:rsidTr="00644235">
        <w:trPr>
          <w:jc w:val="center"/>
        </w:trPr>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29C014"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BA979B"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56F512"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046C43"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BA0D13"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3. środki na rzecz przejścia od opieki instytucjonalnej do opieki rodzinnej i środowiskowej;</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94575D"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B7861E"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Niespełniony</w:t>
            </w:r>
          </w:p>
          <w:p w14:paraId="2EA0EC24"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Spełnieniem warunku jest Krajowy Program Przeciwdziałania Ubóstwu i Wykluczeniu Społecznemu. Aktualizacja 2021-2027 z perspektywą do roku 2030” (KPPUiWS) oraz w zakresie deinstytucjonalizacji usług społecznych Strategia rozwoju usług społecznych, polityka publiczna do roku 2030 (z perspektywą do 2035 r.)</w:t>
            </w:r>
          </w:p>
          <w:p w14:paraId="6E8FE03D"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KPPUiWS przyjęty przez Radę Ministrów w dniu 17 sierpnia 2021 r. to dokument o charakterze operacyjno-wdrożeniowym,  w którym przedstawiono działania do realizacji celów związanych z przeciwdziałaniem ubóstwu i wykluczeniu społecznemu  „Strategii na rzecz Odpowiedzialnego Rozwoju” oraz celu szczegółowego w tym obszarze wskazanego w Strategii Rozwoju Kapitału Ludzkiego (SRKL) -tj.: redukcja ubóstwa i wykluczenia społecznego oraz poprawa dostępu do usług świadczonych w odpowiedzi na wyzwania demograficzne. Wśród krajowych dokumentów strategicznych o szczególnym znaczeniu dla polityki </w:t>
            </w:r>
            <w:r w:rsidRPr="00EE14D2">
              <w:rPr>
                <w:rFonts w:ascii="Times New Roman" w:eastAsia="Times New Roman" w:hAnsi="Times New Roman" w:cs="Times New Roman"/>
                <w:noProof/>
                <w:color w:val="000000"/>
                <w:sz w:val="20"/>
                <w:szCs w:val="20"/>
              </w:rPr>
              <w:lastRenderedPageBreak/>
              <w:t xml:space="preserve">walki z ubóstwem i wykluczeniem należy wymienić, poza SRKL:, Narodowy Program Mieszkaniowy, Strategię na rzecz Osób z Niepełnosprawnościami 2021-2030, Krajową Strategię Rozwoju Regionalnego oraz opracowywaną Politykę Migracyjną. </w:t>
            </w:r>
          </w:p>
          <w:p w14:paraId="209A8916"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7 czerwca br. Rada Ministrów przyjęła uchwałę w sprawie przyjęcia polityki publicznej pod nazwą Strategia rozwoju usług społecznych, polityka publiczna do roku 2030 (z perspektywą do 2035 r.). </w:t>
            </w:r>
          </w:p>
          <w:p w14:paraId="6389CD75"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p>
          <w:p w14:paraId="389BF1BF"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p>
          <w:p w14:paraId="519609F9"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https://isap.sejm.gov.pl/isap.nsf/download.xsp/WMP20220000767/O/M20220767.pdf</w:t>
            </w:r>
          </w:p>
          <w:p w14:paraId="04096A48"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p>
          <w:p w14:paraId="783EF0F1"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 </w:t>
            </w:r>
          </w:p>
          <w:p w14:paraId="21AE54E0"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Razem z  obowiązującymi  aktami prawnymi:</w:t>
            </w:r>
          </w:p>
          <w:p w14:paraId="37FACAA6"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ustawą 12 marca 2004 roku o pomocy społecznej (Dz.U. z 2020 r. poz. 1876 t. j. z późn. zm.);</w:t>
            </w:r>
          </w:p>
          <w:p w14:paraId="2B3D21C4"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 ustawą z dnia 9 czerwca 2011 r. o wspieraniu rodziny i systemie pieczy zastępczej </w:t>
            </w:r>
          </w:p>
          <w:p w14:paraId="63451F69"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(Dz. U. z 2020 r. poz. 8210);</w:t>
            </w:r>
          </w:p>
          <w:p w14:paraId="6DD2FCB9"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ustawą z dnia 20 lipca 2018 r. Prawo o szkolnictwie wyższym i nauce  (Dz. U. z 2020 r. poz. 85, 374, 695, 875 i 1086);</w:t>
            </w:r>
          </w:p>
          <w:p w14:paraId="52362F88"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ustawą z dnia 19 lipca 2019 r. o realizowaniu usług społecznych przez centrum usług społecznych (Dz.U. poz. 1818, z późn. zm.);</w:t>
            </w:r>
          </w:p>
          <w:p w14:paraId="03CA44A9"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ustawą z dnia 23 października 2018 r. o Funduszu Solidarnościowym (Dz. U. z 2020 poz. 1787)</w:t>
            </w:r>
          </w:p>
          <w:p w14:paraId="01B8A91E"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 ustawą z dnia 7 września 2007 r. o pomocy osobom uprawnionym do alimentów </w:t>
            </w:r>
          </w:p>
          <w:p w14:paraId="243C8D56"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(Dz. U. 2007 poz. 1378 t.j.);</w:t>
            </w:r>
          </w:p>
          <w:p w14:paraId="4206E0E1"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ustawą  z dnia 20 lipca 2018 r. o pomocy państwa w ponoszeniu wydatków mieszkaniowych w pierwszych latach najmu mieszkania (Dz. U. z 2020 r. poz. 551),</w:t>
            </w:r>
          </w:p>
          <w:p w14:paraId="1CEDF0E8"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 ustawą z dnia 20 kwietnia 2004 r. o promocji zatrudnienia i instytucjach rynku pracy </w:t>
            </w:r>
          </w:p>
          <w:p w14:paraId="6F3FAD99"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(Dz. U. z 2020 r. poz. 1409 t.j.).</w:t>
            </w:r>
          </w:p>
          <w:p w14:paraId="78F3C50F"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tworzą krajowe ramy strategiczne i prawne.</w:t>
            </w:r>
          </w:p>
          <w:p w14:paraId="3ADBC1AB"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p>
          <w:p w14:paraId="1BA18248"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Link do dokumentu:</w:t>
            </w:r>
          </w:p>
          <w:p w14:paraId="24C48F29" w14:textId="3D6AE678" w:rsidR="00644235"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https://isap.sejm.gov.pl/isap.nsf/download.xsp/WMP20220000767/O/M20220767.pdf</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B4E273"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Opracowywano  Strategię rozwoju usług społecznych polityka publiczna do roku 2030 (z perspektywą do 2035 r.) – Strategię DI. Zawiera ona diagnozę obszarów procesu DI wraz z wnioskami, wizję, cele strategiczne oraz kierunki interwencji i zasady realizacji polityki publicznej w danym obszarze. Strategia będzie realizowana w obszarach: opieki nad dzieckiem, w tym z niepełnosprawnością, nad osobami starszymi, wsparcia osób z niepełnosprawnościami, wsparcia osób w kryzysie psychicznym i w kryzysie bezdomności.</w:t>
            </w:r>
          </w:p>
          <w:p w14:paraId="6D602559"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Strategia DI obejmować będzie np:</w:t>
            </w:r>
          </w:p>
          <w:p w14:paraId="1C85C3CA"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1. priorytetowe podejście do usług społecznych realizowanych w środowisku</w:t>
            </w:r>
          </w:p>
          <w:p w14:paraId="52B4EAFB"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2. rozwój lokalnych i zindywidualizowanych usług, które ograniczą opiekę instytucjonalną</w:t>
            </w:r>
          </w:p>
          <w:p w14:paraId="01A78DC8"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3. wykorzystanie potencjału instytucjonalnej opieki długoterminowej na rzecz rozwoju nowych usług środowiskowych</w:t>
            </w:r>
          </w:p>
          <w:p w14:paraId="13F6E908"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4. zabezpieczenie usług stacjonarnej opieki długoterminowej, jako ostatni i najmniej pożądany element systemu</w:t>
            </w:r>
          </w:p>
          <w:p w14:paraId="0256944E"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5. rozwój mieszkalnictwa treningowego i wspomaganego z koszykiem usług</w:t>
            </w:r>
          </w:p>
          <w:p w14:paraId="4E841C62"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6. system koordynacji i standaryzacji usług społecznych – funkcja koordynatora usług społecznych</w:t>
            </w:r>
          </w:p>
          <w:p w14:paraId="3D41CBF6"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7. systemową usługę asystencji osobistej.</w:t>
            </w:r>
          </w:p>
          <w:p w14:paraId="203A61D4"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p>
        </w:tc>
      </w:tr>
      <w:tr w:rsidR="00644235" w:rsidRPr="00EE14D2" w14:paraId="6A832D0C" w14:textId="77777777" w:rsidTr="00644235">
        <w:trPr>
          <w:jc w:val="center"/>
        </w:trPr>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BAFB3A"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44BB90"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DC2E79"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EFA368"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5CC99D"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4. rozwiązania dotyczące zapewnienia, aby opracowanie tych ram, ich wdrożenie, monitorowanie i przegląd były prowadzone w ścisłej współpracy z odpowiednimi zainteresowanymi stronami, w tym partnerami społecznymi i odpowiednimi organizacjami społeczeństwa obywatelskiego.</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AF5730"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7AE12F" w14:textId="3C0B19E8"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p w14:paraId="05EAEF0B"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Niespełniony</w:t>
            </w:r>
          </w:p>
          <w:p w14:paraId="20E12C8D"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Spełnieniem warunku jest Krajowy Program Przeciwdziałania Ubóstwu i Wykluczeniu Społecznemu. Aktualizacja 2021-2027 z perspektywą do roku 2030” (KPPUiWS) oraz w zakresie deinstytucjonalizacji usług społecznych Strategia rozwoju usług społecznych, polityka publiczna do roku 2030 (z perspektywą do 2035 r.)</w:t>
            </w:r>
          </w:p>
          <w:p w14:paraId="7976CF7F"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KPPUiWS przyjęty przez Radę Ministrów w dniu 17 sierpnia 2021 r. to dokument o charakterze operacyjno-wdrożeniowym,  w którym przedstawiono działania do realizacji celów związanych z przeciwdziałaniem ubóstwu i wykluczeniu społecznemu  „Strategii na rzecz Odpowiedzialnego Rozwoju” oraz celu szczegółowego w tym obszarze wskazanego w Strategii Rozwoju Kapitału Ludzkiego (SRKL) -tj.: redukcja ubóstwa i wykluczenia społecznego oraz poprawa dostępu do usług świadczonych w odpowiedzi na wyzwania demograficzne. Wśród krajowych dokumentów strategicznych o szczególnym znaczeniu dla polityki </w:t>
            </w:r>
            <w:r w:rsidRPr="00EE14D2">
              <w:rPr>
                <w:rFonts w:ascii="Times New Roman" w:eastAsia="Times New Roman" w:hAnsi="Times New Roman" w:cs="Times New Roman"/>
                <w:noProof/>
                <w:color w:val="000000"/>
                <w:sz w:val="20"/>
                <w:szCs w:val="20"/>
              </w:rPr>
              <w:lastRenderedPageBreak/>
              <w:t xml:space="preserve">walki z ubóstwem i wykluczeniem należy wymienić, poza SRKL:, Narodowy Program Mieszkaniowy, Strategię na rzecz Osób z Niepełnosprawnościami 2021-2030, Krajową Strategię Rozwoju Regionalnego oraz opracowywaną Politykę Migracyjną. </w:t>
            </w:r>
          </w:p>
          <w:p w14:paraId="3B54E398" w14:textId="1A217743"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7 czerwca br. Rada Ministrów przyjęła uchwałę w sprawie przyjęcia polityki publicznej pod nazwą Strategia rozwoju usług społecznych, polityka publiczna do roku 2030 (z perspektywą do 2035 r.). </w:t>
            </w:r>
          </w:p>
          <w:p w14:paraId="7EF385FD" w14:textId="47BF8A1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https://isap.sejm.gov.pl/isap.nsf/download.xsp/WMP20220000767/O/M20220767.pdf</w:t>
            </w:r>
          </w:p>
          <w:p w14:paraId="5F684022"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Razem z  obowiązującymi  aktami prawnymi:</w:t>
            </w:r>
          </w:p>
          <w:p w14:paraId="3D7130B1"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ustawą 12 marca 2004 roku o pomocy społecznej (Dz.U. z 2020 r. poz. 1876 t. j. z późn. zm.);</w:t>
            </w:r>
          </w:p>
          <w:p w14:paraId="3A65D60F"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 ustawą z dnia 9 czerwca 2011 r. o wspieraniu rodziny i systemie pieczy zastępczej </w:t>
            </w:r>
          </w:p>
          <w:p w14:paraId="6FD1DC88"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(Dz. U. z 2020 r. poz. 8210);</w:t>
            </w:r>
          </w:p>
          <w:p w14:paraId="61063A80"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ustawą z dnia 20 lipca 2018 r. Prawo o szkolnictwie wyższym i nauce  (Dz. U. z 2020 r. poz. 85, 374, 695, 875 i 1086);</w:t>
            </w:r>
          </w:p>
          <w:p w14:paraId="46FF2C52"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 ustawą z dnia 19 lipca 2019 r. o realizowaniu usług społecznych przez centrum usług społecznych (Dz.U. poz. 1818, z późn. zm.);</w:t>
            </w:r>
          </w:p>
          <w:p w14:paraId="46542E3D"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ustawą z dnia 23 października 2018 r. o Funduszu Solidarnościowym (Dz. U. z 2020 poz. 1787)</w:t>
            </w:r>
          </w:p>
          <w:p w14:paraId="267EBBF2"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 ustawą z dnia 7 września 2007 r. o pomocy osobom uprawnionym do alimentów </w:t>
            </w:r>
          </w:p>
          <w:p w14:paraId="66FCE7F6"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(Dz. U. 2007 poz. 1378 t.j.);</w:t>
            </w:r>
          </w:p>
          <w:p w14:paraId="0F5BB94A"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ustawą  z dnia 20 lipca 2018 r. o pomocy państwa w ponoszeniu wydatków mieszkaniowych w pierwszych latach najmu mieszkania (Dz. U. z 2020 r. poz. 551),</w:t>
            </w:r>
          </w:p>
          <w:p w14:paraId="4CDFF518"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 ustawą z dnia 20 kwietnia 2004 r. o promocji zatrudnienia i instytucjach rynku pracy </w:t>
            </w:r>
          </w:p>
          <w:p w14:paraId="46CA6FD0"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(Dz. U. z 2020 r. poz. 1409 t.j.).</w:t>
            </w:r>
          </w:p>
          <w:p w14:paraId="5F304D16"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tworzą krajowe ramy strategiczne i prawne.</w:t>
            </w:r>
          </w:p>
          <w:p w14:paraId="5B0A2C9E"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p>
          <w:p w14:paraId="305E8B42"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Link do dokumentu:</w:t>
            </w:r>
          </w:p>
          <w:p w14:paraId="36111EFF" w14:textId="77777777" w:rsidR="00A4382A" w:rsidRPr="00EE14D2" w:rsidRDefault="00A4382A" w:rsidP="00A4382A">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http://isap.sejm.gov.pl/isap.nsf/download.xsp/WMP20210000843/O/M20210843.pdf </w:t>
            </w:r>
          </w:p>
          <w:p w14:paraId="67F8D72D" w14:textId="0E9DD180" w:rsidR="00A4382A" w:rsidRPr="00EE14D2" w:rsidRDefault="00A4382A" w:rsidP="00644235">
            <w:pPr>
              <w:spacing w:before="100" w:after="0" w:line="240" w:lineRule="auto"/>
              <w:rPr>
                <w:rFonts w:ascii="Times New Roman" w:eastAsia="Times New Roman" w:hAnsi="Times New Roman" w:cs="Times New Roman"/>
                <w:noProof/>
                <w:color w:val="000000"/>
                <w:sz w:val="20"/>
                <w:szCs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63D14F"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Oba dokumenty opracowano we współpracy z przedstawicielami społeczeństwa obywatelskiego i interesariuszy problematyki ubóstwa i wykluczenia społecznego. Uwzględniono rezultaty pracy niezależnych tematycznych grup eksperckich dla obszarów: rodzina i dziecko, os. starsze,  z niepełnosprawnościami,  z zaburzeniami psychicznymi,  bezdomne i cudzoziemcy. Grupy eksperckie wypracowały założenia, wykorzystane  do zaplanowania działań w KPPUiWS i Strategii DI.</w:t>
            </w:r>
          </w:p>
          <w:p w14:paraId="2061961F"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Monitorowanie działań odbywać się będzie w partnerstwie i z udziałem interesariuszy, w tym organizacji społeczeństwa obywatelskiego i podmiotów społecznych zaangażowanych bezpośrednio w obszarach objętych dokumentami</w:t>
            </w:r>
          </w:p>
          <w:p w14:paraId="5AC8F59B"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W resorcie właściwym ds. rodziny i zabezpieczenia społecznego powołane zostaną Zespoły z udziałem organizacji społeczeństwa obywatelskiego i podmiotów społecznych, administracji centralnej, samorządów wojewódzkich i lokalnych. Dane do monitorowania </w:t>
            </w:r>
            <w:r w:rsidRPr="00EE14D2">
              <w:rPr>
                <w:rFonts w:ascii="Times New Roman" w:eastAsia="Times New Roman" w:hAnsi="Times New Roman" w:cs="Times New Roman"/>
                <w:noProof/>
                <w:color w:val="000000"/>
                <w:sz w:val="20"/>
                <w:szCs w:val="20"/>
              </w:rPr>
              <w:lastRenderedPageBreak/>
              <w:t xml:space="preserve">realizacji działań będą zbierane zgodnie z przyjętym harmonogramem w ramach każdego z Priorytetów (KPPiUWS) i opracowanego zestawu wskaźników  rezultatu (Strategia DI).  </w:t>
            </w:r>
          </w:p>
        </w:tc>
      </w:tr>
      <w:tr w:rsidR="00644235" w:rsidRPr="00EE14D2" w14:paraId="3A2B8461" w14:textId="77777777" w:rsidTr="00644235">
        <w:trPr>
          <w:jc w:val="center"/>
        </w:trPr>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641B39"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4.6. Ramy strategiczne polityki na rzecz opieki zdrowotnej i opieki długoterminowej</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7528D5"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p w14:paraId="25AC4607"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EFS+</w:t>
            </w:r>
            <w:r w:rsidRPr="00EE14D2">
              <w:rPr>
                <w:rFonts w:ascii="Times New Roman" w:eastAsia="Times New Roman" w:hAnsi="Times New Roman" w:cs="Times New Roman"/>
                <w:noProof/>
                <w:color w:val="000000"/>
                <w:sz w:val="20"/>
                <w:szCs w:val="20"/>
                <w:lang w:val="en-US"/>
              </w:rPr>
              <w:br/>
              <w:t>EFRR</w:t>
            </w:r>
          </w:p>
          <w:p w14:paraId="5D073B6E"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7FD056"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p w14:paraId="37686A3B"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ESO4.11.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w:t>
            </w:r>
            <w:r w:rsidRPr="00EE14D2">
              <w:rPr>
                <w:rFonts w:ascii="Times New Roman" w:eastAsia="Times New Roman" w:hAnsi="Times New Roman" w:cs="Times New Roman"/>
                <w:noProof/>
                <w:color w:val="000000"/>
                <w:sz w:val="20"/>
                <w:szCs w:val="20"/>
              </w:rPr>
              <w:lastRenderedPageBreak/>
              <w:t>skuteczności i odporności systemów ochrony zdrowia i usług opieki długoterminowej</w:t>
            </w:r>
            <w:r w:rsidRPr="00EE14D2">
              <w:rPr>
                <w:rFonts w:ascii="Times New Roman" w:eastAsia="Times New Roman" w:hAnsi="Times New Roman" w:cs="Times New Roman"/>
                <w:noProof/>
                <w:color w:val="000000"/>
                <w:sz w:val="20"/>
                <w:szCs w:val="20"/>
              </w:rPr>
              <w:br/>
              <w:t>RSO4.5. Zapewnianie równego dostępu do opieki zdrowotnej i wspieranie odporności systemów opieki zdrowotnej, w tym podstawowej opieki zdrowotnej, oraz wspieranie przechodzenia od opieki instytucjonalnej do opieki rodzinnej i środowiskowej</w:t>
            </w:r>
          </w:p>
          <w:p w14:paraId="3BC01DFE"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4B7AD4"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lastRenderedPageBreak/>
              <w:t>Nie</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B403E2"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Istnienie krajowych lub regionalnych ram strategicznych polityki na rzecz zdrowia, które obejmują:</w:t>
            </w:r>
          </w:p>
          <w:p w14:paraId="0B05F263"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1. mapowanie potrzeb w zakresie opieki zdrowotnej i opieki długoterminowej, w tym pod względem personelu medycznego i pielęgniarskiego, w celu zapewnienia zrównoważonych i skoordynowanych środków; </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30680C"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0E0F9C"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Spełnienie warunku zapewni przyjęcie (odpowiednio dla każdego z kryteriów):</w:t>
            </w:r>
          </w:p>
          <w:p w14:paraId="0479A1C0"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mapy potrzeb zdrowotnych (MPZ) w nowej formule, zgodna z nowelizacją ustawy o świadczeniach opieki zdrowotnej, wraz z krajowym planem transformacji (KPT) i wojewódzkimi planami transformacji (WPT) oraz Strategii Rozwoju Usług Społecznych (SRUS) opracowywana przez Ministerstwo Rodziny i Polityki Społecznej w zakresie deinstytucjonalizacji usług społecznych (wykraczającym poza opiekę zdrowotną).,</w:t>
            </w:r>
          </w:p>
          <w:p w14:paraId="493F0091"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polityki publicznej Zdrowa Przyszłość. Ramy strategiczne rozwoju systemu ochrony zdrowia na lata 2021–2027 z perspektywą do 2030 r. (Zdrowa Przyszłość) oraz SRUS,</w:t>
            </w:r>
          </w:p>
          <w:p w14:paraId="11058EE6"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polityk publicznych Strategia Deinstytucjonalizacji: opieka zdrowotna nad osobami z zaburzeniami psychicznymi, Strategia Deinstytucjonalizacji: opieka zdrowotna nad osobami starszymi, SRUS.</w:t>
            </w:r>
          </w:p>
          <w:p w14:paraId="1D47C754"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Kolejne wymienione wyżej dokumenty dostępne pod adresem:</w:t>
            </w:r>
          </w:p>
          <w:p w14:paraId="65B696B6"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http://dziennikmz.mz.gov.pl/DUM_MZ/2021/69/akt.pdf</w:t>
            </w:r>
          </w:p>
          <w:p w14:paraId="28C0C2F9"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https://basiw.mz.gov.pl/index.html#/visualization?id=3304</w:t>
            </w:r>
          </w:p>
          <w:p w14:paraId="060491CB"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http://dziennikmz.mz.gov.pl/DUM_MZ/2021/80/akt.pdf</w:t>
            </w:r>
          </w:p>
          <w:p w14:paraId="7859C939"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https://edzienniki.duw.pl/legalact/2021/6115/</w:t>
            </w:r>
          </w:p>
          <w:p w14:paraId="27897D8E"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http://edzienniki.bydgoszcz.uw.gov.pl/legalact/2021/6818/</w:t>
            </w:r>
          </w:p>
          <w:p w14:paraId="60A26F26"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http://edziennik.lublin.uw.gov.pl/legalact/2021/6121/</w:t>
            </w:r>
          </w:p>
          <w:p w14:paraId="528EF858"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https://bip.lubuskie.uw.gov.pl/ochrona_zdrowia/wojewodzki-plan-transformacji-wojewodztwa-lubuskiego</w:t>
            </w:r>
          </w:p>
          <w:p w14:paraId="51DA2541"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http://dziennik.lodzkie.eu/WDU_E/2021/6669/akt.pdf</w:t>
            </w:r>
          </w:p>
          <w:p w14:paraId="38D40DEC"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http://edziennik.malopolska.uw.gov.pl/legalact/2021/7877/</w:t>
            </w:r>
          </w:p>
          <w:p w14:paraId="3A26F25F"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https://edziennik.mazowieckie.pl/legalact/2021/12691/</w:t>
            </w:r>
          </w:p>
          <w:p w14:paraId="032D05F9"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https://duwo.opole.uw.gov.pl/WDU_O/2022/44/akt.pdf</w:t>
            </w:r>
          </w:p>
          <w:p w14:paraId="714AE4AA"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https://edziennik.bialystok.uw.gov.pl/legalact/2021/5202/</w:t>
            </w:r>
          </w:p>
          <w:p w14:paraId="61334B57"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http://edziennik.rzeszow.uw.gov.pl/legalact/2021/4777/</w:t>
            </w:r>
          </w:p>
          <w:p w14:paraId="07DE23A6"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http://edziennik.gdansk.uw.gov.pl/legalact/2021/5058/</w:t>
            </w:r>
          </w:p>
          <w:p w14:paraId="700A3F04"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http://dzienniki.slask.eu/legalact/2021/8394/</w:t>
            </w:r>
          </w:p>
          <w:p w14:paraId="542060A2"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http://edziennik.kielce.uw.gov.pl/legalact/2021/4764/</w:t>
            </w:r>
          </w:p>
          <w:p w14:paraId="7927FB25"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http://edzienniki.olsztyn.uw.gov.pl/legalact/2021/5087/</w:t>
            </w:r>
          </w:p>
          <w:p w14:paraId="0DDAA18C"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http://edziennik.poznan.uw.gov.pl/WDU_P/2021/9999/akt.pdf </w:t>
            </w:r>
          </w:p>
          <w:p w14:paraId="177428F1"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http://e-dziennik.szczecin.uw.gov.pl/legalact/2021/5716/</w:t>
            </w:r>
          </w:p>
          <w:p w14:paraId="78875E40" w14:textId="5E53580D" w:rsidR="00644235"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https://www.gov.pl/web/zdrowie/zdrowa-przyszlosc-ramy-strategiczne-rozwoju-systemu-ochrony-zdrowia-na-lata-2021-2027-z-perspektywa-do-2030</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37A566"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Spełnienie kryterium zapewni publikacja MPZ w zmienionej formule, obejmującej analizy oraz wyzwania systemu opieki zdrowotnej.</w:t>
            </w:r>
          </w:p>
          <w:p w14:paraId="7DD12679"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Analizy przedstawione w MPZ stanowią diagnozę systemu, a dzięki prognozom i rekomendowanym kierunkom działań, przyczynią się do zapewnienia równego dostępu do opieki, wspierania odporności oraz poprawy jakości. </w:t>
            </w:r>
          </w:p>
          <w:p w14:paraId="5BBDE9DD"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MPZ zostały przygotowane w taki sposób, aby obejmowały wszystkie potrzeby w zakresie systemu opieki zdrowotnej, zidentyfikowane na podstawie gromadzonych danych, możliwych do oceny na dany moment i zgodnie z aktualnym stanem wiedzy. Obejmują one swoim zakresem cały system, czyli wszystkie poziomy opieki opisane rodzajami świadczeń (od POZ po opiekę paliatywną i hospicyjną), z uwzględnieniem zasobów w systemie. </w:t>
            </w:r>
          </w:p>
          <w:p w14:paraId="1FC1B182"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Dokumentami wdrożeniowymi są plany transformacji na poziomie wojewódzkim i krajowym. </w:t>
            </w:r>
          </w:p>
          <w:p w14:paraId="64C3831E"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 proces mapowania opieki długoterminowej rozumianej szeroko wpisuje się także przygotowana przez MRiPS Strategia Rozwoju Usług Społecznych.</w:t>
            </w:r>
          </w:p>
          <w:p w14:paraId="3B8A0D43"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r>
      <w:tr w:rsidR="00644235" w:rsidRPr="00EE14D2" w14:paraId="60ED0360" w14:textId="77777777" w:rsidTr="00644235">
        <w:trPr>
          <w:jc w:val="center"/>
        </w:trPr>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824A31"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65022E"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118A61"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F6AC1E"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35BE90"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2. środki na rzecz zapewnienia efektywności, trwałości, dostępności i przystępności cenowej usług opieki zdrowotnej i opieki długoterminowej, w tym ze szczególnym uwzględnieniem osób wykluczonych z systemów opieki zdrowotnej i opieki długoterminowej oraz osób, do których najtrudniej jest dotrzeć;</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DC4E9C"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1AB42B"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Spełnienie warunku zapewni przyjęcie (odpowiednio dla każdego z kryteriów):</w:t>
            </w:r>
          </w:p>
          <w:p w14:paraId="657EBEF8"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mapy potrzeb zdrowotnych (MPZ) w nowej formule, zgodna z nowelizacją ustawy o świadczeniach opieki zdrowotnej, wraz z krajowym planem transformacji (KPT) i wojewódzkimi planami transformacji (WPT) oraz Strategii Rozwoju Usług Społecznych (SRUS) opracowywana przez Ministerstwo Rodziny i Polityki Społecznej w zakresie deinstytucjonalizacji usług społecznych (wykraczającym poza opiekę zdrowotną).,</w:t>
            </w:r>
          </w:p>
          <w:p w14:paraId="4A7118C5"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w:t>
            </w:r>
            <w:r w:rsidRPr="00EE14D2">
              <w:rPr>
                <w:rFonts w:ascii="Times New Roman" w:eastAsia="Times New Roman" w:hAnsi="Times New Roman" w:cs="Times New Roman"/>
                <w:noProof/>
                <w:color w:val="000000"/>
                <w:sz w:val="20"/>
                <w:szCs w:val="20"/>
              </w:rPr>
              <w:tab/>
              <w:t>polityki publicznej Zdrowa Przyszłość. Ramy strategiczne rozwoju systemu ochrony zdrowia na lata 2021–2027 z perspektywą do 2030 r. (Zdrowa Przyszłość) oraz SRUS,</w:t>
            </w:r>
          </w:p>
          <w:p w14:paraId="6FD00DE3"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polityk publicznych Strategia Deinstytucjonalizacji: opieka zdrowotna nad osobami z zaburzeniami psychicznymi, Strategia Deinstytucjonalizacji: opieka zdrowotna nad osobami starszymi, SRUS.</w:t>
            </w:r>
          </w:p>
          <w:p w14:paraId="1BB1B2E1"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Kolejne wymienione wyżej dokumenty dostępne pod adresem:</w:t>
            </w:r>
          </w:p>
          <w:p w14:paraId="0B282D7F"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http://dziennikmz.mz.gov.pl/DUM_MZ/2021/69/akt.pdf</w:t>
            </w:r>
          </w:p>
          <w:p w14:paraId="1F6606C1"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https://basiw.mz.gov.pl/index.html#/visualization?id=3304</w:t>
            </w:r>
          </w:p>
          <w:p w14:paraId="281DD4A2"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http://dziennikmz.mz.gov.pl/DUM_MZ/2021/80/akt.pdf</w:t>
            </w:r>
          </w:p>
          <w:p w14:paraId="1B731F60"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https://edzienniki.duw.pl/legalact/2021/6115/</w:t>
            </w:r>
          </w:p>
          <w:p w14:paraId="2A875528"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http://edzienniki.bydgoszcz.uw.gov.pl/legalact/2021/6818/</w:t>
            </w:r>
          </w:p>
          <w:p w14:paraId="24DAAA9D"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http://edziennik.lublin.uw.gov.pl/legalact/2021/6121/</w:t>
            </w:r>
          </w:p>
          <w:p w14:paraId="73CFFCA8"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https://bip.lubuskie.uw.gov.pl/ochrona_zdrowia/wojewodzki-plan-transformacji-wojewodztwa-lubuskiego</w:t>
            </w:r>
          </w:p>
          <w:p w14:paraId="0D1CBF02"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http://dziennik.lodzkie.eu/WDU_E/2021/6669/akt.pdf</w:t>
            </w:r>
          </w:p>
          <w:p w14:paraId="22D85A83"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http://edziennik.malopolska.uw.gov.pl/legalact/2021/7877/</w:t>
            </w:r>
          </w:p>
          <w:p w14:paraId="61152290"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https://edziennik.mazowieckie.pl/legalact/2021/12691/</w:t>
            </w:r>
          </w:p>
          <w:p w14:paraId="02DBD964"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https://duwo.opole.uw.gov.pl/WDU_O/2022/44/akt.pdf</w:t>
            </w:r>
          </w:p>
          <w:p w14:paraId="472F7418"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https://edziennik.bialystok.uw.gov.pl/legalact/2021/5202/</w:t>
            </w:r>
          </w:p>
          <w:p w14:paraId="0285A15B"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http://edziennik.rzeszow.uw.gov.pl/legalact/2021/4777/</w:t>
            </w:r>
          </w:p>
          <w:p w14:paraId="5B8BC200"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http://edziennik.gdansk.uw.gov.pl/legalact/2021/5058/</w:t>
            </w:r>
          </w:p>
          <w:p w14:paraId="1B9E5EB5"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http://dzienniki.slask.eu/legalact/2021/8394/</w:t>
            </w:r>
          </w:p>
          <w:p w14:paraId="25A41508"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http://edziennik.kielce.uw.gov.pl/legalact/2021/4764/</w:t>
            </w:r>
          </w:p>
          <w:p w14:paraId="22C78E21"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http://edzienniki.olsztyn.uw.gov.pl/legalact/2021/5087/</w:t>
            </w:r>
          </w:p>
          <w:p w14:paraId="5CA440A2"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http://edziennik.poznan.uw.gov.pl/WDU_P/2021/9999/akt.pdf </w:t>
            </w:r>
          </w:p>
          <w:p w14:paraId="24506CFB"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http://e-dziennik.szczecin.uw.gov.pl/legalact/2021/5716/</w:t>
            </w:r>
          </w:p>
          <w:p w14:paraId="7F08E2B8" w14:textId="3C71A2C4" w:rsidR="00644235"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https://www.gov.pl/web/zdrowie/zdrowa-przyszlosc-ramy-strategiczne-rozwoju-</w:t>
            </w:r>
            <w:r w:rsidRPr="00EE14D2">
              <w:rPr>
                <w:rFonts w:ascii="Times New Roman" w:eastAsia="Times New Roman" w:hAnsi="Times New Roman" w:cs="Times New Roman"/>
                <w:noProof/>
                <w:color w:val="000000"/>
                <w:sz w:val="20"/>
                <w:szCs w:val="20"/>
              </w:rPr>
              <w:lastRenderedPageBreak/>
              <w:t>systemu-ochrony-zdrowia-na-lata-2021-2027-z-perspektywa-do-2030</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EEA16F"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Spełnieniem kryterium jest przyjęcie w drodze uchwały RM dokumentu Zdrowa Przyszłość.</w:t>
            </w:r>
          </w:p>
          <w:p w14:paraId="67B3EB13"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Jego celem jest zapewnienie obywatelom równego i adekwatnego do potrzeb zdrowotnych dostępu do wysokiej jakości świadczeń zdrowotnych przez przyjazny, nowoczesny i efektywny system ochrony zdrowia. Dokument określa ramy strategiczne działań koniecznych do podjęcia na podstawie diagnozy z MPZ. Stanowi kompleksową odpowiedź na nowe wyzwania stojące przed szeroko definiowaną polityką </w:t>
            </w:r>
            <w:r w:rsidRPr="00EE14D2">
              <w:rPr>
                <w:rFonts w:ascii="Times New Roman" w:eastAsia="Times New Roman" w:hAnsi="Times New Roman" w:cs="Times New Roman"/>
                <w:noProof/>
                <w:color w:val="000000"/>
                <w:sz w:val="20"/>
                <w:szCs w:val="20"/>
              </w:rPr>
              <w:lastRenderedPageBreak/>
              <w:t xml:space="preserve">społeczno-gospodarczą współczesnego państwa, w tym przede wszystkim w obszarze zdrowia. </w:t>
            </w:r>
          </w:p>
          <w:p w14:paraId="7C4E2A3D"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Działania zaplanowane w dokumencie zostały podzielone na obszary, do których dopasowano cele. Dla realizacji celów określono kierunki interwencji oraz wskazano stosowne narzędzia. Przy projektowaniu tego dokumentu strategicznego w centrum został postawiony pacjent, a wszelkie działania są podporządkowane przede wszystkim konieczności zapewnienia równej dostępności do świadczeń zdrowotnych. </w:t>
            </w:r>
          </w:p>
          <w:p w14:paraId="5DB76D67"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r>
      <w:tr w:rsidR="00644235" w:rsidRPr="00EE14D2" w14:paraId="598C0BD2" w14:textId="77777777" w:rsidTr="00644235">
        <w:trPr>
          <w:jc w:val="center"/>
        </w:trPr>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A7567C"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ADC05E"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B9B097"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B84D8D"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83D2A6"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3. środki na rzecz wspierania usług środowiskowych i opartych na rodzinie poprzez deinstytucjonalizację, w tym profilaktyki i podstawowej opieki zdrowotnej, opieki w domu i usług środowiskowych.</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4D52A" w14:textId="77777777" w:rsidR="00644235" w:rsidRPr="00EE14D2" w:rsidRDefault="00644235" w:rsidP="00644235">
            <w:pPr>
              <w:spacing w:before="100" w:after="0" w:line="240" w:lineRule="auto"/>
              <w:jc w:val="center"/>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AEB077"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Spełnienie warunku zapewni przyjęcie (odpowiednio dla każdego z kryteriów):</w:t>
            </w:r>
          </w:p>
          <w:p w14:paraId="6AB47DB9"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mapy potrzeb zdrowotnych (MPZ) w nowej formule, zgodna z nowelizacją ustawy o świadczeniach opieki zdrowotnej, wraz z krajowym planem transformacji (KPT) i wojewódzkimi planami transformacji (WPT) oraz Strategii Rozwoju Usług Społecznych (SRUS) opracowywana przez Ministerstwo Rodziny i Polityki Społecznej w zakresie deinstytucjonalizacji usług społecznych (wykraczającym poza opiekę zdrowotną).,</w:t>
            </w:r>
          </w:p>
          <w:p w14:paraId="294820C3"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polityki publicznej Zdrowa Przyszłość. Ramy strategiczne rozwoju systemu ochrony zdrowia na lata 2021–2027 z perspektywą do 2030 r. (Zdrowa Przyszłość) oraz SRUS,</w:t>
            </w:r>
          </w:p>
          <w:p w14:paraId="4F1DAAA9"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w:t>
            </w:r>
            <w:r w:rsidRPr="00EE14D2">
              <w:rPr>
                <w:rFonts w:ascii="Times New Roman" w:eastAsia="Times New Roman" w:hAnsi="Times New Roman" w:cs="Times New Roman"/>
                <w:noProof/>
                <w:color w:val="000000"/>
                <w:sz w:val="20"/>
                <w:szCs w:val="20"/>
              </w:rPr>
              <w:tab/>
              <w:t>polityk publicznych Strategia Deinstytucjonalizacji: opieka zdrowotna nad osobami z zaburzeniami psychicznymi, Strategia Deinstytucjonalizacji: opieka zdrowotna nad osobami starszymi, SRUS.</w:t>
            </w:r>
          </w:p>
          <w:p w14:paraId="4028FCB9"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Kolejne wymienione wyżej dokumenty dostępne pod adresem:</w:t>
            </w:r>
          </w:p>
          <w:p w14:paraId="7F740B30"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http://dziennikmz.mz.gov.pl/DUM_MZ/2021/69/akt.pdf</w:t>
            </w:r>
          </w:p>
          <w:p w14:paraId="21DE234E"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https://basiw.mz.gov.pl/index.html#/visualization?id=3304</w:t>
            </w:r>
          </w:p>
          <w:p w14:paraId="61FD2C58"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http://dziennikmz.mz.gov.pl/DUM_MZ/2021/80/akt.pdf</w:t>
            </w:r>
          </w:p>
          <w:p w14:paraId="489B10F9"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https://edzienniki.duw.pl/legalact/2021/6115/</w:t>
            </w:r>
          </w:p>
          <w:p w14:paraId="7FE6F499"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http://edzienniki.bydgoszcz.uw.gov.pl/legalact/2021/6818/</w:t>
            </w:r>
          </w:p>
          <w:p w14:paraId="5A42911C"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http://edziennik.lublin.uw.gov.pl/legalact/2021/6121/</w:t>
            </w:r>
          </w:p>
          <w:p w14:paraId="46C5BF01"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https://bip.lubuskie.uw.gov.pl/ochrona_zdrowia/wojewodzki-plan-transformacji-wojewodztwa-lubuskiego</w:t>
            </w:r>
          </w:p>
          <w:p w14:paraId="2B3D6F6B"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http://dziennik.lodzkie.eu/WDU_E/2021/6669/akt.pdf</w:t>
            </w:r>
          </w:p>
          <w:p w14:paraId="6EE81E7B"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http://edziennik.malopolska.uw.gov.pl/legalact/2021/7877/</w:t>
            </w:r>
          </w:p>
          <w:p w14:paraId="59E640E1"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https://edziennik.mazowieckie.pl/legalact/2021/12691/</w:t>
            </w:r>
          </w:p>
          <w:p w14:paraId="7153DCAA"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https://duwo.opole.uw.gov.pl/WDU_O/2022/44/akt.pdf</w:t>
            </w:r>
          </w:p>
          <w:p w14:paraId="3945594C"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https://edziennik.bialystok.uw.gov.pl/legalact/2021/5202/</w:t>
            </w:r>
          </w:p>
          <w:p w14:paraId="347F960C"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http://edziennik.rzeszow.uw.gov.pl/legalact/2021/4777/</w:t>
            </w:r>
          </w:p>
          <w:p w14:paraId="1DAC113E"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http://edziennik.gdansk.uw.gov.pl/legalact/2021/5058/</w:t>
            </w:r>
          </w:p>
          <w:p w14:paraId="6D1E4AEB"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http://dzienniki.slask.eu/legalact/2021/8394/</w:t>
            </w:r>
          </w:p>
          <w:p w14:paraId="3E2CF994"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http://edziennik.kielce.uw.gov.pl/legalact/2021/4764/</w:t>
            </w:r>
          </w:p>
          <w:p w14:paraId="5E6F854B"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http://edzienniki.olsztyn.uw.gov.pl/legalact/2021/5087/</w:t>
            </w:r>
          </w:p>
          <w:p w14:paraId="775988FA"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http://edziennik.poznan.uw.gov.pl/WDU_P/2021/9999/akt.pdf </w:t>
            </w:r>
          </w:p>
          <w:p w14:paraId="40E8CCE4" w14:textId="77777777" w:rsidR="0043704C"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http://e-dziennik.szczecin.uw.gov.pl/legalact/2021/5716/</w:t>
            </w:r>
          </w:p>
          <w:p w14:paraId="2909C931" w14:textId="3E091A39" w:rsidR="00644235" w:rsidRPr="00EE14D2" w:rsidRDefault="0043704C" w:rsidP="0043704C">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https://www.gov.pl/web/zdrowie/zdrowa-przyszlosc-ramy-strategiczne-rozwoju-systemu-ochrony-zdrowia-na-lata-2021-2027-z-perspektywa-do-2030</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78178B"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lastRenderedPageBreak/>
              <w:t>Celem wypełnienia tego kryterium w zakresie opieki zdrowotnej przygotowano dwa dokumenty o charakterze strategicznym:</w:t>
            </w:r>
          </w:p>
          <w:p w14:paraId="552C18EB"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a)</w:t>
            </w:r>
            <w:r w:rsidRPr="00EE14D2">
              <w:rPr>
                <w:rFonts w:ascii="Times New Roman" w:eastAsia="Times New Roman" w:hAnsi="Times New Roman" w:cs="Times New Roman"/>
                <w:noProof/>
                <w:color w:val="000000"/>
                <w:sz w:val="20"/>
                <w:szCs w:val="20"/>
              </w:rPr>
              <w:tab/>
              <w:t>Strategia Deinstytucjonalizacji: opieka zdrowotna nad osobami z zaburzeniami psychicznymi,</w:t>
            </w:r>
          </w:p>
          <w:p w14:paraId="17C4DF18"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b)</w:t>
            </w:r>
            <w:r w:rsidRPr="00EE14D2">
              <w:rPr>
                <w:rFonts w:ascii="Times New Roman" w:eastAsia="Times New Roman" w:hAnsi="Times New Roman" w:cs="Times New Roman"/>
                <w:noProof/>
                <w:color w:val="000000"/>
                <w:sz w:val="20"/>
                <w:szCs w:val="20"/>
              </w:rPr>
              <w:tab/>
              <w:t>Strategia Deinstytucjonalizacji: opieka zdrowotna nad osobami starszymi.</w:t>
            </w:r>
          </w:p>
          <w:p w14:paraId="76AF4886"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Stanowią one załączniki do dokumentu Zdrowa Przyszłość. Dodatkowo MRiPS przygotowało podobny dokument adresujący kwestie związane z polityką społeczną.</w:t>
            </w:r>
          </w:p>
          <w:p w14:paraId="3D7E2E59"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Realizacja założeń dokumentów przyczyni się do:</w:t>
            </w:r>
          </w:p>
          <w:p w14:paraId="2CC4D4F0"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lang w:val="en-US"/>
              </w:rPr>
            </w:pPr>
            <w:r w:rsidRPr="00EE14D2">
              <w:rPr>
                <w:rFonts w:ascii="Times New Roman" w:eastAsia="Times New Roman" w:hAnsi="Times New Roman" w:cs="Times New Roman"/>
                <w:noProof/>
                <w:color w:val="000000"/>
                <w:sz w:val="20"/>
                <w:szCs w:val="20"/>
                <w:lang w:val="en-US"/>
              </w:rPr>
              <w:sym w:font="Times New Roman" w:char="F02D"/>
            </w:r>
            <w:r w:rsidRPr="00EE14D2">
              <w:rPr>
                <w:rFonts w:ascii="Times New Roman" w:eastAsia="Times New Roman" w:hAnsi="Times New Roman" w:cs="Times New Roman"/>
                <w:noProof/>
                <w:color w:val="000000"/>
                <w:sz w:val="20"/>
                <w:szCs w:val="20"/>
                <w:lang w:val="en-US"/>
              </w:rPr>
              <w:sym w:font="Times New Roman" w:char="0009"/>
            </w:r>
            <w:r w:rsidRPr="00EE14D2">
              <w:rPr>
                <w:rFonts w:ascii="Times New Roman" w:eastAsia="Times New Roman" w:hAnsi="Times New Roman" w:cs="Times New Roman"/>
                <w:noProof/>
                <w:color w:val="000000"/>
                <w:sz w:val="20"/>
                <w:szCs w:val="20"/>
                <w:lang w:val="en-US"/>
              </w:rPr>
              <w:sym w:font="Times New Roman" w:char="0070"/>
            </w:r>
            <w:r w:rsidRPr="00EE14D2">
              <w:rPr>
                <w:rFonts w:ascii="Times New Roman" w:eastAsia="Times New Roman" w:hAnsi="Times New Roman" w:cs="Times New Roman"/>
                <w:noProof/>
                <w:color w:val="000000"/>
                <w:sz w:val="20"/>
                <w:szCs w:val="20"/>
                <w:lang w:val="en-US"/>
              </w:rPr>
              <w:sym w:font="Times New Roman" w:char="006F"/>
            </w:r>
            <w:r w:rsidRPr="00EE14D2">
              <w:rPr>
                <w:rFonts w:ascii="Times New Roman" w:eastAsia="Times New Roman" w:hAnsi="Times New Roman" w:cs="Times New Roman"/>
                <w:noProof/>
                <w:color w:val="000000"/>
                <w:sz w:val="20"/>
                <w:szCs w:val="20"/>
                <w:lang w:val="en-US"/>
              </w:rPr>
              <w:sym w:font="Times New Roman" w:char="0070"/>
            </w:r>
            <w:r w:rsidRPr="00EE14D2">
              <w:rPr>
                <w:rFonts w:ascii="Times New Roman" w:eastAsia="Times New Roman" w:hAnsi="Times New Roman" w:cs="Times New Roman"/>
                <w:noProof/>
                <w:color w:val="000000"/>
                <w:sz w:val="20"/>
                <w:szCs w:val="20"/>
                <w:lang w:val="en-US"/>
              </w:rPr>
              <w:sym w:font="Times New Roman" w:char="0072"/>
            </w:r>
            <w:r w:rsidRPr="00EE14D2">
              <w:rPr>
                <w:rFonts w:ascii="Times New Roman" w:eastAsia="Times New Roman" w:hAnsi="Times New Roman" w:cs="Times New Roman"/>
                <w:noProof/>
                <w:color w:val="000000"/>
                <w:sz w:val="20"/>
                <w:szCs w:val="20"/>
                <w:lang w:val="en-US"/>
              </w:rPr>
              <w:sym w:font="Times New Roman" w:char="0061"/>
            </w:r>
            <w:r w:rsidRPr="00EE14D2">
              <w:rPr>
                <w:rFonts w:ascii="Times New Roman" w:eastAsia="Times New Roman" w:hAnsi="Times New Roman" w:cs="Times New Roman"/>
                <w:noProof/>
                <w:color w:val="000000"/>
                <w:sz w:val="20"/>
                <w:szCs w:val="20"/>
                <w:lang w:val="en-US"/>
              </w:rPr>
              <w:sym w:font="Times New Roman" w:char="0077"/>
            </w:r>
            <w:r w:rsidRPr="00EE14D2">
              <w:rPr>
                <w:rFonts w:ascii="Times New Roman" w:eastAsia="Times New Roman" w:hAnsi="Times New Roman" w:cs="Times New Roman"/>
                <w:noProof/>
                <w:color w:val="000000"/>
                <w:sz w:val="20"/>
                <w:szCs w:val="20"/>
                <w:lang w:val="en-US"/>
              </w:rPr>
              <w:sym w:font="Times New Roman" w:char="0079"/>
            </w:r>
            <w:r w:rsidRPr="00EE14D2">
              <w:rPr>
                <w:rFonts w:ascii="Times New Roman" w:eastAsia="Times New Roman" w:hAnsi="Times New Roman" w:cs="Times New Roman"/>
                <w:noProof/>
                <w:color w:val="000000"/>
                <w:sz w:val="20"/>
                <w:szCs w:val="20"/>
                <w:lang w:val="en-US"/>
              </w:rPr>
              <w:sym w:font="Times New Roman" w:char="0020"/>
            </w:r>
            <w:r w:rsidRPr="00EE14D2">
              <w:rPr>
                <w:rFonts w:ascii="Times New Roman" w:eastAsia="Times New Roman" w:hAnsi="Times New Roman" w:cs="Times New Roman"/>
                <w:noProof/>
                <w:color w:val="000000"/>
                <w:sz w:val="20"/>
                <w:szCs w:val="20"/>
                <w:lang w:val="en-US"/>
              </w:rPr>
              <w:sym w:font="Times New Roman" w:char="006A"/>
            </w:r>
            <w:r w:rsidRPr="00EE14D2">
              <w:rPr>
                <w:rFonts w:ascii="Times New Roman" w:eastAsia="Times New Roman" w:hAnsi="Times New Roman" w:cs="Times New Roman"/>
                <w:noProof/>
                <w:color w:val="000000"/>
                <w:sz w:val="20"/>
                <w:szCs w:val="20"/>
                <w:lang w:val="en-US"/>
              </w:rPr>
              <w:sym w:font="Times New Roman" w:char="0061"/>
            </w:r>
            <w:r w:rsidRPr="00EE14D2">
              <w:rPr>
                <w:rFonts w:ascii="Times New Roman" w:eastAsia="Times New Roman" w:hAnsi="Times New Roman" w:cs="Times New Roman"/>
                <w:noProof/>
                <w:color w:val="000000"/>
                <w:sz w:val="20"/>
                <w:szCs w:val="20"/>
                <w:lang w:val="en-US"/>
              </w:rPr>
              <w:sym w:font="Times New Roman" w:char="006B"/>
            </w:r>
            <w:r w:rsidRPr="00EE14D2">
              <w:rPr>
                <w:rFonts w:ascii="Times New Roman" w:eastAsia="Times New Roman" w:hAnsi="Times New Roman" w:cs="Times New Roman"/>
                <w:noProof/>
                <w:color w:val="000000"/>
                <w:sz w:val="20"/>
                <w:szCs w:val="20"/>
                <w:lang w:val="en-US"/>
              </w:rPr>
              <w:sym w:font="Times New Roman" w:char="006F"/>
            </w:r>
            <w:r w:rsidRPr="00EE14D2">
              <w:rPr>
                <w:rFonts w:ascii="Times New Roman" w:eastAsia="Times New Roman" w:hAnsi="Times New Roman" w:cs="Times New Roman"/>
                <w:noProof/>
                <w:color w:val="000000"/>
                <w:sz w:val="20"/>
                <w:szCs w:val="20"/>
                <w:lang w:val="en-US"/>
              </w:rPr>
              <w:sym w:font="Times New Roman" w:char="015B"/>
            </w:r>
            <w:r w:rsidRPr="00EE14D2">
              <w:rPr>
                <w:rFonts w:ascii="Times New Roman" w:eastAsia="Times New Roman" w:hAnsi="Times New Roman" w:cs="Times New Roman"/>
                <w:noProof/>
                <w:color w:val="000000"/>
                <w:sz w:val="20"/>
                <w:szCs w:val="20"/>
                <w:lang w:val="en-US"/>
              </w:rPr>
              <w:sym w:font="Times New Roman" w:char="0063"/>
            </w:r>
            <w:r w:rsidRPr="00EE14D2">
              <w:rPr>
                <w:rFonts w:ascii="Times New Roman" w:eastAsia="Times New Roman" w:hAnsi="Times New Roman" w:cs="Times New Roman"/>
                <w:noProof/>
                <w:color w:val="000000"/>
                <w:sz w:val="20"/>
                <w:szCs w:val="20"/>
                <w:lang w:val="en-US"/>
              </w:rPr>
              <w:sym w:font="Times New Roman" w:char="0069"/>
            </w:r>
            <w:r w:rsidRPr="00EE14D2">
              <w:rPr>
                <w:rFonts w:ascii="Times New Roman" w:eastAsia="Times New Roman" w:hAnsi="Times New Roman" w:cs="Times New Roman"/>
                <w:noProof/>
                <w:color w:val="000000"/>
                <w:sz w:val="20"/>
                <w:szCs w:val="20"/>
                <w:lang w:val="en-US"/>
              </w:rPr>
              <w:sym w:font="Times New Roman" w:char="0020"/>
            </w:r>
            <w:r w:rsidRPr="00EE14D2">
              <w:rPr>
                <w:rFonts w:ascii="Times New Roman" w:eastAsia="Times New Roman" w:hAnsi="Times New Roman" w:cs="Times New Roman"/>
                <w:noProof/>
                <w:color w:val="000000"/>
                <w:sz w:val="20"/>
                <w:szCs w:val="20"/>
                <w:lang w:val="en-US"/>
              </w:rPr>
              <w:sym w:font="Times New Roman" w:char="017C"/>
            </w:r>
            <w:r w:rsidRPr="00EE14D2">
              <w:rPr>
                <w:rFonts w:ascii="Times New Roman" w:eastAsia="Times New Roman" w:hAnsi="Times New Roman" w:cs="Times New Roman"/>
                <w:noProof/>
                <w:color w:val="000000"/>
                <w:sz w:val="20"/>
                <w:szCs w:val="20"/>
                <w:lang w:val="en-US"/>
              </w:rPr>
              <w:sym w:font="Times New Roman" w:char="0079"/>
            </w:r>
            <w:r w:rsidRPr="00EE14D2">
              <w:rPr>
                <w:rFonts w:ascii="Times New Roman" w:eastAsia="Times New Roman" w:hAnsi="Times New Roman" w:cs="Times New Roman"/>
                <w:noProof/>
                <w:color w:val="000000"/>
                <w:sz w:val="20"/>
                <w:szCs w:val="20"/>
                <w:lang w:val="en-US"/>
              </w:rPr>
              <w:sym w:font="Times New Roman" w:char="0063"/>
            </w:r>
            <w:r w:rsidRPr="00EE14D2">
              <w:rPr>
                <w:rFonts w:ascii="Times New Roman" w:eastAsia="Times New Roman" w:hAnsi="Times New Roman" w:cs="Times New Roman"/>
                <w:noProof/>
                <w:color w:val="000000"/>
                <w:sz w:val="20"/>
                <w:szCs w:val="20"/>
                <w:lang w:val="en-US"/>
              </w:rPr>
              <w:sym w:font="Times New Roman" w:char="0069"/>
            </w:r>
            <w:r w:rsidRPr="00EE14D2">
              <w:rPr>
                <w:rFonts w:ascii="Times New Roman" w:eastAsia="Times New Roman" w:hAnsi="Times New Roman" w:cs="Times New Roman"/>
                <w:noProof/>
                <w:color w:val="000000"/>
                <w:sz w:val="20"/>
                <w:szCs w:val="20"/>
                <w:lang w:val="en-US"/>
              </w:rPr>
              <w:sym w:font="Times New Roman" w:char="0061"/>
            </w:r>
            <w:r w:rsidRPr="00EE14D2">
              <w:rPr>
                <w:rFonts w:ascii="Times New Roman" w:eastAsia="Times New Roman" w:hAnsi="Times New Roman" w:cs="Times New Roman"/>
                <w:noProof/>
                <w:color w:val="000000"/>
                <w:sz w:val="20"/>
                <w:szCs w:val="20"/>
                <w:lang w:val="en-US"/>
              </w:rPr>
              <w:sym w:font="Times New Roman" w:char="0020"/>
            </w:r>
            <w:r w:rsidRPr="00EE14D2">
              <w:rPr>
                <w:rFonts w:ascii="Times New Roman" w:eastAsia="Times New Roman" w:hAnsi="Times New Roman" w:cs="Times New Roman"/>
                <w:noProof/>
                <w:color w:val="000000"/>
                <w:sz w:val="20"/>
                <w:szCs w:val="20"/>
                <w:lang w:val="en-US"/>
              </w:rPr>
              <w:sym w:font="Times New Roman" w:char="0069"/>
            </w:r>
            <w:r w:rsidRPr="00EE14D2">
              <w:rPr>
                <w:rFonts w:ascii="Times New Roman" w:eastAsia="Times New Roman" w:hAnsi="Times New Roman" w:cs="Times New Roman"/>
                <w:noProof/>
                <w:color w:val="000000"/>
                <w:sz w:val="20"/>
                <w:szCs w:val="20"/>
                <w:lang w:val="en-US"/>
              </w:rPr>
              <w:sym w:font="Times New Roman" w:char="0020"/>
            </w:r>
            <w:r w:rsidRPr="00EE14D2">
              <w:rPr>
                <w:rFonts w:ascii="Times New Roman" w:eastAsia="Times New Roman" w:hAnsi="Times New Roman" w:cs="Times New Roman"/>
                <w:noProof/>
                <w:color w:val="000000"/>
                <w:sz w:val="20"/>
                <w:szCs w:val="20"/>
                <w:lang w:val="en-US"/>
              </w:rPr>
              <w:sym w:font="Times New Roman" w:char="007A"/>
            </w:r>
            <w:r w:rsidRPr="00EE14D2">
              <w:rPr>
                <w:rFonts w:ascii="Times New Roman" w:eastAsia="Times New Roman" w:hAnsi="Times New Roman" w:cs="Times New Roman"/>
                <w:noProof/>
                <w:color w:val="000000"/>
                <w:sz w:val="20"/>
                <w:szCs w:val="20"/>
                <w:lang w:val="en-US"/>
              </w:rPr>
              <w:sym w:font="Times New Roman" w:char="0064"/>
            </w:r>
            <w:r w:rsidRPr="00EE14D2">
              <w:rPr>
                <w:rFonts w:ascii="Times New Roman" w:eastAsia="Times New Roman" w:hAnsi="Times New Roman" w:cs="Times New Roman"/>
                <w:noProof/>
                <w:color w:val="000000"/>
                <w:sz w:val="20"/>
                <w:szCs w:val="20"/>
                <w:lang w:val="en-US"/>
              </w:rPr>
              <w:sym w:font="Times New Roman" w:char="0072"/>
            </w:r>
            <w:r w:rsidRPr="00EE14D2">
              <w:rPr>
                <w:rFonts w:ascii="Times New Roman" w:eastAsia="Times New Roman" w:hAnsi="Times New Roman" w:cs="Times New Roman"/>
                <w:noProof/>
                <w:color w:val="000000"/>
                <w:sz w:val="20"/>
                <w:szCs w:val="20"/>
                <w:lang w:val="en-US"/>
              </w:rPr>
              <w:sym w:font="Times New Roman" w:char="006F"/>
            </w:r>
            <w:r w:rsidRPr="00EE14D2">
              <w:rPr>
                <w:rFonts w:ascii="Times New Roman" w:eastAsia="Times New Roman" w:hAnsi="Times New Roman" w:cs="Times New Roman"/>
                <w:noProof/>
                <w:color w:val="000000"/>
                <w:sz w:val="20"/>
                <w:szCs w:val="20"/>
                <w:lang w:val="en-US"/>
              </w:rPr>
              <w:sym w:font="Times New Roman" w:char="0077"/>
            </w:r>
            <w:r w:rsidRPr="00EE14D2">
              <w:rPr>
                <w:rFonts w:ascii="Times New Roman" w:eastAsia="Times New Roman" w:hAnsi="Times New Roman" w:cs="Times New Roman"/>
                <w:noProof/>
                <w:color w:val="000000"/>
                <w:sz w:val="20"/>
                <w:szCs w:val="20"/>
                <w:lang w:val="en-US"/>
              </w:rPr>
              <w:sym w:font="Times New Roman" w:char="0069"/>
            </w:r>
            <w:r w:rsidRPr="00EE14D2">
              <w:rPr>
                <w:rFonts w:ascii="Times New Roman" w:eastAsia="Times New Roman" w:hAnsi="Times New Roman" w:cs="Times New Roman"/>
                <w:noProof/>
                <w:color w:val="000000"/>
                <w:sz w:val="20"/>
                <w:szCs w:val="20"/>
                <w:lang w:val="en-US"/>
              </w:rPr>
              <w:sym w:font="Times New Roman" w:char="0061"/>
            </w:r>
            <w:r w:rsidRPr="00EE14D2">
              <w:rPr>
                <w:rFonts w:ascii="Times New Roman" w:eastAsia="Times New Roman" w:hAnsi="Times New Roman" w:cs="Times New Roman"/>
                <w:noProof/>
                <w:color w:val="000000"/>
                <w:sz w:val="20"/>
                <w:szCs w:val="20"/>
                <w:lang w:val="en-US"/>
              </w:rPr>
              <w:sym w:font="Times New Roman" w:char="0020"/>
            </w:r>
            <w:r w:rsidRPr="00EE14D2">
              <w:rPr>
                <w:rFonts w:ascii="Times New Roman" w:eastAsia="Times New Roman" w:hAnsi="Times New Roman" w:cs="Times New Roman"/>
                <w:noProof/>
                <w:color w:val="000000"/>
                <w:sz w:val="20"/>
                <w:szCs w:val="20"/>
                <w:lang w:val="en-US"/>
              </w:rPr>
              <w:sym w:font="Times New Roman" w:char="0073"/>
            </w:r>
            <w:r w:rsidRPr="00EE14D2">
              <w:rPr>
                <w:rFonts w:ascii="Times New Roman" w:eastAsia="Times New Roman" w:hAnsi="Times New Roman" w:cs="Times New Roman"/>
                <w:noProof/>
                <w:color w:val="000000"/>
                <w:sz w:val="20"/>
                <w:szCs w:val="20"/>
                <w:lang w:val="en-US"/>
              </w:rPr>
              <w:sym w:font="Times New Roman" w:char="0065"/>
            </w:r>
            <w:r w:rsidRPr="00EE14D2">
              <w:rPr>
                <w:rFonts w:ascii="Times New Roman" w:eastAsia="Times New Roman" w:hAnsi="Times New Roman" w:cs="Times New Roman"/>
                <w:noProof/>
                <w:color w:val="000000"/>
                <w:sz w:val="20"/>
                <w:szCs w:val="20"/>
                <w:lang w:val="en-US"/>
              </w:rPr>
              <w:sym w:font="Times New Roman" w:char="006E"/>
            </w:r>
            <w:r w:rsidRPr="00EE14D2">
              <w:rPr>
                <w:rFonts w:ascii="Times New Roman" w:eastAsia="Times New Roman" w:hAnsi="Times New Roman" w:cs="Times New Roman"/>
                <w:noProof/>
                <w:color w:val="000000"/>
                <w:sz w:val="20"/>
                <w:szCs w:val="20"/>
                <w:lang w:val="en-US"/>
              </w:rPr>
              <w:sym w:font="Times New Roman" w:char="0069"/>
            </w:r>
            <w:r w:rsidRPr="00EE14D2">
              <w:rPr>
                <w:rFonts w:ascii="Times New Roman" w:eastAsia="Times New Roman" w:hAnsi="Times New Roman" w:cs="Times New Roman"/>
                <w:noProof/>
                <w:color w:val="000000"/>
                <w:sz w:val="20"/>
                <w:szCs w:val="20"/>
                <w:lang w:val="en-US"/>
              </w:rPr>
              <w:sym w:font="Times New Roman" w:char="006F"/>
            </w:r>
            <w:r w:rsidRPr="00EE14D2">
              <w:rPr>
                <w:rFonts w:ascii="Times New Roman" w:eastAsia="Times New Roman" w:hAnsi="Times New Roman" w:cs="Times New Roman"/>
                <w:noProof/>
                <w:color w:val="000000"/>
                <w:sz w:val="20"/>
                <w:szCs w:val="20"/>
                <w:lang w:val="en-US"/>
              </w:rPr>
              <w:sym w:font="Times New Roman" w:char="0072"/>
            </w:r>
            <w:r w:rsidRPr="00EE14D2">
              <w:rPr>
                <w:rFonts w:ascii="Times New Roman" w:eastAsia="Times New Roman" w:hAnsi="Times New Roman" w:cs="Times New Roman"/>
                <w:noProof/>
                <w:color w:val="000000"/>
                <w:sz w:val="20"/>
                <w:szCs w:val="20"/>
                <w:lang w:val="en-US"/>
              </w:rPr>
              <w:sym w:font="Times New Roman" w:char="00F3"/>
            </w:r>
            <w:r w:rsidRPr="00EE14D2">
              <w:rPr>
                <w:rFonts w:ascii="Times New Roman" w:eastAsia="Times New Roman" w:hAnsi="Times New Roman" w:cs="Times New Roman"/>
                <w:noProof/>
                <w:color w:val="000000"/>
                <w:sz w:val="20"/>
                <w:szCs w:val="20"/>
                <w:lang w:val="en-US"/>
              </w:rPr>
              <w:sym w:font="Times New Roman" w:char="0077"/>
            </w:r>
            <w:r w:rsidRPr="00EE14D2">
              <w:rPr>
                <w:rFonts w:ascii="Times New Roman" w:eastAsia="Times New Roman" w:hAnsi="Times New Roman" w:cs="Times New Roman"/>
                <w:noProof/>
                <w:color w:val="000000"/>
                <w:sz w:val="20"/>
                <w:szCs w:val="20"/>
                <w:lang w:val="en-US"/>
              </w:rPr>
              <w:sym w:font="Times New Roman" w:char="0020"/>
            </w:r>
            <w:r w:rsidRPr="00EE14D2">
              <w:rPr>
                <w:rFonts w:ascii="Times New Roman" w:eastAsia="Times New Roman" w:hAnsi="Times New Roman" w:cs="Times New Roman"/>
                <w:noProof/>
                <w:color w:val="000000"/>
                <w:sz w:val="20"/>
                <w:szCs w:val="20"/>
                <w:lang w:val="en-US"/>
              </w:rPr>
              <w:sym w:font="Times New Roman" w:char="006F"/>
            </w:r>
            <w:r w:rsidRPr="00EE14D2">
              <w:rPr>
                <w:rFonts w:ascii="Times New Roman" w:eastAsia="Times New Roman" w:hAnsi="Times New Roman" w:cs="Times New Roman"/>
                <w:noProof/>
                <w:color w:val="000000"/>
                <w:sz w:val="20"/>
                <w:szCs w:val="20"/>
                <w:lang w:val="en-US"/>
              </w:rPr>
              <w:sym w:font="Times New Roman" w:char="0072"/>
            </w:r>
            <w:r w:rsidRPr="00EE14D2">
              <w:rPr>
                <w:rFonts w:ascii="Times New Roman" w:eastAsia="Times New Roman" w:hAnsi="Times New Roman" w:cs="Times New Roman"/>
                <w:noProof/>
                <w:color w:val="000000"/>
                <w:sz w:val="20"/>
                <w:szCs w:val="20"/>
                <w:lang w:val="en-US"/>
              </w:rPr>
              <w:sym w:font="Times New Roman" w:char="0061"/>
            </w:r>
            <w:r w:rsidRPr="00EE14D2">
              <w:rPr>
                <w:rFonts w:ascii="Times New Roman" w:eastAsia="Times New Roman" w:hAnsi="Times New Roman" w:cs="Times New Roman"/>
                <w:noProof/>
                <w:color w:val="000000"/>
                <w:sz w:val="20"/>
                <w:szCs w:val="20"/>
                <w:lang w:val="en-US"/>
              </w:rPr>
              <w:sym w:font="Times New Roman" w:char="007A"/>
            </w:r>
            <w:r w:rsidRPr="00EE14D2">
              <w:rPr>
                <w:rFonts w:ascii="Times New Roman" w:eastAsia="Times New Roman" w:hAnsi="Times New Roman" w:cs="Times New Roman"/>
                <w:noProof/>
                <w:color w:val="000000"/>
                <w:sz w:val="20"/>
                <w:szCs w:val="20"/>
                <w:lang w:val="en-US"/>
              </w:rPr>
              <w:sym w:font="Times New Roman" w:char="0020"/>
            </w:r>
            <w:r w:rsidRPr="00EE14D2">
              <w:rPr>
                <w:rFonts w:ascii="Times New Roman" w:eastAsia="Times New Roman" w:hAnsi="Times New Roman" w:cs="Times New Roman"/>
                <w:noProof/>
                <w:color w:val="000000"/>
                <w:sz w:val="20"/>
                <w:szCs w:val="20"/>
                <w:lang w:val="en-US"/>
              </w:rPr>
              <w:sym w:font="Times New Roman" w:char="0069"/>
            </w:r>
            <w:r w:rsidRPr="00EE14D2">
              <w:rPr>
                <w:rFonts w:ascii="Times New Roman" w:eastAsia="Times New Roman" w:hAnsi="Times New Roman" w:cs="Times New Roman"/>
                <w:noProof/>
                <w:color w:val="000000"/>
                <w:sz w:val="20"/>
                <w:szCs w:val="20"/>
                <w:lang w:val="en-US"/>
              </w:rPr>
              <w:sym w:font="Times New Roman" w:char="0063"/>
            </w:r>
            <w:r w:rsidRPr="00EE14D2">
              <w:rPr>
                <w:rFonts w:ascii="Times New Roman" w:eastAsia="Times New Roman" w:hAnsi="Times New Roman" w:cs="Times New Roman"/>
                <w:noProof/>
                <w:color w:val="000000"/>
                <w:sz w:val="20"/>
                <w:szCs w:val="20"/>
                <w:lang w:val="en-US"/>
              </w:rPr>
              <w:sym w:font="Times New Roman" w:char="0068"/>
            </w:r>
            <w:r w:rsidRPr="00EE14D2">
              <w:rPr>
                <w:rFonts w:ascii="Times New Roman" w:eastAsia="Times New Roman" w:hAnsi="Times New Roman" w:cs="Times New Roman"/>
                <w:noProof/>
                <w:color w:val="000000"/>
                <w:sz w:val="20"/>
                <w:szCs w:val="20"/>
                <w:lang w:val="en-US"/>
              </w:rPr>
              <w:sym w:font="Times New Roman" w:char="0020"/>
            </w:r>
            <w:r w:rsidRPr="00EE14D2">
              <w:rPr>
                <w:rFonts w:ascii="Times New Roman" w:eastAsia="Times New Roman" w:hAnsi="Times New Roman" w:cs="Times New Roman"/>
                <w:noProof/>
                <w:color w:val="000000"/>
                <w:sz w:val="20"/>
                <w:szCs w:val="20"/>
                <w:lang w:val="en-US"/>
              </w:rPr>
              <w:sym w:font="Times New Roman" w:char="006F"/>
            </w:r>
            <w:r w:rsidRPr="00EE14D2">
              <w:rPr>
                <w:rFonts w:ascii="Times New Roman" w:eastAsia="Times New Roman" w:hAnsi="Times New Roman" w:cs="Times New Roman"/>
                <w:noProof/>
                <w:color w:val="000000"/>
                <w:sz w:val="20"/>
                <w:szCs w:val="20"/>
                <w:lang w:val="en-US"/>
              </w:rPr>
              <w:sym w:font="Times New Roman" w:char="0070"/>
            </w:r>
            <w:r w:rsidRPr="00EE14D2">
              <w:rPr>
                <w:rFonts w:ascii="Times New Roman" w:eastAsia="Times New Roman" w:hAnsi="Times New Roman" w:cs="Times New Roman"/>
                <w:noProof/>
                <w:color w:val="000000"/>
                <w:sz w:val="20"/>
                <w:szCs w:val="20"/>
                <w:lang w:val="en-US"/>
              </w:rPr>
              <w:sym w:font="Times New Roman" w:char="0069"/>
            </w:r>
            <w:r w:rsidRPr="00EE14D2">
              <w:rPr>
                <w:rFonts w:ascii="Times New Roman" w:eastAsia="Times New Roman" w:hAnsi="Times New Roman" w:cs="Times New Roman"/>
                <w:noProof/>
                <w:color w:val="000000"/>
                <w:sz w:val="20"/>
                <w:szCs w:val="20"/>
                <w:lang w:val="en-US"/>
              </w:rPr>
              <w:sym w:font="Times New Roman" w:char="0065"/>
            </w:r>
            <w:r w:rsidRPr="00EE14D2">
              <w:rPr>
                <w:rFonts w:ascii="Times New Roman" w:eastAsia="Times New Roman" w:hAnsi="Times New Roman" w:cs="Times New Roman"/>
                <w:noProof/>
                <w:color w:val="000000"/>
                <w:sz w:val="20"/>
                <w:szCs w:val="20"/>
                <w:lang w:val="en-US"/>
              </w:rPr>
              <w:sym w:font="Times New Roman" w:char="006B"/>
            </w:r>
            <w:r w:rsidRPr="00EE14D2">
              <w:rPr>
                <w:rFonts w:ascii="Times New Roman" w:eastAsia="Times New Roman" w:hAnsi="Times New Roman" w:cs="Times New Roman"/>
                <w:noProof/>
                <w:color w:val="000000"/>
                <w:sz w:val="20"/>
                <w:szCs w:val="20"/>
                <w:lang w:val="en-US"/>
              </w:rPr>
              <w:sym w:font="Times New Roman" w:char="0075"/>
            </w:r>
            <w:r w:rsidRPr="00EE14D2">
              <w:rPr>
                <w:rFonts w:ascii="Times New Roman" w:eastAsia="Times New Roman" w:hAnsi="Times New Roman" w:cs="Times New Roman"/>
                <w:noProof/>
                <w:color w:val="000000"/>
                <w:sz w:val="20"/>
                <w:szCs w:val="20"/>
                <w:lang w:val="en-US"/>
              </w:rPr>
              <w:sym w:font="Times New Roman" w:char="006E"/>
            </w:r>
            <w:r w:rsidRPr="00EE14D2">
              <w:rPr>
                <w:rFonts w:ascii="Times New Roman" w:eastAsia="Times New Roman" w:hAnsi="Times New Roman" w:cs="Times New Roman"/>
                <w:noProof/>
                <w:color w:val="000000"/>
                <w:sz w:val="20"/>
                <w:szCs w:val="20"/>
                <w:lang w:val="en-US"/>
              </w:rPr>
              <w:sym w:font="Times New Roman" w:char="00F3"/>
            </w:r>
            <w:r w:rsidRPr="00EE14D2">
              <w:rPr>
                <w:rFonts w:ascii="Times New Roman" w:eastAsia="Times New Roman" w:hAnsi="Times New Roman" w:cs="Times New Roman"/>
                <w:noProof/>
                <w:color w:val="000000"/>
                <w:sz w:val="20"/>
                <w:szCs w:val="20"/>
                <w:lang w:val="en-US"/>
              </w:rPr>
              <w:sym w:font="Times New Roman" w:char="0077"/>
            </w:r>
            <w:r w:rsidRPr="00EE14D2">
              <w:rPr>
                <w:rFonts w:ascii="Times New Roman" w:eastAsia="Times New Roman" w:hAnsi="Times New Roman" w:cs="Times New Roman"/>
                <w:noProof/>
                <w:color w:val="000000"/>
                <w:sz w:val="20"/>
                <w:szCs w:val="20"/>
                <w:lang w:val="en-US"/>
              </w:rPr>
              <w:sym w:font="Times New Roman" w:char="0020"/>
            </w:r>
            <w:r w:rsidRPr="00EE14D2">
              <w:rPr>
                <w:rFonts w:ascii="Times New Roman" w:eastAsia="Times New Roman" w:hAnsi="Times New Roman" w:cs="Times New Roman"/>
                <w:noProof/>
                <w:color w:val="000000"/>
                <w:sz w:val="20"/>
                <w:szCs w:val="20"/>
                <w:lang w:val="en-US"/>
              </w:rPr>
              <w:sym w:font="Times New Roman" w:char="0028"/>
            </w:r>
            <w:r w:rsidRPr="00EE14D2">
              <w:rPr>
                <w:rFonts w:ascii="Times New Roman" w:eastAsia="Times New Roman" w:hAnsi="Times New Roman" w:cs="Times New Roman"/>
                <w:noProof/>
                <w:color w:val="000000"/>
                <w:sz w:val="20"/>
                <w:szCs w:val="20"/>
                <w:lang w:val="en-US"/>
              </w:rPr>
              <w:sym w:font="Times New Roman" w:char="0072"/>
            </w:r>
            <w:r w:rsidRPr="00EE14D2">
              <w:rPr>
                <w:rFonts w:ascii="Times New Roman" w:eastAsia="Times New Roman" w:hAnsi="Times New Roman" w:cs="Times New Roman"/>
                <w:noProof/>
                <w:color w:val="000000"/>
                <w:sz w:val="20"/>
                <w:szCs w:val="20"/>
                <w:lang w:val="en-US"/>
              </w:rPr>
              <w:sym w:font="Times New Roman" w:char="006F"/>
            </w:r>
            <w:r w:rsidRPr="00EE14D2">
              <w:rPr>
                <w:rFonts w:ascii="Times New Roman" w:eastAsia="Times New Roman" w:hAnsi="Times New Roman" w:cs="Times New Roman"/>
                <w:noProof/>
                <w:color w:val="000000"/>
                <w:sz w:val="20"/>
                <w:szCs w:val="20"/>
                <w:lang w:val="en-US"/>
              </w:rPr>
              <w:sym w:font="Times New Roman" w:char="007A"/>
            </w:r>
            <w:r w:rsidRPr="00EE14D2">
              <w:rPr>
                <w:rFonts w:ascii="Times New Roman" w:eastAsia="Times New Roman" w:hAnsi="Times New Roman" w:cs="Times New Roman"/>
                <w:noProof/>
                <w:color w:val="000000"/>
                <w:sz w:val="20"/>
                <w:szCs w:val="20"/>
                <w:lang w:val="en-US"/>
              </w:rPr>
              <w:sym w:font="Times New Roman" w:char="0077"/>
            </w:r>
            <w:r w:rsidRPr="00EE14D2">
              <w:rPr>
                <w:rFonts w:ascii="Times New Roman" w:eastAsia="Times New Roman" w:hAnsi="Times New Roman" w:cs="Times New Roman"/>
                <w:noProof/>
                <w:color w:val="000000"/>
                <w:sz w:val="20"/>
                <w:szCs w:val="20"/>
                <w:lang w:val="en-US"/>
              </w:rPr>
              <w:sym w:font="Times New Roman" w:char="00F3"/>
            </w:r>
            <w:r w:rsidRPr="00EE14D2">
              <w:rPr>
                <w:rFonts w:ascii="Times New Roman" w:eastAsia="Times New Roman" w:hAnsi="Times New Roman" w:cs="Times New Roman"/>
                <w:noProof/>
                <w:color w:val="000000"/>
                <w:sz w:val="20"/>
                <w:szCs w:val="20"/>
                <w:lang w:val="en-US"/>
              </w:rPr>
              <w:sym w:font="Times New Roman" w:char="006A"/>
            </w:r>
            <w:r w:rsidRPr="00EE14D2">
              <w:rPr>
                <w:rFonts w:ascii="Times New Roman" w:eastAsia="Times New Roman" w:hAnsi="Times New Roman" w:cs="Times New Roman"/>
                <w:noProof/>
                <w:color w:val="000000"/>
                <w:sz w:val="20"/>
                <w:szCs w:val="20"/>
                <w:lang w:val="en-US"/>
              </w:rPr>
              <w:sym w:font="Times New Roman" w:char="0020"/>
            </w:r>
            <w:r w:rsidRPr="00EE14D2">
              <w:rPr>
                <w:rFonts w:ascii="Times New Roman" w:eastAsia="Times New Roman" w:hAnsi="Times New Roman" w:cs="Times New Roman"/>
                <w:noProof/>
                <w:color w:val="000000"/>
                <w:sz w:val="20"/>
                <w:szCs w:val="20"/>
                <w:lang w:val="en-US"/>
              </w:rPr>
              <w:sym w:font="Times New Roman" w:char="007A"/>
            </w:r>
            <w:r w:rsidRPr="00EE14D2">
              <w:rPr>
                <w:rFonts w:ascii="Times New Roman" w:eastAsia="Times New Roman" w:hAnsi="Times New Roman" w:cs="Times New Roman"/>
                <w:noProof/>
                <w:color w:val="000000"/>
                <w:sz w:val="20"/>
                <w:szCs w:val="20"/>
                <w:lang w:val="en-US"/>
              </w:rPr>
              <w:sym w:font="Times New Roman" w:char="0061"/>
            </w:r>
            <w:r w:rsidRPr="00EE14D2">
              <w:rPr>
                <w:rFonts w:ascii="Times New Roman" w:eastAsia="Times New Roman" w:hAnsi="Times New Roman" w:cs="Times New Roman"/>
                <w:noProof/>
                <w:color w:val="000000"/>
                <w:sz w:val="20"/>
                <w:szCs w:val="20"/>
                <w:lang w:val="en-US"/>
              </w:rPr>
              <w:sym w:font="Times New Roman" w:char="0073"/>
            </w:r>
            <w:r w:rsidRPr="00EE14D2">
              <w:rPr>
                <w:rFonts w:ascii="Times New Roman" w:eastAsia="Times New Roman" w:hAnsi="Times New Roman" w:cs="Times New Roman"/>
                <w:noProof/>
                <w:color w:val="000000"/>
                <w:sz w:val="20"/>
                <w:szCs w:val="20"/>
                <w:lang w:val="en-US"/>
              </w:rPr>
              <w:sym w:font="Times New Roman" w:char="006F"/>
            </w:r>
            <w:r w:rsidRPr="00EE14D2">
              <w:rPr>
                <w:rFonts w:ascii="Times New Roman" w:eastAsia="Times New Roman" w:hAnsi="Times New Roman" w:cs="Times New Roman"/>
                <w:noProof/>
                <w:color w:val="000000"/>
                <w:sz w:val="20"/>
                <w:szCs w:val="20"/>
                <w:lang w:val="en-US"/>
              </w:rPr>
              <w:sym w:font="Times New Roman" w:char="0062"/>
            </w:r>
            <w:r w:rsidRPr="00EE14D2">
              <w:rPr>
                <w:rFonts w:ascii="Times New Roman" w:eastAsia="Times New Roman" w:hAnsi="Times New Roman" w:cs="Times New Roman"/>
                <w:noProof/>
                <w:color w:val="000000"/>
                <w:sz w:val="20"/>
                <w:szCs w:val="20"/>
                <w:lang w:val="en-US"/>
              </w:rPr>
              <w:sym w:font="Times New Roman" w:char="00F3"/>
            </w:r>
            <w:r w:rsidRPr="00EE14D2">
              <w:rPr>
                <w:rFonts w:ascii="Times New Roman" w:eastAsia="Times New Roman" w:hAnsi="Times New Roman" w:cs="Times New Roman"/>
                <w:noProof/>
                <w:color w:val="000000"/>
                <w:sz w:val="20"/>
                <w:szCs w:val="20"/>
                <w:lang w:val="en-US"/>
              </w:rPr>
              <w:sym w:font="Times New Roman" w:char="0077"/>
            </w:r>
            <w:r w:rsidRPr="00EE14D2">
              <w:rPr>
                <w:rFonts w:ascii="Times New Roman" w:eastAsia="Times New Roman" w:hAnsi="Times New Roman" w:cs="Times New Roman"/>
                <w:noProof/>
                <w:color w:val="000000"/>
                <w:sz w:val="20"/>
                <w:szCs w:val="20"/>
                <w:lang w:val="en-US"/>
              </w:rPr>
              <w:sym w:font="Times New Roman" w:char="0020"/>
            </w:r>
            <w:r w:rsidRPr="00EE14D2">
              <w:rPr>
                <w:rFonts w:ascii="Times New Roman" w:eastAsia="Times New Roman" w:hAnsi="Times New Roman" w:cs="Times New Roman"/>
                <w:noProof/>
                <w:color w:val="000000"/>
                <w:sz w:val="20"/>
                <w:szCs w:val="20"/>
                <w:lang w:val="en-US"/>
              </w:rPr>
              <w:sym w:font="Times New Roman" w:char="006B"/>
            </w:r>
            <w:r w:rsidRPr="00EE14D2">
              <w:rPr>
                <w:rFonts w:ascii="Times New Roman" w:eastAsia="Times New Roman" w:hAnsi="Times New Roman" w:cs="Times New Roman"/>
                <w:noProof/>
                <w:color w:val="000000"/>
                <w:sz w:val="20"/>
                <w:szCs w:val="20"/>
                <w:lang w:val="en-US"/>
              </w:rPr>
              <w:sym w:font="Times New Roman" w:char="0061"/>
            </w:r>
            <w:r w:rsidRPr="00EE14D2">
              <w:rPr>
                <w:rFonts w:ascii="Times New Roman" w:eastAsia="Times New Roman" w:hAnsi="Times New Roman" w:cs="Times New Roman"/>
                <w:noProof/>
                <w:color w:val="000000"/>
                <w:sz w:val="20"/>
                <w:szCs w:val="20"/>
                <w:lang w:val="en-US"/>
              </w:rPr>
              <w:sym w:font="Times New Roman" w:char="0064"/>
            </w:r>
            <w:r w:rsidRPr="00EE14D2">
              <w:rPr>
                <w:rFonts w:ascii="Times New Roman" w:eastAsia="Times New Roman" w:hAnsi="Times New Roman" w:cs="Times New Roman"/>
                <w:noProof/>
                <w:color w:val="000000"/>
                <w:sz w:val="20"/>
                <w:szCs w:val="20"/>
                <w:lang w:val="en-US"/>
              </w:rPr>
              <w:sym w:font="Times New Roman" w:char="0072"/>
            </w:r>
            <w:r w:rsidRPr="00EE14D2">
              <w:rPr>
                <w:rFonts w:ascii="Times New Roman" w:eastAsia="Times New Roman" w:hAnsi="Times New Roman" w:cs="Times New Roman"/>
                <w:noProof/>
                <w:color w:val="000000"/>
                <w:sz w:val="20"/>
                <w:szCs w:val="20"/>
                <w:lang w:val="en-US"/>
              </w:rPr>
              <w:sym w:font="Times New Roman" w:char="006F"/>
            </w:r>
            <w:r w:rsidRPr="00EE14D2">
              <w:rPr>
                <w:rFonts w:ascii="Times New Roman" w:eastAsia="Times New Roman" w:hAnsi="Times New Roman" w:cs="Times New Roman"/>
                <w:noProof/>
                <w:color w:val="000000"/>
                <w:sz w:val="20"/>
                <w:szCs w:val="20"/>
                <w:lang w:val="en-US"/>
              </w:rPr>
              <w:sym w:font="Times New Roman" w:char="0077"/>
            </w:r>
            <w:r w:rsidRPr="00EE14D2">
              <w:rPr>
                <w:rFonts w:ascii="Times New Roman" w:eastAsia="Times New Roman" w:hAnsi="Times New Roman" w:cs="Times New Roman"/>
                <w:noProof/>
                <w:color w:val="000000"/>
                <w:sz w:val="20"/>
                <w:szCs w:val="20"/>
                <w:lang w:val="en-US"/>
              </w:rPr>
              <w:sym w:font="Times New Roman" w:char="0079"/>
            </w:r>
            <w:r w:rsidRPr="00EE14D2">
              <w:rPr>
                <w:rFonts w:ascii="Times New Roman" w:eastAsia="Times New Roman" w:hAnsi="Times New Roman" w:cs="Times New Roman"/>
                <w:noProof/>
                <w:color w:val="000000"/>
                <w:sz w:val="20"/>
                <w:szCs w:val="20"/>
                <w:lang w:val="en-US"/>
              </w:rPr>
              <w:sym w:font="Times New Roman" w:char="0063"/>
            </w:r>
            <w:r w:rsidRPr="00EE14D2">
              <w:rPr>
                <w:rFonts w:ascii="Times New Roman" w:eastAsia="Times New Roman" w:hAnsi="Times New Roman" w:cs="Times New Roman"/>
                <w:noProof/>
                <w:color w:val="000000"/>
                <w:sz w:val="20"/>
                <w:szCs w:val="20"/>
                <w:lang w:val="en-US"/>
              </w:rPr>
              <w:sym w:font="Times New Roman" w:char="0068"/>
            </w:r>
            <w:r w:rsidRPr="00EE14D2">
              <w:rPr>
                <w:rFonts w:ascii="Times New Roman" w:eastAsia="Times New Roman" w:hAnsi="Times New Roman" w:cs="Times New Roman"/>
                <w:noProof/>
                <w:color w:val="000000"/>
                <w:sz w:val="20"/>
                <w:szCs w:val="20"/>
                <w:lang w:val="en-US"/>
              </w:rPr>
              <w:sym w:font="Times New Roman" w:char="002C"/>
            </w:r>
            <w:r w:rsidRPr="00EE14D2">
              <w:rPr>
                <w:rFonts w:ascii="Times New Roman" w:eastAsia="Times New Roman" w:hAnsi="Times New Roman" w:cs="Times New Roman"/>
                <w:noProof/>
                <w:color w:val="000000"/>
                <w:sz w:val="20"/>
                <w:szCs w:val="20"/>
                <w:lang w:val="en-US"/>
              </w:rPr>
              <w:sym w:font="Times New Roman" w:char="0020"/>
            </w:r>
            <w:r w:rsidRPr="00EE14D2">
              <w:rPr>
                <w:rFonts w:ascii="Times New Roman" w:eastAsia="Times New Roman" w:hAnsi="Times New Roman" w:cs="Times New Roman"/>
                <w:noProof/>
                <w:color w:val="000000"/>
                <w:sz w:val="20"/>
                <w:szCs w:val="20"/>
                <w:lang w:val="en-US"/>
              </w:rPr>
              <w:sym w:font="Times New Roman" w:char="0066"/>
            </w:r>
            <w:r w:rsidRPr="00EE14D2">
              <w:rPr>
                <w:rFonts w:ascii="Times New Roman" w:eastAsia="Times New Roman" w:hAnsi="Times New Roman" w:cs="Times New Roman"/>
                <w:noProof/>
                <w:color w:val="000000"/>
                <w:sz w:val="20"/>
                <w:szCs w:val="20"/>
                <w:lang w:val="en-US"/>
              </w:rPr>
              <w:sym w:font="Times New Roman" w:char="006F"/>
            </w:r>
            <w:r w:rsidRPr="00EE14D2">
              <w:rPr>
                <w:rFonts w:ascii="Times New Roman" w:eastAsia="Times New Roman" w:hAnsi="Times New Roman" w:cs="Times New Roman"/>
                <w:noProof/>
                <w:color w:val="000000"/>
                <w:sz w:val="20"/>
                <w:szCs w:val="20"/>
                <w:lang w:val="en-US"/>
              </w:rPr>
              <w:sym w:font="Times New Roman" w:char="0072"/>
            </w:r>
            <w:r w:rsidRPr="00EE14D2">
              <w:rPr>
                <w:rFonts w:ascii="Times New Roman" w:eastAsia="Times New Roman" w:hAnsi="Times New Roman" w:cs="Times New Roman"/>
                <w:noProof/>
                <w:color w:val="000000"/>
                <w:sz w:val="20"/>
                <w:szCs w:val="20"/>
                <w:lang w:val="en-US"/>
              </w:rPr>
              <w:sym w:font="Times New Roman" w:char="006D"/>
            </w:r>
            <w:r w:rsidRPr="00EE14D2">
              <w:rPr>
                <w:rFonts w:ascii="Times New Roman" w:eastAsia="Times New Roman" w:hAnsi="Times New Roman" w:cs="Times New Roman"/>
                <w:noProof/>
                <w:color w:val="000000"/>
                <w:sz w:val="20"/>
                <w:szCs w:val="20"/>
                <w:lang w:val="en-US"/>
              </w:rPr>
              <w:sym w:font="Times New Roman" w:char="0020"/>
            </w:r>
            <w:r w:rsidRPr="00EE14D2">
              <w:rPr>
                <w:rFonts w:ascii="Times New Roman" w:eastAsia="Times New Roman" w:hAnsi="Times New Roman" w:cs="Times New Roman"/>
                <w:noProof/>
                <w:color w:val="000000"/>
                <w:sz w:val="20"/>
                <w:szCs w:val="20"/>
                <w:lang w:val="en-US"/>
              </w:rPr>
              <w:sym w:font="Times New Roman" w:char="006F"/>
            </w:r>
            <w:r w:rsidRPr="00EE14D2">
              <w:rPr>
                <w:rFonts w:ascii="Times New Roman" w:eastAsia="Times New Roman" w:hAnsi="Times New Roman" w:cs="Times New Roman"/>
                <w:noProof/>
                <w:color w:val="000000"/>
                <w:sz w:val="20"/>
                <w:szCs w:val="20"/>
                <w:lang w:val="en-US"/>
              </w:rPr>
              <w:sym w:font="Times New Roman" w:char="0070"/>
            </w:r>
            <w:r w:rsidRPr="00EE14D2">
              <w:rPr>
                <w:rFonts w:ascii="Times New Roman" w:eastAsia="Times New Roman" w:hAnsi="Times New Roman" w:cs="Times New Roman"/>
                <w:noProof/>
                <w:color w:val="000000"/>
                <w:sz w:val="20"/>
                <w:szCs w:val="20"/>
                <w:lang w:val="en-US"/>
              </w:rPr>
              <w:sym w:font="Times New Roman" w:char="0069"/>
            </w:r>
            <w:r w:rsidRPr="00EE14D2">
              <w:rPr>
                <w:rFonts w:ascii="Times New Roman" w:eastAsia="Times New Roman" w:hAnsi="Times New Roman" w:cs="Times New Roman"/>
                <w:noProof/>
                <w:color w:val="000000"/>
                <w:sz w:val="20"/>
                <w:szCs w:val="20"/>
                <w:lang w:val="en-US"/>
              </w:rPr>
              <w:sym w:font="Times New Roman" w:char="0065"/>
            </w:r>
            <w:r w:rsidRPr="00EE14D2">
              <w:rPr>
                <w:rFonts w:ascii="Times New Roman" w:eastAsia="Times New Roman" w:hAnsi="Times New Roman" w:cs="Times New Roman"/>
                <w:noProof/>
                <w:color w:val="000000"/>
                <w:sz w:val="20"/>
                <w:szCs w:val="20"/>
                <w:lang w:val="en-US"/>
              </w:rPr>
              <w:sym w:font="Times New Roman" w:char="006B"/>
            </w:r>
            <w:r w:rsidRPr="00EE14D2">
              <w:rPr>
                <w:rFonts w:ascii="Times New Roman" w:eastAsia="Times New Roman" w:hAnsi="Times New Roman" w:cs="Times New Roman"/>
                <w:noProof/>
                <w:color w:val="000000"/>
                <w:sz w:val="20"/>
                <w:szCs w:val="20"/>
                <w:lang w:val="en-US"/>
              </w:rPr>
              <w:sym w:font="Times New Roman" w:char="0069"/>
            </w:r>
            <w:r w:rsidRPr="00EE14D2">
              <w:rPr>
                <w:rFonts w:ascii="Times New Roman" w:eastAsia="Times New Roman" w:hAnsi="Times New Roman" w:cs="Times New Roman"/>
                <w:noProof/>
                <w:color w:val="000000"/>
                <w:sz w:val="20"/>
                <w:szCs w:val="20"/>
                <w:lang w:val="en-US"/>
              </w:rPr>
              <w:sym w:font="Times New Roman" w:char="0020"/>
            </w:r>
            <w:r w:rsidRPr="00EE14D2">
              <w:rPr>
                <w:rFonts w:ascii="Times New Roman" w:eastAsia="Times New Roman" w:hAnsi="Times New Roman" w:cs="Times New Roman"/>
                <w:noProof/>
                <w:color w:val="000000"/>
                <w:sz w:val="20"/>
                <w:szCs w:val="20"/>
                <w:lang w:val="en-US"/>
              </w:rPr>
              <w:sym w:font="Times New Roman" w:char="0064"/>
            </w:r>
            <w:r w:rsidRPr="00EE14D2">
              <w:rPr>
                <w:rFonts w:ascii="Times New Roman" w:eastAsia="Times New Roman" w:hAnsi="Times New Roman" w:cs="Times New Roman"/>
                <w:noProof/>
                <w:color w:val="000000"/>
                <w:sz w:val="20"/>
                <w:szCs w:val="20"/>
                <w:lang w:val="en-US"/>
              </w:rPr>
              <w:sym w:font="Times New Roman" w:char="007A"/>
            </w:r>
            <w:r w:rsidRPr="00EE14D2">
              <w:rPr>
                <w:rFonts w:ascii="Times New Roman" w:eastAsia="Times New Roman" w:hAnsi="Times New Roman" w:cs="Times New Roman"/>
                <w:noProof/>
                <w:color w:val="000000"/>
                <w:sz w:val="20"/>
                <w:szCs w:val="20"/>
                <w:lang w:val="en-US"/>
              </w:rPr>
              <w:sym w:font="Times New Roman" w:char="0069"/>
            </w:r>
            <w:r w:rsidRPr="00EE14D2">
              <w:rPr>
                <w:rFonts w:ascii="Times New Roman" w:eastAsia="Times New Roman" w:hAnsi="Times New Roman" w:cs="Times New Roman"/>
                <w:noProof/>
                <w:color w:val="000000"/>
                <w:sz w:val="20"/>
                <w:szCs w:val="20"/>
                <w:lang w:val="en-US"/>
              </w:rPr>
              <w:sym w:font="Times New Roman" w:char="0065"/>
            </w:r>
            <w:r w:rsidRPr="00EE14D2">
              <w:rPr>
                <w:rFonts w:ascii="Times New Roman" w:eastAsia="Times New Roman" w:hAnsi="Times New Roman" w:cs="Times New Roman"/>
                <w:noProof/>
                <w:color w:val="000000"/>
                <w:sz w:val="20"/>
                <w:szCs w:val="20"/>
                <w:lang w:val="en-US"/>
              </w:rPr>
              <w:sym w:font="Times New Roman" w:char="006E"/>
            </w:r>
            <w:r w:rsidRPr="00EE14D2">
              <w:rPr>
                <w:rFonts w:ascii="Times New Roman" w:eastAsia="Times New Roman" w:hAnsi="Times New Roman" w:cs="Times New Roman"/>
                <w:noProof/>
                <w:color w:val="000000"/>
                <w:sz w:val="20"/>
                <w:szCs w:val="20"/>
                <w:lang w:val="en-US"/>
              </w:rPr>
              <w:sym w:font="Times New Roman" w:char="006E"/>
            </w:r>
            <w:r w:rsidRPr="00EE14D2">
              <w:rPr>
                <w:rFonts w:ascii="Times New Roman" w:eastAsia="Times New Roman" w:hAnsi="Times New Roman" w:cs="Times New Roman"/>
                <w:noProof/>
                <w:color w:val="000000"/>
                <w:sz w:val="20"/>
                <w:szCs w:val="20"/>
                <w:lang w:val="en-US"/>
              </w:rPr>
              <w:sym w:font="Times New Roman" w:char="0065"/>
            </w:r>
            <w:r w:rsidRPr="00EE14D2">
              <w:rPr>
                <w:rFonts w:ascii="Times New Roman" w:eastAsia="Times New Roman" w:hAnsi="Times New Roman" w:cs="Times New Roman"/>
                <w:noProof/>
                <w:color w:val="000000"/>
                <w:sz w:val="20"/>
                <w:szCs w:val="20"/>
                <w:lang w:val="en-US"/>
              </w:rPr>
              <w:sym w:font="Times New Roman" w:char="006A"/>
            </w:r>
            <w:r w:rsidRPr="00EE14D2">
              <w:rPr>
                <w:rFonts w:ascii="Times New Roman" w:eastAsia="Times New Roman" w:hAnsi="Times New Roman" w:cs="Times New Roman"/>
                <w:noProof/>
                <w:color w:val="000000"/>
                <w:sz w:val="20"/>
                <w:szCs w:val="20"/>
                <w:lang w:val="en-US"/>
              </w:rPr>
              <w:sym w:font="Times New Roman" w:char="002C"/>
            </w:r>
            <w:r w:rsidRPr="00EE14D2">
              <w:rPr>
                <w:rFonts w:ascii="Times New Roman" w:eastAsia="Times New Roman" w:hAnsi="Times New Roman" w:cs="Times New Roman"/>
                <w:noProof/>
                <w:color w:val="000000"/>
                <w:sz w:val="20"/>
                <w:szCs w:val="20"/>
                <w:lang w:val="en-US"/>
              </w:rPr>
              <w:sym w:font="Times New Roman" w:char="0020"/>
            </w:r>
            <w:r w:rsidRPr="00EE14D2">
              <w:rPr>
                <w:rFonts w:ascii="Times New Roman" w:eastAsia="Times New Roman" w:hAnsi="Times New Roman" w:cs="Times New Roman"/>
                <w:noProof/>
                <w:color w:val="000000"/>
                <w:sz w:val="20"/>
                <w:szCs w:val="20"/>
                <w:lang w:val="en-US"/>
              </w:rPr>
              <w:sym w:font="Times New Roman" w:char="0064"/>
            </w:r>
            <w:r w:rsidRPr="00EE14D2">
              <w:rPr>
                <w:rFonts w:ascii="Times New Roman" w:eastAsia="Times New Roman" w:hAnsi="Times New Roman" w:cs="Times New Roman"/>
                <w:noProof/>
                <w:color w:val="000000"/>
                <w:sz w:val="20"/>
                <w:szCs w:val="20"/>
                <w:lang w:val="en-US"/>
              </w:rPr>
              <w:sym w:font="Times New Roman" w:char="006F"/>
            </w:r>
            <w:r w:rsidRPr="00EE14D2">
              <w:rPr>
                <w:rFonts w:ascii="Times New Roman" w:eastAsia="Times New Roman" w:hAnsi="Times New Roman" w:cs="Times New Roman"/>
                <w:noProof/>
                <w:color w:val="000000"/>
                <w:sz w:val="20"/>
                <w:szCs w:val="20"/>
                <w:lang w:val="en-US"/>
              </w:rPr>
              <w:sym w:font="Times New Roman" w:char="006D"/>
            </w:r>
            <w:r w:rsidRPr="00EE14D2">
              <w:rPr>
                <w:rFonts w:ascii="Times New Roman" w:eastAsia="Times New Roman" w:hAnsi="Times New Roman" w:cs="Times New Roman"/>
                <w:noProof/>
                <w:color w:val="000000"/>
                <w:sz w:val="20"/>
                <w:szCs w:val="20"/>
                <w:lang w:val="en-US"/>
              </w:rPr>
              <w:sym w:font="Times New Roman" w:char="006F"/>
            </w:r>
            <w:r w:rsidRPr="00EE14D2">
              <w:rPr>
                <w:rFonts w:ascii="Times New Roman" w:eastAsia="Times New Roman" w:hAnsi="Times New Roman" w:cs="Times New Roman"/>
                <w:noProof/>
                <w:color w:val="000000"/>
                <w:sz w:val="20"/>
                <w:szCs w:val="20"/>
                <w:lang w:val="en-US"/>
              </w:rPr>
              <w:sym w:font="Times New Roman" w:char="0077"/>
            </w:r>
            <w:r w:rsidRPr="00EE14D2">
              <w:rPr>
                <w:rFonts w:ascii="Times New Roman" w:eastAsia="Times New Roman" w:hAnsi="Times New Roman" w:cs="Times New Roman"/>
                <w:noProof/>
                <w:color w:val="000000"/>
                <w:sz w:val="20"/>
                <w:szCs w:val="20"/>
                <w:lang w:val="en-US"/>
              </w:rPr>
              <w:sym w:font="Times New Roman" w:char="0065"/>
            </w:r>
            <w:r w:rsidRPr="00EE14D2">
              <w:rPr>
                <w:rFonts w:ascii="Times New Roman" w:eastAsia="Times New Roman" w:hAnsi="Times New Roman" w:cs="Times New Roman"/>
                <w:noProof/>
                <w:color w:val="000000"/>
                <w:sz w:val="20"/>
                <w:szCs w:val="20"/>
                <w:lang w:val="en-US"/>
              </w:rPr>
              <w:sym w:font="Times New Roman" w:char="006A"/>
            </w:r>
            <w:r w:rsidRPr="00EE14D2">
              <w:rPr>
                <w:rFonts w:ascii="Times New Roman" w:eastAsia="Times New Roman" w:hAnsi="Times New Roman" w:cs="Times New Roman"/>
                <w:noProof/>
                <w:color w:val="000000"/>
                <w:sz w:val="20"/>
                <w:szCs w:val="20"/>
                <w:lang w:val="en-US"/>
              </w:rPr>
              <w:sym w:font="Times New Roman" w:char="0020"/>
            </w:r>
            <w:r w:rsidRPr="00EE14D2">
              <w:rPr>
                <w:rFonts w:ascii="Times New Roman" w:eastAsia="Times New Roman" w:hAnsi="Times New Roman" w:cs="Times New Roman"/>
                <w:noProof/>
                <w:color w:val="000000"/>
                <w:sz w:val="20"/>
                <w:szCs w:val="20"/>
                <w:lang w:val="en-US"/>
              </w:rPr>
              <w:sym w:font="Times New Roman" w:char="006F"/>
            </w:r>
            <w:r w:rsidRPr="00EE14D2">
              <w:rPr>
                <w:rFonts w:ascii="Times New Roman" w:eastAsia="Times New Roman" w:hAnsi="Times New Roman" w:cs="Times New Roman"/>
                <w:noProof/>
                <w:color w:val="000000"/>
                <w:sz w:val="20"/>
                <w:szCs w:val="20"/>
                <w:lang w:val="en-US"/>
              </w:rPr>
              <w:sym w:font="Times New Roman" w:char="0072"/>
            </w:r>
            <w:r w:rsidRPr="00EE14D2">
              <w:rPr>
                <w:rFonts w:ascii="Times New Roman" w:eastAsia="Times New Roman" w:hAnsi="Times New Roman" w:cs="Times New Roman"/>
                <w:noProof/>
                <w:color w:val="000000"/>
                <w:sz w:val="20"/>
                <w:szCs w:val="20"/>
                <w:lang w:val="en-US"/>
              </w:rPr>
              <w:sym w:font="Times New Roman" w:char="0061"/>
            </w:r>
            <w:r w:rsidRPr="00EE14D2">
              <w:rPr>
                <w:rFonts w:ascii="Times New Roman" w:eastAsia="Times New Roman" w:hAnsi="Times New Roman" w:cs="Times New Roman"/>
                <w:noProof/>
                <w:color w:val="000000"/>
                <w:sz w:val="20"/>
                <w:szCs w:val="20"/>
                <w:lang w:val="en-US"/>
              </w:rPr>
              <w:sym w:font="Times New Roman" w:char="007A"/>
            </w:r>
            <w:r w:rsidRPr="00EE14D2">
              <w:rPr>
                <w:rFonts w:ascii="Times New Roman" w:eastAsia="Times New Roman" w:hAnsi="Times New Roman" w:cs="Times New Roman"/>
                <w:noProof/>
                <w:color w:val="000000"/>
                <w:sz w:val="20"/>
                <w:szCs w:val="20"/>
                <w:lang w:val="en-US"/>
              </w:rPr>
              <w:sym w:font="Times New Roman" w:char="0020"/>
            </w:r>
            <w:r w:rsidRPr="00EE14D2">
              <w:rPr>
                <w:rFonts w:ascii="Times New Roman" w:eastAsia="Times New Roman" w:hAnsi="Times New Roman" w:cs="Times New Roman"/>
                <w:noProof/>
                <w:color w:val="000000"/>
                <w:sz w:val="20"/>
                <w:szCs w:val="20"/>
                <w:lang w:val="en-US"/>
              </w:rPr>
              <w:sym w:font="Times New Roman" w:char="0069"/>
            </w:r>
            <w:r w:rsidRPr="00EE14D2">
              <w:rPr>
                <w:rFonts w:ascii="Times New Roman" w:eastAsia="Times New Roman" w:hAnsi="Times New Roman" w:cs="Times New Roman"/>
                <w:noProof/>
                <w:color w:val="000000"/>
                <w:sz w:val="20"/>
                <w:szCs w:val="20"/>
                <w:lang w:val="en-US"/>
              </w:rPr>
              <w:sym w:font="Times New Roman" w:char="006E"/>
            </w:r>
            <w:r w:rsidRPr="00EE14D2">
              <w:rPr>
                <w:rFonts w:ascii="Times New Roman" w:eastAsia="Times New Roman" w:hAnsi="Times New Roman" w:cs="Times New Roman"/>
                <w:noProof/>
                <w:color w:val="000000"/>
                <w:sz w:val="20"/>
                <w:szCs w:val="20"/>
                <w:lang w:val="en-US"/>
              </w:rPr>
              <w:sym w:font="Times New Roman" w:char="006E"/>
            </w:r>
            <w:r w:rsidRPr="00EE14D2">
              <w:rPr>
                <w:rFonts w:ascii="Times New Roman" w:eastAsia="Times New Roman" w:hAnsi="Times New Roman" w:cs="Times New Roman"/>
                <w:noProof/>
                <w:color w:val="000000"/>
                <w:sz w:val="20"/>
                <w:szCs w:val="20"/>
                <w:lang w:val="en-US"/>
              </w:rPr>
              <w:sym w:font="Times New Roman" w:char="006F"/>
            </w:r>
            <w:r w:rsidRPr="00EE14D2">
              <w:rPr>
                <w:rFonts w:ascii="Times New Roman" w:eastAsia="Times New Roman" w:hAnsi="Times New Roman" w:cs="Times New Roman"/>
                <w:noProof/>
                <w:color w:val="000000"/>
                <w:sz w:val="20"/>
                <w:szCs w:val="20"/>
                <w:lang w:val="en-US"/>
              </w:rPr>
              <w:sym w:font="Times New Roman" w:char="0077"/>
            </w:r>
            <w:r w:rsidRPr="00EE14D2">
              <w:rPr>
                <w:rFonts w:ascii="Times New Roman" w:eastAsia="Times New Roman" w:hAnsi="Times New Roman" w:cs="Times New Roman"/>
                <w:noProof/>
                <w:color w:val="000000"/>
                <w:sz w:val="20"/>
                <w:szCs w:val="20"/>
                <w:lang w:val="en-US"/>
              </w:rPr>
              <w:sym w:font="Times New Roman" w:char="0061"/>
            </w:r>
            <w:r w:rsidRPr="00EE14D2">
              <w:rPr>
                <w:rFonts w:ascii="Times New Roman" w:eastAsia="Times New Roman" w:hAnsi="Times New Roman" w:cs="Times New Roman"/>
                <w:noProof/>
                <w:color w:val="000000"/>
                <w:sz w:val="20"/>
                <w:szCs w:val="20"/>
                <w:lang w:val="en-US"/>
              </w:rPr>
              <w:sym w:font="Times New Roman" w:char="0063"/>
            </w:r>
            <w:r w:rsidRPr="00EE14D2">
              <w:rPr>
                <w:rFonts w:ascii="Times New Roman" w:eastAsia="Times New Roman" w:hAnsi="Times New Roman" w:cs="Times New Roman"/>
                <w:noProof/>
                <w:color w:val="000000"/>
                <w:sz w:val="20"/>
                <w:szCs w:val="20"/>
                <w:lang w:val="en-US"/>
              </w:rPr>
              <w:sym w:font="Times New Roman" w:char="0079"/>
            </w:r>
            <w:r w:rsidRPr="00EE14D2">
              <w:rPr>
                <w:rFonts w:ascii="Times New Roman" w:eastAsia="Times New Roman" w:hAnsi="Times New Roman" w:cs="Times New Roman"/>
                <w:noProof/>
                <w:color w:val="000000"/>
                <w:sz w:val="20"/>
                <w:szCs w:val="20"/>
                <w:lang w:val="en-US"/>
              </w:rPr>
              <w:sym w:font="Times New Roman" w:char="006A"/>
            </w:r>
            <w:r w:rsidRPr="00EE14D2">
              <w:rPr>
                <w:rFonts w:ascii="Times New Roman" w:eastAsia="Times New Roman" w:hAnsi="Times New Roman" w:cs="Times New Roman"/>
                <w:noProof/>
                <w:color w:val="000000"/>
                <w:sz w:val="20"/>
                <w:szCs w:val="20"/>
                <w:lang w:val="en-US"/>
              </w:rPr>
              <w:sym w:font="Times New Roman" w:char="006E"/>
            </w:r>
            <w:r w:rsidRPr="00EE14D2">
              <w:rPr>
                <w:rFonts w:ascii="Times New Roman" w:eastAsia="Times New Roman" w:hAnsi="Times New Roman" w:cs="Times New Roman"/>
                <w:noProof/>
                <w:color w:val="000000"/>
                <w:sz w:val="20"/>
                <w:szCs w:val="20"/>
                <w:lang w:val="en-US"/>
              </w:rPr>
              <w:sym w:font="Times New Roman" w:char="0079"/>
            </w:r>
            <w:r w:rsidRPr="00EE14D2">
              <w:rPr>
                <w:rFonts w:ascii="Times New Roman" w:eastAsia="Times New Roman" w:hAnsi="Times New Roman" w:cs="Times New Roman"/>
                <w:noProof/>
                <w:color w:val="000000"/>
                <w:sz w:val="20"/>
                <w:szCs w:val="20"/>
                <w:lang w:val="en-US"/>
              </w:rPr>
              <w:sym w:font="Times New Roman" w:char="0063"/>
            </w:r>
            <w:r w:rsidRPr="00EE14D2">
              <w:rPr>
                <w:rFonts w:ascii="Times New Roman" w:eastAsia="Times New Roman" w:hAnsi="Times New Roman" w:cs="Times New Roman"/>
                <w:noProof/>
                <w:color w:val="000000"/>
                <w:sz w:val="20"/>
                <w:szCs w:val="20"/>
                <w:lang w:val="en-US"/>
              </w:rPr>
              <w:sym w:font="Times New Roman" w:char="0068"/>
            </w:r>
            <w:r w:rsidRPr="00EE14D2">
              <w:rPr>
                <w:rFonts w:ascii="Times New Roman" w:eastAsia="Times New Roman" w:hAnsi="Times New Roman" w:cs="Times New Roman"/>
                <w:noProof/>
                <w:color w:val="000000"/>
                <w:sz w:val="20"/>
                <w:szCs w:val="20"/>
                <w:lang w:val="en-US"/>
              </w:rPr>
              <w:sym w:font="Times New Roman" w:char="0020"/>
            </w:r>
            <w:r w:rsidRPr="00EE14D2">
              <w:rPr>
                <w:rFonts w:ascii="Times New Roman" w:eastAsia="Times New Roman" w:hAnsi="Times New Roman" w:cs="Times New Roman"/>
                <w:noProof/>
                <w:color w:val="000000"/>
                <w:sz w:val="20"/>
                <w:szCs w:val="20"/>
                <w:lang w:val="en-US"/>
              </w:rPr>
              <w:sym w:font="Times New Roman" w:char="0066"/>
            </w:r>
            <w:r w:rsidRPr="00EE14D2">
              <w:rPr>
                <w:rFonts w:ascii="Times New Roman" w:eastAsia="Times New Roman" w:hAnsi="Times New Roman" w:cs="Times New Roman"/>
                <w:noProof/>
                <w:color w:val="000000"/>
                <w:sz w:val="20"/>
                <w:szCs w:val="20"/>
                <w:lang w:val="en-US"/>
              </w:rPr>
              <w:sym w:font="Times New Roman" w:char="006F"/>
            </w:r>
            <w:r w:rsidRPr="00EE14D2">
              <w:rPr>
                <w:rFonts w:ascii="Times New Roman" w:eastAsia="Times New Roman" w:hAnsi="Times New Roman" w:cs="Times New Roman"/>
                <w:noProof/>
                <w:color w:val="000000"/>
                <w:sz w:val="20"/>
                <w:szCs w:val="20"/>
                <w:lang w:val="en-US"/>
              </w:rPr>
              <w:sym w:font="Times New Roman" w:char="0072"/>
            </w:r>
            <w:r w:rsidRPr="00EE14D2">
              <w:rPr>
                <w:rFonts w:ascii="Times New Roman" w:eastAsia="Times New Roman" w:hAnsi="Times New Roman" w:cs="Times New Roman"/>
                <w:noProof/>
                <w:color w:val="000000"/>
                <w:sz w:val="20"/>
                <w:szCs w:val="20"/>
                <w:lang w:val="en-US"/>
              </w:rPr>
              <w:sym w:font="Times New Roman" w:char="006D"/>
            </w:r>
            <w:r w:rsidRPr="00EE14D2">
              <w:rPr>
                <w:rFonts w:ascii="Times New Roman" w:eastAsia="Times New Roman" w:hAnsi="Times New Roman" w:cs="Times New Roman"/>
                <w:noProof/>
                <w:color w:val="000000"/>
                <w:sz w:val="20"/>
                <w:szCs w:val="20"/>
                <w:lang w:val="en-US"/>
              </w:rPr>
              <w:sym w:font="Times New Roman" w:char="0020"/>
            </w:r>
            <w:r w:rsidRPr="00EE14D2">
              <w:rPr>
                <w:rFonts w:ascii="Times New Roman" w:eastAsia="Times New Roman" w:hAnsi="Times New Roman" w:cs="Times New Roman"/>
                <w:noProof/>
                <w:color w:val="000000"/>
                <w:sz w:val="20"/>
                <w:szCs w:val="20"/>
                <w:lang w:val="en-US"/>
              </w:rPr>
              <w:sym w:font="Times New Roman" w:char="006F"/>
            </w:r>
            <w:r w:rsidRPr="00EE14D2">
              <w:rPr>
                <w:rFonts w:ascii="Times New Roman" w:eastAsia="Times New Roman" w:hAnsi="Times New Roman" w:cs="Times New Roman"/>
                <w:noProof/>
                <w:color w:val="000000"/>
                <w:sz w:val="20"/>
                <w:szCs w:val="20"/>
                <w:lang w:val="en-US"/>
              </w:rPr>
              <w:sym w:font="Times New Roman" w:char="0070"/>
            </w:r>
            <w:r w:rsidRPr="00EE14D2">
              <w:rPr>
                <w:rFonts w:ascii="Times New Roman" w:eastAsia="Times New Roman" w:hAnsi="Times New Roman" w:cs="Times New Roman"/>
                <w:noProof/>
                <w:color w:val="000000"/>
                <w:sz w:val="20"/>
                <w:szCs w:val="20"/>
                <w:lang w:val="en-US"/>
              </w:rPr>
              <w:sym w:font="Times New Roman" w:char="0069"/>
            </w:r>
            <w:r w:rsidRPr="00EE14D2">
              <w:rPr>
                <w:rFonts w:ascii="Times New Roman" w:eastAsia="Times New Roman" w:hAnsi="Times New Roman" w:cs="Times New Roman"/>
                <w:noProof/>
                <w:color w:val="000000"/>
                <w:sz w:val="20"/>
                <w:szCs w:val="20"/>
                <w:lang w:val="en-US"/>
              </w:rPr>
              <w:sym w:font="Times New Roman" w:char="0065"/>
            </w:r>
            <w:r w:rsidRPr="00EE14D2">
              <w:rPr>
                <w:rFonts w:ascii="Times New Roman" w:eastAsia="Times New Roman" w:hAnsi="Times New Roman" w:cs="Times New Roman"/>
                <w:noProof/>
                <w:color w:val="000000"/>
                <w:sz w:val="20"/>
                <w:szCs w:val="20"/>
                <w:lang w:val="en-US"/>
              </w:rPr>
              <w:sym w:font="Times New Roman" w:char="006B"/>
            </w:r>
            <w:r w:rsidRPr="00EE14D2">
              <w:rPr>
                <w:rFonts w:ascii="Times New Roman" w:eastAsia="Times New Roman" w:hAnsi="Times New Roman" w:cs="Times New Roman"/>
                <w:noProof/>
                <w:color w:val="000000"/>
                <w:sz w:val="20"/>
                <w:szCs w:val="20"/>
                <w:lang w:val="en-US"/>
              </w:rPr>
              <w:sym w:font="Times New Roman" w:char="0069"/>
            </w:r>
            <w:r w:rsidRPr="00EE14D2">
              <w:rPr>
                <w:rFonts w:ascii="Times New Roman" w:eastAsia="Times New Roman" w:hAnsi="Times New Roman" w:cs="Times New Roman"/>
                <w:noProof/>
                <w:color w:val="000000"/>
                <w:sz w:val="20"/>
                <w:szCs w:val="20"/>
                <w:lang w:val="en-US"/>
              </w:rPr>
              <w:sym w:font="Times New Roman" w:char="002C"/>
            </w:r>
            <w:r w:rsidRPr="00EE14D2">
              <w:rPr>
                <w:rFonts w:ascii="Times New Roman" w:eastAsia="Times New Roman" w:hAnsi="Times New Roman" w:cs="Times New Roman"/>
                <w:noProof/>
                <w:color w:val="000000"/>
                <w:sz w:val="20"/>
                <w:szCs w:val="20"/>
                <w:lang w:val="en-US"/>
              </w:rPr>
              <w:sym w:font="Times New Roman" w:char="0020"/>
            </w:r>
            <w:r w:rsidRPr="00EE14D2">
              <w:rPr>
                <w:rFonts w:ascii="Times New Roman" w:eastAsia="Times New Roman" w:hAnsi="Times New Roman" w:cs="Times New Roman"/>
                <w:noProof/>
                <w:color w:val="000000"/>
                <w:sz w:val="20"/>
                <w:szCs w:val="20"/>
                <w:lang w:val="en-US"/>
              </w:rPr>
              <w:sym w:font="Times New Roman" w:char="0077"/>
            </w:r>
            <w:r w:rsidRPr="00EE14D2">
              <w:rPr>
                <w:rFonts w:ascii="Times New Roman" w:eastAsia="Times New Roman" w:hAnsi="Times New Roman" w:cs="Times New Roman"/>
                <w:noProof/>
                <w:color w:val="000000"/>
                <w:sz w:val="20"/>
                <w:szCs w:val="20"/>
                <w:lang w:val="en-US"/>
              </w:rPr>
              <w:sym w:font="Times New Roman" w:char="0073"/>
            </w:r>
            <w:r w:rsidRPr="00EE14D2">
              <w:rPr>
                <w:rFonts w:ascii="Times New Roman" w:eastAsia="Times New Roman" w:hAnsi="Times New Roman" w:cs="Times New Roman"/>
                <w:noProof/>
                <w:color w:val="000000"/>
                <w:sz w:val="20"/>
                <w:szCs w:val="20"/>
                <w:lang w:val="en-US"/>
              </w:rPr>
              <w:sym w:font="Times New Roman" w:char="0070"/>
            </w:r>
            <w:r w:rsidRPr="00EE14D2">
              <w:rPr>
                <w:rFonts w:ascii="Times New Roman" w:eastAsia="Times New Roman" w:hAnsi="Times New Roman" w:cs="Times New Roman"/>
                <w:noProof/>
                <w:color w:val="000000"/>
                <w:sz w:val="20"/>
                <w:szCs w:val="20"/>
                <w:lang w:val="en-US"/>
              </w:rPr>
              <w:sym w:font="Times New Roman" w:char="0061"/>
            </w:r>
            <w:r w:rsidRPr="00EE14D2">
              <w:rPr>
                <w:rFonts w:ascii="Times New Roman" w:eastAsia="Times New Roman" w:hAnsi="Times New Roman" w:cs="Times New Roman"/>
                <w:noProof/>
                <w:color w:val="000000"/>
                <w:sz w:val="20"/>
                <w:szCs w:val="20"/>
                <w:lang w:val="en-US"/>
              </w:rPr>
              <w:sym w:font="Times New Roman" w:char="0072"/>
            </w:r>
            <w:r w:rsidRPr="00EE14D2">
              <w:rPr>
                <w:rFonts w:ascii="Times New Roman" w:eastAsia="Times New Roman" w:hAnsi="Times New Roman" w:cs="Times New Roman"/>
                <w:noProof/>
                <w:color w:val="000000"/>
                <w:sz w:val="20"/>
                <w:szCs w:val="20"/>
                <w:lang w:val="en-US"/>
              </w:rPr>
              <w:sym w:font="Times New Roman" w:char="0063"/>
            </w:r>
            <w:r w:rsidRPr="00EE14D2">
              <w:rPr>
                <w:rFonts w:ascii="Times New Roman" w:eastAsia="Times New Roman" w:hAnsi="Times New Roman" w:cs="Times New Roman"/>
                <w:noProof/>
                <w:color w:val="000000"/>
                <w:sz w:val="20"/>
                <w:szCs w:val="20"/>
                <w:lang w:val="en-US"/>
              </w:rPr>
              <w:sym w:font="Times New Roman" w:char="0069"/>
            </w:r>
            <w:r w:rsidRPr="00EE14D2">
              <w:rPr>
                <w:rFonts w:ascii="Times New Roman" w:eastAsia="Times New Roman" w:hAnsi="Times New Roman" w:cs="Times New Roman"/>
                <w:noProof/>
                <w:color w:val="000000"/>
                <w:sz w:val="20"/>
                <w:szCs w:val="20"/>
                <w:lang w:val="en-US"/>
              </w:rPr>
              <w:sym w:font="Times New Roman" w:char="0065"/>
            </w:r>
            <w:r w:rsidRPr="00EE14D2">
              <w:rPr>
                <w:rFonts w:ascii="Times New Roman" w:eastAsia="Times New Roman" w:hAnsi="Times New Roman" w:cs="Times New Roman"/>
                <w:noProof/>
                <w:color w:val="000000"/>
                <w:sz w:val="20"/>
                <w:szCs w:val="20"/>
                <w:lang w:val="en-US"/>
              </w:rPr>
              <w:sym w:font="Times New Roman" w:char="0020"/>
            </w:r>
            <w:r w:rsidRPr="00EE14D2">
              <w:rPr>
                <w:rFonts w:ascii="Times New Roman" w:eastAsia="Times New Roman" w:hAnsi="Times New Roman" w:cs="Times New Roman"/>
                <w:noProof/>
                <w:color w:val="000000"/>
                <w:sz w:val="20"/>
                <w:szCs w:val="20"/>
                <w:lang w:val="en-US"/>
              </w:rPr>
              <w:sym w:font="Times New Roman" w:char="006F"/>
            </w:r>
            <w:r w:rsidRPr="00EE14D2">
              <w:rPr>
                <w:rFonts w:ascii="Times New Roman" w:eastAsia="Times New Roman" w:hAnsi="Times New Roman" w:cs="Times New Roman"/>
                <w:noProof/>
                <w:color w:val="000000"/>
                <w:sz w:val="20"/>
                <w:szCs w:val="20"/>
                <w:lang w:val="en-US"/>
              </w:rPr>
              <w:sym w:font="Times New Roman" w:char="0070"/>
            </w:r>
            <w:r w:rsidRPr="00EE14D2">
              <w:rPr>
                <w:rFonts w:ascii="Times New Roman" w:eastAsia="Times New Roman" w:hAnsi="Times New Roman" w:cs="Times New Roman"/>
                <w:noProof/>
                <w:color w:val="000000"/>
                <w:sz w:val="20"/>
                <w:szCs w:val="20"/>
                <w:lang w:val="en-US"/>
              </w:rPr>
              <w:sym w:font="Times New Roman" w:char="0069"/>
            </w:r>
            <w:r w:rsidRPr="00EE14D2">
              <w:rPr>
                <w:rFonts w:ascii="Times New Roman" w:eastAsia="Times New Roman" w:hAnsi="Times New Roman" w:cs="Times New Roman"/>
                <w:noProof/>
                <w:color w:val="000000"/>
                <w:sz w:val="20"/>
                <w:szCs w:val="20"/>
                <w:lang w:val="en-US"/>
              </w:rPr>
              <w:sym w:font="Times New Roman" w:char="0065"/>
            </w:r>
            <w:r w:rsidRPr="00EE14D2">
              <w:rPr>
                <w:rFonts w:ascii="Times New Roman" w:eastAsia="Times New Roman" w:hAnsi="Times New Roman" w:cs="Times New Roman"/>
                <w:noProof/>
                <w:color w:val="000000"/>
                <w:sz w:val="20"/>
                <w:szCs w:val="20"/>
                <w:lang w:val="en-US"/>
              </w:rPr>
              <w:sym w:font="Times New Roman" w:char="006B"/>
            </w:r>
            <w:r w:rsidRPr="00EE14D2">
              <w:rPr>
                <w:rFonts w:ascii="Times New Roman" w:eastAsia="Times New Roman" w:hAnsi="Times New Roman" w:cs="Times New Roman"/>
                <w:noProof/>
                <w:color w:val="000000"/>
                <w:sz w:val="20"/>
                <w:szCs w:val="20"/>
                <w:lang w:val="en-US"/>
              </w:rPr>
              <w:sym w:font="Times New Roman" w:char="0075"/>
            </w:r>
            <w:r w:rsidRPr="00EE14D2">
              <w:rPr>
                <w:rFonts w:ascii="Times New Roman" w:eastAsia="Times New Roman" w:hAnsi="Times New Roman" w:cs="Times New Roman"/>
                <w:noProof/>
                <w:color w:val="000000"/>
                <w:sz w:val="20"/>
                <w:szCs w:val="20"/>
                <w:lang w:val="en-US"/>
              </w:rPr>
              <w:sym w:font="Times New Roman" w:char="006E"/>
            </w:r>
            <w:r w:rsidRPr="00EE14D2">
              <w:rPr>
                <w:rFonts w:ascii="Times New Roman" w:eastAsia="Times New Roman" w:hAnsi="Times New Roman" w:cs="Times New Roman"/>
                <w:noProof/>
                <w:color w:val="000000"/>
                <w:sz w:val="20"/>
                <w:szCs w:val="20"/>
                <w:lang w:val="en-US"/>
              </w:rPr>
              <w:sym w:font="Times New Roman" w:char="00F3"/>
            </w:r>
            <w:r w:rsidRPr="00EE14D2">
              <w:rPr>
                <w:rFonts w:ascii="Times New Roman" w:eastAsia="Times New Roman" w:hAnsi="Times New Roman" w:cs="Times New Roman"/>
                <w:noProof/>
                <w:color w:val="000000"/>
                <w:sz w:val="20"/>
                <w:szCs w:val="20"/>
                <w:lang w:val="en-US"/>
              </w:rPr>
              <w:sym w:font="Times New Roman" w:char="0077"/>
            </w:r>
            <w:r w:rsidRPr="00EE14D2">
              <w:rPr>
                <w:rFonts w:ascii="Times New Roman" w:eastAsia="Times New Roman" w:hAnsi="Times New Roman" w:cs="Times New Roman"/>
                <w:noProof/>
                <w:color w:val="000000"/>
                <w:sz w:val="20"/>
                <w:szCs w:val="20"/>
                <w:lang w:val="en-US"/>
              </w:rPr>
              <w:sym w:font="Times New Roman" w:char="0020"/>
            </w:r>
            <w:r w:rsidRPr="00EE14D2">
              <w:rPr>
                <w:rFonts w:ascii="Times New Roman" w:eastAsia="Times New Roman" w:hAnsi="Times New Roman" w:cs="Times New Roman"/>
                <w:noProof/>
                <w:color w:val="000000"/>
                <w:sz w:val="20"/>
                <w:szCs w:val="20"/>
                <w:lang w:val="en-US"/>
              </w:rPr>
              <w:sym w:font="Times New Roman" w:char="006E"/>
            </w:r>
            <w:r w:rsidRPr="00EE14D2">
              <w:rPr>
                <w:rFonts w:ascii="Times New Roman" w:eastAsia="Times New Roman" w:hAnsi="Times New Roman" w:cs="Times New Roman"/>
                <w:noProof/>
                <w:color w:val="000000"/>
                <w:sz w:val="20"/>
                <w:szCs w:val="20"/>
                <w:lang w:val="en-US"/>
              </w:rPr>
              <w:sym w:font="Times New Roman" w:char="0069"/>
            </w:r>
            <w:r w:rsidRPr="00EE14D2">
              <w:rPr>
                <w:rFonts w:ascii="Times New Roman" w:eastAsia="Times New Roman" w:hAnsi="Times New Roman" w:cs="Times New Roman"/>
                <w:noProof/>
                <w:color w:val="000000"/>
                <w:sz w:val="20"/>
                <w:szCs w:val="20"/>
                <w:lang w:val="en-US"/>
              </w:rPr>
              <w:sym w:font="Times New Roman" w:char="0065"/>
            </w:r>
            <w:r w:rsidRPr="00EE14D2">
              <w:rPr>
                <w:rFonts w:ascii="Times New Roman" w:eastAsia="Times New Roman" w:hAnsi="Times New Roman" w:cs="Times New Roman"/>
                <w:noProof/>
                <w:color w:val="000000"/>
                <w:sz w:val="20"/>
                <w:szCs w:val="20"/>
                <w:lang w:val="en-US"/>
              </w:rPr>
              <w:sym w:font="Times New Roman" w:char="0066"/>
            </w:r>
            <w:r w:rsidRPr="00EE14D2">
              <w:rPr>
                <w:rFonts w:ascii="Times New Roman" w:eastAsia="Times New Roman" w:hAnsi="Times New Roman" w:cs="Times New Roman"/>
                <w:noProof/>
                <w:color w:val="000000"/>
                <w:sz w:val="20"/>
                <w:szCs w:val="20"/>
                <w:lang w:val="en-US"/>
              </w:rPr>
              <w:sym w:font="Times New Roman" w:char="006F"/>
            </w:r>
            <w:r w:rsidRPr="00EE14D2">
              <w:rPr>
                <w:rFonts w:ascii="Times New Roman" w:eastAsia="Times New Roman" w:hAnsi="Times New Roman" w:cs="Times New Roman"/>
                <w:noProof/>
                <w:color w:val="000000"/>
                <w:sz w:val="20"/>
                <w:szCs w:val="20"/>
                <w:lang w:val="en-US"/>
              </w:rPr>
              <w:sym w:font="Times New Roman" w:char="0072"/>
            </w:r>
            <w:r w:rsidRPr="00EE14D2">
              <w:rPr>
                <w:rFonts w:ascii="Times New Roman" w:eastAsia="Times New Roman" w:hAnsi="Times New Roman" w:cs="Times New Roman"/>
                <w:noProof/>
                <w:color w:val="000000"/>
                <w:sz w:val="20"/>
                <w:szCs w:val="20"/>
                <w:lang w:val="en-US"/>
              </w:rPr>
              <w:sym w:font="Times New Roman" w:char="006D"/>
            </w:r>
            <w:r w:rsidRPr="00EE14D2">
              <w:rPr>
                <w:rFonts w:ascii="Times New Roman" w:eastAsia="Times New Roman" w:hAnsi="Times New Roman" w:cs="Times New Roman"/>
                <w:noProof/>
                <w:color w:val="000000"/>
                <w:sz w:val="20"/>
                <w:szCs w:val="20"/>
                <w:lang w:val="en-US"/>
              </w:rPr>
              <w:sym w:font="Times New Roman" w:char="0061"/>
            </w:r>
            <w:r w:rsidRPr="00EE14D2">
              <w:rPr>
                <w:rFonts w:ascii="Times New Roman" w:eastAsia="Times New Roman" w:hAnsi="Times New Roman" w:cs="Times New Roman"/>
                <w:noProof/>
                <w:color w:val="000000"/>
                <w:sz w:val="20"/>
                <w:szCs w:val="20"/>
                <w:lang w:val="en-US"/>
              </w:rPr>
              <w:sym w:font="Times New Roman" w:char="006C"/>
            </w:r>
            <w:r w:rsidRPr="00EE14D2">
              <w:rPr>
                <w:rFonts w:ascii="Times New Roman" w:eastAsia="Times New Roman" w:hAnsi="Times New Roman" w:cs="Times New Roman"/>
                <w:noProof/>
                <w:color w:val="000000"/>
                <w:sz w:val="20"/>
                <w:szCs w:val="20"/>
                <w:lang w:val="en-US"/>
              </w:rPr>
              <w:sym w:font="Times New Roman" w:char="006E"/>
            </w:r>
            <w:r w:rsidRPr="00EE14D2">
              <w:rPr>
                <w:rFonts w:ascii="Times New Roman" w:eastAsia="Times New Roman" w:hAnsi="Times New Roman" w:cs="Times New Roman"/>
                <w:noProof/>
                <w:color w:val="000000"/>
                <w:sz w:val="20"/>
                <w:szCs w:val="20"/>
                <w:lang w:val="en-US"/>
              </w:rPr>
              <w:sym w:font="Times New Roman" w:char="0079"/>
            </w:r>
            <w:r w:rsidRPr="00EE14D2">
              <w:rPr>
                <w:rFonts w:ascii="Times New Roman" w:eastAsia="Times New Roman" w:hAnsi="Times New Roman" w:cs="Times New Roman"/>
                <w:noProof/>
                <w:color w:val="000000"/>
                <w:sz w:val="20"/>
                <w:szCs w:val="20"/>
                <w:lang w:val="en-US"/>
              </w:rPr>
              <w:sym w:font="Times New Roman" w:char="0063"/>
            </w:r>
            <w:r w:rsidRPr="00EE14D2">
              <w:rPr>
                <w:rFonts w:ascii="Times New Roman" w:eastAsia="Times New Roman" w:hAnsi="Times New Roman" w:cs="Times New Roman"/>
                <w:noProof/>
                <w:color w:val="000000"/>
                <w:sz w:val="20"/>
                <w:szCs w:val="20"/>
                <w:lang w:val="en-US"/>
              </w:rPr>
              <w:sym w:font="Times New Roman" w:char="0068"/>
            </w:r>
            <w:r w:rsidRPr="00EE14D2">
              <w:rPr>
                <w:rFonts w:ascii="Times New Roman" w:eastAsia="Times New Roman" w:hAnsi="Times New Roman" w:cs="Times New Roman"/>
                <w:noProof/>
                <w:color w:val="000000"/>
                <w:sz w:val="20"/>
                <w:szCs w:val="20"/>
                <w:lang w:val="en-US"/>
              </w:rPr>
              <w:sym w:font="Times New Roman" w:char="0020"/>
            </w:r>
            <w:r w:rsidRPr="00EE14D2">
              <w:rPr>
                <w:rFonts w:ascii="Times New Roman" w:eastAsia="Times New Roman" w:hAnsi="Times New Roman" w:cs="Times New Roman"/>
                <w:noProof/>
                <w:color w:val="000000"/>
                <w:sz w:val="20"/>
                <w:szCs w:val="20"/>
                <w:lang w:val="en-US"/>
              </w:rPr>
              <w:sym w:font="Times New Roman" w:char="0069"/>
            </w:r>
            <w:r w:rsidRPr="00EE14D2">
              <w:rPr>
                <w:rFonts w:ascii="Times New Roman" w:eastAsia="Times New Roman" w:hAnsi="Times New Roman" w:cs="Times New Roman"/>
                <w:noProof/>
                <w:color w:val="000000"/>
                <w:sz w:val="20"/>
                <w:szCs w:val="20"/>
                <w:lang w:val="en-US"/>
              </w:rPr>
              <w:sym w:font="Times New Roman" w:char="0020"/>
            </w:r>
            <w:r w:rsidRPr="00EE14D2">
              <w:rPr>
                <w:rFonts w:ascii="Times New Roman" w:eastAsia="Times New Roman" w:hAnsi="Times New Roman" w:cs="Times New Roman"/>
                <w:noProof/>
                <w:color w:val="000000"/>
                <w:sz w:val="20"/>
                <w:szCs w:val="20"/>
                <w:lang w:val="en-US"/>
              </w:rPr>
              <w:sym w:font="Times New Roman" w:char="006B"/>
            </w:r>
            <w:r w:rsidRPr="00EE14D2">
              <w:rPr>
                <w:rFonts w:ascii="Times New Roman" w:eastAsia="Times New Roman" w:hAnsi="Times New Roman" w:cs="Times New Roman"/>
                <w:noProof/>
                <w:color w:val="000000"/>
                <w:sz w:val="20"/>
                <w:szCs w:val="20"/>
                <w:lang w:val="en-US"/>
              </w:rPr>
              <w:sym w:font="Times New Roman" w:char="006F"/>
            </w:r>
            <w:r w:rsidRPr="00EE14D2">
              <w:rPr>
                <w:rFonts w:ascii="Times New Roman" w:eastAsia="Times New Roman" w:hAnsi="Times New Roman" w:cs="Times New Roman"/>
                <w:noProof/>
                <w:color w:val="000000"/>
                <w:sz w:val="20"/>
                <w:szCs w:val="20"/>
                <w:lang w:val="en-US"/>
              </w:rPr>
              <w:sym w:font="Times New Roman" w:char="006F"/>
            </w:r>
            <w:r w:rsidRPr="00EE14D2">
              <w:rPr>
                <w:rFonts w:ascii="Times New Roman" w:eastAsia="Times New Roman" w:hAnsi="Times New Roman" w:cs="Times New Roman"/>
                <w:noProof/>
                <w:color w:val="000000"/>
                <w:sz w:val="20"/>
                <w:szCs w:val="20"/>
                <w:lang w:val="en-US"/>
              </w:rPr>
              <w:sym w:font="Times New Roman" w:char="0072"/>
            </w:r>
            <w:r w:rsidRPr="00EE14D2">
              <w:rPr>
                <w:rFonts w:ascii="Times New Roman" w:eastAsia="Times New Roman" w:hAnsi="Times New Roman" w:cs="Times New Roman"/>
                <w:noProof/>
                <w:color w:val="000000"/>
                <w:sz w:val="20"/>
                <w:szCs w:val="20"/>
                <w:lang w:val="en-US"/>
              </w:rPr>
              <w:sym w:font="Times New Roman" w:char="0064"/>
            </w:r>
            <w:r w:rsidRPr="00EE14D2">
              <w:rPr>
                <w:rFonts w:ascii="Times New Roman" w:eastAsia="Times New Roman" w:hAnsi="Times New Roman" w:cs="Times New Roman"/>
                <w:noProof/>
                <w:color w:val="000000"/>
                <w:sz w:val="20"/>
                <w:szCs w:val="20"/>
                <w:lang w:val="en-US"/>
              </w:rPr>
              <w:sym w:font="Times New Roman" w:char="0079"/>
            </w:r>
            <w:r w:rsidRPr="00EE14D2">
              <w:rPr>
                <w:rFonts w:ascii="Times New Roman" w:eastAsia="Times New Roman" w:hAnsi="Times New Roman" w:cs="Times New Roman"/>
                <w:noProof/>
                <w:color w:val="000000"/>
                <w:sz w:val="20"/>
                <w:szCs w:val="20"/>
                <w:lang w:val="en-US"/>
              </w:rPr>
              <w:sym w:font="Times New Roman" w:char="006E"/>
            </w:r>
            <w:r w:rsidRPr="00EE14D2">
              <w:rPr>
                <w:rFonts w:ascii="Times New Roman" w:eastAsia="Times New Roman" w:hAnsi="Times New Roman" w:cs="Times New Roman"/>
                <w:noProof/>
                <w:color w:val="000000"/>
                <w:sz w:val="20"/>
                <w:szCs w:val="20"/>
                <w:lang w:val="en-US"/>
              </w:rPr>
              <w:sym w:font="Times New Roman" w:char="0061"/>
            </w:r>
            <w:r w:rsidRPr="00EE14D2">
              <w:rPr>
                <w:rFonts w:ascii="Times New Roman" w:eastAsia="Times New Roman" w:hAnsi="Times New Roman" w:cs="Times New Roman"/>
                <w:noProof/>
                <w:color w:val="000000"/>
                <w:sz w:val="20"/>
                <w:szCs w:val="20"/>
                <w:lang w:val="en-US"/>
              </w:rPr>
              <w:sym w:font="Times New Roman" w:char="0063"/>
            </w:r>
            <w:r w:rsidRPr="00EE14D2">
              <w:rPr>
                <w:rFonts w:ascii="Times New Roman" w:eastAsia="Times New Roman" w:hAnsi="Times New Roman" w:cs="Times New Roman"/>
                <w:noProof/>
                <w:color w:val="000000"/>
                <w:sz w:val="20"/>
                <w:szCs w:val="20"/>
                <w:lang w:val="en-US"/>
              </w:rPr>
              <w:sym w:font="Times New Roman" w:char="006A"/>
            </w:r>
            <w:r w:rsidRPr="00EE14D2">
              <w:rPr>
                <w:rFonts w:ascii="Times New Roman" w:eastAsia="Times New Roman" w:hAnsi="Times New Roman" w:cs="Times New Roman"/>
                <w:noProof/>
                <w:color w:val="000000"/>
                <w:sz w:val="20"/>
                <w:szCs w:val="20"/>
                <w:lang w:val="en-US"/>
              </w:rPr>
              <w:sym w:font="Times New Roman" w:char="0061"/>
            </w:r>
            <w:r w:rsidRPr="00EE14D2">
              <w:rPr>
                <w:rFonts w:ascii="Times New Roman" w:eastAsia="Times New Roman" w:hAnsi="Times New Roman" w:cs="Times New Roman"/>
                <w:noProof/>
                <w:color w:val="000000"/>
                <w:sz w:val="20"/>
                <w:szCs w:val="20"/>
                <w:lang w:val="en-US"/>
              </w:rPr>
              <w:sym w:font="Times New Roman" w:char="0020"/>
            </w:r>
            <w:r w:rsidRPr="00EE14D2">
              <w:rPr>
                <w:rFonts w:ascii="Times New Roman" w:eastAsia="Times New Roman" w:hAnsi="Times New Roman" w:cs="Times New Roman"/>
                <w:noProof/>
                <w:color w:val="000000"/>
                <w:sz w:val="20"/>
                <w:szCs w:val="20"/>
                <w:lang w:val="en-US"/>
              </w:rPr>
              <w:sym w:font="Times New Roman" w:char="006F"/>
            </w:r>
            <w:r w:rsidRPr="00EE14D2">
              <w:rPr>
                <w:rFonts w:ascii="Times New Roman" w:eastAsia="Times New Roman" w:hAnsi="Times New Roman" w:cs="Times New Roman"/>
                <w:noProof/>
                <w:color w:val="000000"/>
                <w:sz w:val="20"/>
                <w:szCs w:val="20"/>
                <w:lang w:val="en-US"/>
              </w:rPr>
              <w:sym w:font="Times New Roman" w:char="0070"/>
            </w:r>
            <w:r w:rsidRPr="00EE14D2">
              <w:rPr>
                <w:rFonts w:ascii="Times New Roman" w:eastAsia="Times New Roman" w:hAnsi="Times New Roman" w:cs="Times New Roman"/>
                <w:noProof/>
                <w:color w:val="000000"/>
                <w:sz w:val="20"/>
                <w:szCs w:val="20"/>
                <w:lang w:val="en-US"/>
              </w:rPr>
              <w:sym w:font="Times New Roman" w:char="0069"/>
            </w:r>
            <w:r w:rsidRPr="00EE14D2">
              <w:rPr>
                <w:rFonts w:ascii="Times New Roman" w:eastAsia="Times New Roman" w:hAnsi="Times New Roman" w:cs="Times New Roman"/>
                <w:noProof/>
                <w:color w:val="000000"/>
                <w:sz w:val="20"/>
                <w:szCs w:val="20"/>
                <w:lang w:val="en-US"/>
              </w:rPr>
              <w:sym w:font="Times New Roman" w:char="0065"/>
            </w:r>
            <w:r w:rsidRPr="00EE14D2">
              <w:rPr>
                <w:rFonts w:ascii="Times New Roman" w:eastAsia="Times New Roman" w:hAnsi="Times New Roman" w:cs="Times New Roman"/>
                <w:noProof/>
                <w:color w:val="000000"/>
                <w:sz w:val="20"/>
                <w:szCs w:val="20"/>
                <w:lang w:val="en-US"/>
              </w:rPr>
              <w:sym w:font="Times New Roman" w:char="006B"/>
            </w:r>
            <w:r w:rsidRPr="00EE14D2">
              <w:rPr>
                <w:rFonts w:ascii="Times New Roman" w:eastAsia="Times New Roman" w:hAnsi="Times New Roman" w:cs="Times New Roman"/>
                <w:noProof/>
                <w:color w:val="000000"/>
                <w:sz w:val="20"/>
                <w:szCs w:val="20"/>
                <w:lang w:val="en-US"/>
              </w:rPr>
              <w:sym w:font="Times New Roman" w:char="0069"/>
            </w:r>
            <w:r w:rsidRPr="00EE14D2">
              <w:rPr>
                <w:rFonts w:ascii="Times New Roman" w:eastAsia="Times New Roman" w:hAnsi="Times New Roman" w:cs="Times New Roman"/>
                <w:noProof/>
                <w:color w:val="000000"/>
                <w:sz w:val="20"/>
                <w:szCs w:val="20"/>
                <w:lang w:val="en-US"/>
              </w:rPr>
              <w:sym w:font="Times New Roman" w:char="0020"/>
            </w:r>
            <w:r w:rsidRPr="00EE14D2">
              <w:rPr>
                <w:rFonts w:ascii="Times New Roman" w:eastAsia="Times New Roman" w:hAnsi="Times New Roman" w:cs="Times New Roman"/>
                <w:noProof/>
                <w:color w:val="000000"/>
                <w:sz w:val="20"/>
                <w:szCs w:val="20"/>
                <w:lang w:val="en-US"/>
              </w:rPr>
              <w:sym w:font="Times New Roman" w:char="015B"/>
            </w:r>
            <w:r w:rsidRPr="00EE14D2">
              <w:rPr>
                <w:rFonts w:ascii="Times New Roman" w:eastAsia="Times New Roman" w:hAnsi="Times New Roman" w:cs="Times New Roman"/>
                <w:noProof/>
                <w:color w:val="000000"/>
                <w:sz w:val="20"/>
                <w:szCs w:val="20"/>
                <w:lang w:val="en-US"/>
              </w:rPr>
              <w:sym w:font="Times New Roman" w:char="0072"/>
            </w:r>
            <w:r w:rsidRPr="00EE14D2">
              <w:rPr>
                <w:rFonts w:ascii="Times New Roman" w:eastAsia="Times New Roman" w:hAnsi="Times New Roman" w:cs="Times New Roman"/>
                <w:noProof/>
                <w:color w:val="000000"/>
                <w:sz w:val="20"/>
                <w:szCs w:val="20"/>
                <w:lang w:val="en-US"/>
              </w:rPr>
              <w:sym w:font="Times New Roman" w:char="006F"/>
            </w:r>
            <w:r w:rsidRPr="00EE14D2">
              <w:rPr>
                <w:rFonts w:ascii="Times New Roman" w:eastAsia="Times New Roman" w:hAnsi="Times New Roman" w:cs="Times New Roman"/>
                <w:noProof/>
                <w:color w:val="000000"/>
                <w:sz w:val="20"/>
                <w:szCs w:val="20"/>
                <w:lang w:val="en-US"/>
              </w:rPr>
              <w:sym w:font="Times New Roman" w:char="0064"/>
            </w:r>
            <w:r w:rsidRPr="00EE14D2">
              <w:rPr>
                <w:rFonts w:ascii="Times New Roman" w:eastAsia="Times New Roman" w:hAnsi="Times New Roman" w:cs="Times New Roman"/>
                <w:noProof/>
                <w:color w:val="000000"/>
                <w:sz w:val="20"/>
                <w:szCs w:val="20"/>
                <w:lang w:val="en-US"/>
              </w:rPr>
              <w:sym w:font="Times New Roman" w:char="006F"/>
            </w:r>
            <w:r w:rsidRPr="00EE14D2">
              <w:rPr>
                <w:rFonts w:ascii="Times New Roman" w:eastAsia="Times New Roman" w:hAnsi="Times New Roman" w:cs="Times New Roman"/>
                <w:noProof/>
                <w:color w:val="000000"/>
                <w:sz w:val="20"/>
                <w:szCs w:val="20"/>
                <w:lang w:val="en-US"/>
              </w:rPr>
              <w:sym w:font="Times New Roman" w:char="0077"/>
            </w:r>
            <w:r w:rsidRPr="00EE14D2">
              <w:rPr>
                <w:rFonts w:ascii="Times New Roman" w:eastAsia="Times New Roman" w:hAnsi="Times New Roman" w:cs="Times New Roman"/>
                <w:noProof/>
                <w:color w:val="000000"/>
                <w:sz w:val="20"/>
                <w:szCs w:val="20"/>
                <w:lang w:val="en-US"/>
              </w:rPr>
              <w:sym w:font="Times New Roman" w:char="0069"/>
            </w:r>
            <w:r w:rsidRPr="00EE14D2">
              <w:rPr>
                <w:rFonts w:ascii="Times New Roman" w:eastAsia="Times New Roman" w:hAnsi="Times New Roman" w:cs="Times New Roman"/>
                <w:noProof/>
                <w:color w:val="000000"/>
                <w:sz w:val="20"/>
                <w:szCs w:val="20"/>
                <w:lang w:val="en-US"/>
              </w:rPr>
              <w:sym w:font="Times New Roman" w:char="0073"/>
            </w:r>
            <w:r w:rsidRPr="00EE14D2">
              <w:rPr>
                <w:rFonts w:ascii="Times New Roman" w:eastAsia="Times New Roman" w:hAnsi="Times New Roman" w:cs="Times New Roman"/>
                <w:noProof/>
                <w:color w:val="000000"/>
                <w:sz w:val="20"/>
                <w:szCs w:val="20"/>
                <w:lang w:val="en-US"/>
              </w:rPr>
              <w:sym w:font="Times New Roman" w:char="006B"/>
            </w:r>
            <w:r w:rsidRPr="00EE14D2">
              <w:rPr>
                <w:rFonts w:ascii="Times New Roman" w:eastAsia="Times New Roman" w:hAnsi="Times New Roman" w:cs="Times New Roman"/>
                <w:noProof/>
                <w:color w:val="000000"/>
                <w:sz w:val="20"/>
                <w:szCs w:val="20"/>
                <w:lang w:val="en-US"/>
              </w:rPr>
              <w:sym w:font="Times New Roman" w:char="006F"/>
            </w:r>
            <w:r w:rsidRPr="00EE14D2">
              <w:rPr>
                <w:rFonts w:ascii="Times New Roman" w:eastAsia="Times New Roman" w:hAnsi="Times New Roman" w:cs="Times New Roman"/>
                <w:noProof/>
                <w:color w:val="000000"/>
                <w:sz w:val="20"/>
                <w:szCs w:val="20"/>
                <w:lang w:val="en-US"/>
              </w:rPr>
              <w:sym w:font="Times New Roman" w:char="0077"/>
            </w:r>
            <w:r w:rsidRPr="00EE14D2">
              <w:rPr>
                <w:rFonts w:ascii="Times New Roman" w:eastAsia="Times New Roman" w:hAnsi="Times New Roman" w:cs="Times New Roman"/>
                <w:noProof/>
                <w:color w:val="000000"/>
                <w:sz w:val="20"/>
                <w:szCs w:val="20"/>
                <w:lang w:val="en-US"/>
              </w:rPr>
              <w:sym w:font="Times New Roman" w:char="0065"/>
            </w:r>
            <w:r w:rsidRPr="00EE14D2">
              <w:rPr>
                <w:rFonts w:ascii="Times New Roman" w:eastAsia="Times New Roman" w:hAnsi="Times New Roman" w:cs="Times New Roman"/>
                <w:noProof/>
                <w:color w:val="000000"/>
                <w:sz w:val="20"/>
                <w:szCs w:val="20"/>
                <w:lang w:val="en-US"/>
              </w:rPr>
              <w:sym w:font="Times New Roman" w:char="006A"/>
            </w:r>
            <w:r w:rsidRPr="00EE14D2">
              <w:rPr>
                <w:rFonts w:ascii="Times New Roman" w:eastAsia="Times New Roman" w:hAnsi="Times New Roman" w:cs="Times New Roman"/>
                <w:noProof/>
                <w:color w:val="000000"/>
                <w:sz w:val="20"/>
                <w:szCs w:val="20"/>
                <w:lang w:val="en-US"/>
              </w:rPr>
              <w:sym w:font="Times New Roman" w:char="0029"/>
            </w:r>
            <w:r w:rsidRPr="00EE14D2">
              <w:rPr>
                <w:rFonts w:ascii="Times New Roman" w:eastAsia="Times New Roman" w:hAnsi="Times New Roman" w:cs="Times New Roman"/>
                <w:noProof/>
                <w:color w:val="000000"/>
                <w:sz w:val="20"/>
                <w:szCs w:val="20"/>
                <w:lang w:val="en-US"/>
              </w:rPr>
              <w:sym w:font="Times New Roman" w:char="002C"/>
            </w:r>
          </w:p>
          <w:p w14:paraId="1629D567"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r w:rsidRPr="00EE14D2">
              <w:rPr>
                <w:rFonts w:ascii="Times New Roman" w:eastAsia="Times New Roman" w:hAnsi="Times New Roman" w:cs="Times New Roman"/>
                <w:noProof/>
                <w:color w:val="000000"/>
                <w:sz w:val="20"/>
                <w:szCs w:val="20"/>
              </w:rPr>
              <w:t xml:space="preserve">wzmocnienia równego dostępu do opieki zdrowotnej oraz przejścia od opieki instytucjonalnej do opieki rodzinnej i środowiskowej (inwestycje </w:t>
            </w:r>
            <w:r w:rsidRPr="00EE14D2">
              <w:rPr>
                <w:rFonts w:ascii="Times New Roman" w:eastAsia="Times New Roman" w:hAnsi="Times New Roman" w:cs="Times New Roman"/>
                <w:noProof/>
                <w:color w:val="000000"/>
                <w:sz w:val="20"/>
                <w:szCs w:val="20"/>
              </w:rPr>
              <w:lastRenderedPageBreak/>
              <w:t>w kadry i poprawa jakości kształcenia, zmiana organizacji udzielania świadczeń zdrowotnych i inwestycje infrastrukturalne).</w:t>
            </w:r>
          </w:p>
          <w:p w14:paraId="5DEC9E91" w14:textId="77777777" w:rsidR="00644235" w:rsidRPr="00EE14D2" w:rsidRDefault="00644235" w:rsidP="00644235">
            <w:pPr>
              <w:spacing w:before="100" w:after="0" w:line="240" w:lineRule="auto"/>
              <w:rPr>
                <w:rFonts w:ascii="Times New Roman" w:eastAsia="Times New Roman" w:hAnsi="Times New Roman" w:cs="Times New Roman"/>
                <w:noProof/>
                <w:color w:val="000000"/>
                <w:sz w:val="20"/>
                <w:szCs w:val="20"/>
              </w:rPr>
            </w:pPr>
          </w:p>
        </w:tc>
      </w:tr>
    </w:tbl>
    <w:p w14:paraId="01BF4BF2" w14:textId="77777777" w:rsidR="007F195B" w:rsidRDefault="007F195B"/>
    <w:sectPr w:rsidR="007F195B" w:rsidSect="0064423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E3AAE7C">
      <w:start w:val="1"/>
      <w:numFmt w:val="bullet"/>
      <w:lvlText w:val=""/>
      <w:lvlJc w:val="left"/>
      <w:pPr>
        <w:ind w:left="720" w:hanging="360"/>
      </w:pPr>
      <w:rPr>
        <w:rFonts w:ascii="Symbol" w:hAnsi="Symbol"/>
      </w:rPr>
    </w:lvl>
    <w:lvl w:ilvl="1" w:tplc="6E3095FA">
      <w:start w:val="1"/>
      <w:numFmt w:val="bullet"/>
      <w:lvlText w:val="o"/>
      <w:lvlJc w:val="left"/>
      <w:pPr>
        <w:tabs>
          <w:tab w:val="num" w:pos="1440"/>
        </w:tabs>
        <w:ind w:left="1440" w:hanging="360"/>
      </w:pPr>
      <w:rPr>
        <w:rFonts w:ascii="Courier New" w:hAnsi="Courier New"/>
      </w:rPr>
    </w:lvl>
    <w:lvl w:ilvl="2" w:tplc="37869430">
      <w:start w:val="1"/>
      <w:numFmt w:val="bullet"/>
      <w:lvlText w:val=""/>
      <w:lvlJc w:val="left"/>
      <w:pPr>
        <w:tabs>
          <w:tab w:val="num" w:pos="2160"/>
        </w:tabs>
        <w:ind w:left="2160" w:hanging="360"/>
      </w:pPr>
      <w:rPr>
        <w:rFonts w:ascii="Wingdings" w:hAnsi="Wingdings"/>
      </w:rPr>
    </w:lvl>
    <w:lvl w:ilvl="3" w:tplc="7DA6BCE8">
      <w:start w:val="1"/>
      <w:numFmt w:val="bullet"/>
      <w:lvlText w:val=""/>
      <w:lvlJc w:val="left"/>
      <w:pPr>
        <w:tabs>
          <w:tab w:val="num" w:pos="2880"/>
        </w:tabs>
        <w:ind w:left="2880" w:hanging="360"/>
      </w:pPr>
      <w:rPr>
        <w:rFonts w:ascii="Symbol" w:hAnsi="Symbol"/>
      </w:rPr>
    </w:lvl>
    <w:lvl w:ilvl="4" w:tplc="A7B2EEB2">
      <w:start w:val="1"/>
      <w:numFmt w:val="bullet"/>
      <w:lvlText w:val="o"/>
      <w:lvlJc w:val="left"/>
      <w:pPr>
        <w:tabs>
          <w:tab w:val="num" w:pos="3600"/>
        </w:tabs>
        <w:ind w:left="3600" w:hanging="360"/>
      </w:pPr>
      <w:rPr>
        <w:rFonts w:ascii="Courier New" w:hAnsi="Courier New"/>
      </w:rPr>
    </w:lvl>
    <w:lvl w:ilvl="5" w:tplc="C6D2030C">
      <w:start w:val="1"/>
      <w:numFmt w:val="bullet"/>
      <w:lvlText w:val=""/>
      <w:lvlJc w:val="left"/>
      <w:pPr>
        <w:tabs>
          <w:tab w:val="num" w:pos="4320"/>
        </w:tabs>
        <w:ind w:left="4320" w:hanging="360"/>
      </w:pPr>
      <w:rPr>
        <w:rFonts w:ascii="Wingdings" w:hAnsi="Wingdings"/>
      </w:rPr>
    </w:lvl>
    <w:lvl w:ilvl="6" w:tplc="62F0F7BA">
      <w:start w:val="1"/>
      <w:numFmt w:val="bullet"/>
      <w:lvlText w:val=""/>
      <w:lvlJc w:val="left"/>
      <w:pPr>
        <w:tabs>
          <w:tab w:val="num" w:pos="5040"/>
        </w:tabs>
        <w:ind w:left="5040" w:hanging="360"/>
      </w:pPr>
      <w:rPr>
        <w:rFonts w:ascii="Symbol" w:hAnsi="Symbol"/>
      </w:rPr>
    </w:lvl>
    <w:lvl w:ilvl="7" w:tplc="3D02FC5A">
      <w:start w:val="1"/>
      <w:numFmt w:val="bullet"/>
      <w:lvlText w:val="o"/>
      <w:lvlJc w:val="left"/>
      <w:pPr>
        <w:tabs>
          <w:tab w:val="num" w:pos="5760"/>
        </w:tabs>
        <w:ind w:left="5760" w:hanging="360"/>
      </w:pPr>
      <w:rPr>
        <w:rFonts w:ascii="Courier New" w:hAnsi="Courier New"/>
      </w:rPr>
    </w:lvl>
    <w:lvl w:ilvl="8" w:tplc="A748DF50">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750CCE50">
      <w:start w:val="1"/>
      <w:numFmt w:val="bullet"/>
      <w:lvlText w:val=""/>
      <w:lvlJc w:val="left"/>
      <w:pPr>
        <w:ind w:left="720" w:hanging="360"/>
      </w:pPr>
      <w:rPr>
        <w:rFonts w:ascii="Symbol" w:hAnsi="Symbol"/>
      </w:rPr>
    </w:lvl>
    <w:lvl w:ilvl="1" w:tplc="8E64F6D0">
      <w:start w:val="1"/>
      <w:numFmt w:val="bullet"/>
      <w:lvlText w:val="o"/>
      <w:lvlJc w:val="left"/>
      <w:pPr>
        <w:tabs>
          <w:tab w:val="num" w:pos="1440"/>
        </w:tabs>
        <w:ind w:left="1440" w:hanging="360"/>
      </w:pPr>
      <w:rPr>
        <w:rFonts w:ascii="Courier New" w:hAnsi="Courier New"/>
      </w:rPr>
    </w:lvl>
    <w:lvl w:ilvl="2" w:tplc="3648FB18">
      <w:start w:val="1"/>
      <w:numFmt w:val="bullet"/>
      <w:lvlText w:val=""/>
      <w:lvlJc w:val="left"/>
      <w:pPr>
        <w:tabs>
          <w:tab w:val="num" w:pos="2160"/>
        </w:tabs>
        <w:ind w:left="2160" w:hanging="360"/>
      </w:pPr>
      <w:rPr>
        <w:rFonts w:ascii="Wingdings" w:hAnsi="Wingdings"/>
      </w:rPr>
    </w:lvl>
    <w:lvl w:ilvl="3" w:tplc="8CBEF62A">
      <w:start w:val="1"/>
      <w:numFmt w:val="bullet"/>
      <w:lvlText w:val=""/>
      <w:lvlJc w:val="left"/>
      <w:pPr>
        <w:tabs>
          <w:tab w:val="num" w:pos="2880"/>
        </w:tabs>
        <w:ind w:left="2880" w:hanging="360"/>
      </w:pPr>
      <w:rPr>
        <w:rFonts w:ascii="Symbol" w:hAnsi="Symbol"/>
      </w:rPr>
    </w:lvl>
    <w:lvl w:ilvl="4" w:tplc="504CE034">
      <w:start w:val="1"/>
      <w:numFmt w:val="bullet"/>
      <w:lvlText w:val="o"/>
      <w:lvlJc w:val="left"/>
      <w:pPr>
        <w:tabs>
          <w:tab w:val="num" w:pos="3600"/>
        </w:tabs>
        <w:ind w:left="3600" w:hanging="360"/>
      </w:pPr>
      <w:rPr>
        <w:rFonts w:ascii="Courier New" w:hAnsi="Courier New"/>
      </w:rPr>
    </w:lvl>
    <w:lvl w:ilvl="5" w:tplc="D5EC4E36">
      <w:start w:val="1"/>
      <w:numFmt w:val="bullet"/>
      <w:lvlText w:val=""/>
      <w:lvlJc w:val="left"/>
      <w:pPr>
        <w:tabs>
          <w:tab w:val="num" w:pos="4320"/>
        </w:tabs>
        <w:ind w:left="4320" w:hanging="360"/>
      </w:pPr>
      <w:rPr>
        <w:rFonts w:ascii="Wingdings" w:hAnsi="Wingdings"/>
      </w:rPr>
    </w:lvl>
    <w:lvl w:ilvl="6" w:tplc="0412878A">
      <w:start w:val="1"/>
      <w:numFmt w:val="bullet"/>
      <w:lvlText w:val=""/>
      <w:lvlJc w:val="left"/>
      <w:pPr>
        <w:tabs>
          <w:tab w:val="num" w:pos="5040"/>
        </w:tabs>
        <w:ind w:left="5040" w:hanging="360"/>
      </w:pPr>
      <w:rPr>
        <w:rFonts w:ascii="Symbol" w:hAnsi="Symbol"/>
      </w:rPr>
    </w:lvl>
    <w:lvl w:ilvl="7" w:tplc="37ECE800">
      <w:start w:val="1"/>
      <w:numFmt w:val="bullet"/>
      <w:lvlText w:val="o"/>
      <w:lvlJc w:val="left"/>
      <w:pPr>
        <w:tabs>
          <w:tab w:val="num" w:pos="5760"/>
        </w:tabs>
        <w:ind w:left="5760" w:hanging="360"/>
      </w:pPr>
      <w:rPr>
        <w:rFonts w:ascii="Courier New" w:hAnsi="Courier New"/>
      </w:rPr>
    </w:lvl>
    <w:lvl w:ilvl="8" w:tplc="0726AC14">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0D4AB5C">
      <w:start w:val="1"/>
      <w:numFmt w:val="bullet"/>
      <w:lvlText w:val=""/>
      <w:lvlJc w:val="left"/>
      <w:pPr>
        <w:ind w:left="720" w:hanging="360"/>
      </w:pPr>
      <w:rPr>
        <w:rFonts w:ascii="Symbol" w:hAnsi="Symbol"/>
      </w:rPr>
    </w:lvl>
    <w:lvl w:ilvl="1" w:tplc="5BBCACB2">
      <w:start w:val="1"/>
      <w:numFmt w:val="bullet"/>
      <w:lvlText w:val="o"/>
      <w:lvlJc w:val="left"/>
      <w:pPr>
        <w:tabs>
          <w:tab w:val="num" w:pos="1440"/>
        </w:tabs>
        <w:ind w:left="1440" w:hanging="360"/>
      </w:pPr>
      <w:rPr>
        <w:rFonts w:ascii="Courier New" w:hAnsi="Courier New"/>
      </w:rPr>
    </w:lvl>
    <w:lvl w:ilvl="2" w:tplc="C6C27752">
      <w:start w:val="1"/>
      <w:numFmt w:val="bullet"/>
      <w:lvlText w:val=""/>
      <w:lvlJc w:val="left"/>
      <w:pPr>
        <w:tabs>
          <w:tab w:val="num" w:pos="2160"/>
        </w:tabs>
        <w:ind w:left="2160" w:hanging="360"/>
      </w:pPr>
      <w:rPr>
        <w:rFonts w:ascii="Wingdings" w:hAnsi="Wingdings"/>
      </w:rPr>
    </w:lvl>
    <w:lvl w:ilvl="3" w:tplc="28CEBED8">
      <w:start w:val="1"/>
      <w:numFmt w:val="bullet"/>
      <w:lvlText w:val=""/>
      <w:lvlJc w:val="left"/>
      <w:pPr>
        <w:tabs>
          <w:tab w:val="num" w:pos="2880"/>
        </w:tabs>
        <w:ind w:left="2880" w:hanging="360"/>
      </w:pPr>
      <w:rPr>
        <w:rFonts w:ascii="Symbol" w:hAnsi="Symbol"/>
      </w:rPr>
    </w:lvl>
    <w:lvl w:ilvl="4" w:tplc="132A8B4A">
      <w:start w:val="1"/>
      <w:numFmt w:val="bullet"/>
      <w:lvlText w:val="o"/>
      <w:lvlJc w:val="left"/>
      <w:pPr>
        <w:tabs>
          <w:tab w:val="num" w:pos="3600"/>
        </w:tabs>
        <w:ind w:left="3600" w:hanging="360"/>
      </w:pPr>
      <w:rPr>
        <w:rFonts w:ascii="Courier New" w:hAnsi="Courier New"/>
      </w:rPr>
    </w:lvl>
    <w:lvl w:ilvl="5" w:tplc="0E38C934">
      <w:start w:val="1"/>
      <w:numFmt w:val="bullet"/>
      <w:lvlText w:val=""/>
      <w:lvlJc w:val="left"/>
      <w:pPr>
        <w:tabs>
          <w:tab w:val="num" w:pos="4320"/>
        </w:tabs>
        <w:ind w:left="4320" w:hanging="360"/>
      </w:pPr>
      <w:rPr>
        <w:rFonts w:ascii="Wingdings" w:hAnsi="Wingdings"/>
      </w:rPr>
    </w:lvl>
    <w:lvl w:ilvl="6" w:tplc="6B12F0AA">
      <w:start w:val="1"/>
      <w:numFmt w:val="bullet"/>
      <w:lvlText w:val=""/>
      <w:lvlJc w:val="left"/>
      <w:pPr>
        <w:tabs>
          <w:tab w:val="num" w:pos="5040"/>
        </w:tabs>
        <w:ind w:left="5040" w:hanging="360"/>
      </w:pPr>
      <w:rPr>
        <w:rFonts w:ascii="Symbol" w:hAnsi="Symbol"/>
      </w:rPr>
    </w:lvl>
    <w:lvl w:ilvl="7" w:tplc="67129FF4">
      <w:start w:val="1"/>
      <w:numFmt w:val="bullet"/>
      <w:lvlText w:val="o"/>
      <w:lvlJc w:val="left"/>
      <w:pPr>
        <w:tabs>
          <w:tab w:val="num" w:pos="5760"/>
        </w:tabs>
        <w:ind w:left="5760" w:hanging="360"/>
      </w:pPr>
      <w:rPr>
        <w:rFonts w:ascii="Courier New" w:hAnsi="Courier New"/>
      </w:rPr>
    </w:lvl>
    <w:lvl w:ilvl="8" w:tplc="CA9AEFAA">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C6C4F9E">
      <w:start w:val="1"/>
      <w:numFmt w:val="bullet"/>
      <w:lvlText w:val=""/>
      <w:lvlJc w:val="left"/>
      <w:pPr>
        <w:ind w:left="720" w:hanging="360"/>
      </w:pPr>
      <w:rPr>
        <w:rFonts w:ascii="Symbol" w:hAnsi="Symbol"/>
      </w:rPr>
    </w:lvl>
    <w:lvl w:ilvl="1" w:tplc="E3B0851E">
      <w:start w:val="1"/>
      <w:numFmt w:val="bullet"/>
      <w:lvlText w:val="o"/>
      <w:lvlJc w:val="left"/>
      <w:pPr>
        <w:tabs>
          <w:tab w:val="num" w:pos="1440"/>
        </w:tabs>
        <w:ind w:left="1440" w:hanging="360"/>
      </w:pPr>
      <w:rPr>
        <w:rFonts w:ascii="Courier New" w:hAnsi="Courier New"/>
      </w:rPr>
    </w:lvl>
    <w:lvl w:ilvl="2" w:tplc="32545226">
      <w:start w:val="1"/>
      <w:numFmt w:val="bullet"/>
      <w:lvlText w:val=""/>
      <w:lvlJc w:val="left"/>
      <w:pPr>
        <w:tabs>
          <w:tab w:val="num" w:pos="2160"/>
        </w:tabs>
        <w:ind w:left="2160" w:hanging="360"/>
      </w:pPr>
      <w:rPr>
        <w:rFonts w:ascii="Wingdings" w:hAnsi="Wingdings"/>
      </w:rPr>
    </w:lvl>
    <w:lvl w:ilvl="3" w:tplc="124AEEA6">
      <w:start w:val="1"/>
      <w:numFmt w:val="bullet"/>
      <w:lvlText w:val=""/>
      <w:lvlJc w:val="left"/>
      <w:pPr>
        <w:tabs>
          <w:tab w:val="num" w:pos="2880"/>
        </w:tabs>
        <w:ind w:left="2880" w:hanging="360"/>
      </w:pPr>
      <w:rPr>
        <w:rFonts w:ascii="Symbol" w:hAnsi="Symbol"/>
      </w:rPr>
    </w:lvl>
    <w:lvl w:ilvl="4" w:tplc="EA78C03C">
      <w:start w:val="1"/>
      <w:numFmt w:val="bullet"/>
      <w:lvlText w:val="o"/>
      <w:lvlJc w:val="left"/>
      <w:pPr>
        <w:tabs>
          <w:tab w:val="num" w:pos="3600"/>
        </w:tabs>
        <w:ind w:left="3600" w:hanging="360"/>
      </w:pPr>
      <w:rPr>
        <w:rFonts w:ascii="Courier New" w:hAnsi="Courier New"/>
      </w:rPr>
    </w:lvl>
    <w:lvl w:ilvl="5" w:tplc="3E280856">
      <w:start w:val="1"/>
      <w:numFmt w:val="bullet"/>
      <w:lvlText w:val=""/>
      <w:lvlJc w:val="left"/>
      <w:pPr>
        <w:tabs>
          <w:tab w:val="num" w:pos="4320"/>
        </w:tabs>
        <w:ind w:left="4320" w:hanging="360"/>
      </w:pPr>
      <w:rPr>
        <w:rFonts w:ascii="Wingdings" w:hAnsi="Wingdings"/>
      </w:rPr>
    </w:lvl>
    <w:lvl w:ilvl="6" w:tplc="3D22A8D0">
      <w:start w:val="1"/>
      <w:numFmt w:val="bullet"/>
      <w:lvlText w:val=""/>
      <w:lvlJc w:val="left"/>
      <w:pPr>
        <w:tabs>
          <w:tab w:val="num" w:pos="5040"/>
        </w:tabs>
        <w:ind w:left="5040" w:hanging="360"/>
      </w:pPr>
      <w:rPr>
        <w:rFonts w:ascii="Symbol" w:hAnsi="Symbol"/>
      </w:rPr>
    </w:lvl>
    <w:lvl w:ilvl="7" w:tplc="A0267520">
      <w:start w:val="1"/>
      <w:numFmt w:val="bullet"/>
      <w:lvlText w:val="o"/>
      <w:lvlJc w:val="left"/>
      <w:pPr>
        <w:tabs>
          <w:tab w:val="num" w:pos="5760"/>
        </w:tabs>
        <w:ind w:left="5760" w:hanging="360"/>
      </w:pPr>
      <w:rPr>
        <w:rFonts w:ascii="Courier New" w:hAnsi="Courier New"/>
      </w:rPr>
    </w:lvl>
    <w:lvl w:ilvl="8" w:tplc="D4648216">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5AC46AF4">
      <w:start w:val="1"/>
      <w:numFmt w:val="bullet"/>
      <w:lvlText w:val=""/>
      <w:lvlJc w:val="left"/>
      <w:pPr>
        <w:ind w:left="720" w:hanging="360"/>
      </w:pPr>
      <w:rPr>
        <w:rFonts w:ascii="Symbol" w:hAnsi="Symbol"/>
      </w:rPr>
    </w:lvl>
    <w:lvl w:ilvl="1" w:tplc="93F25098">
      <w:start w:val="1"/>
      <w:numFmt w:val="bullet"/>
      <w:lvlText w:val="o"/>
      <w:lvlJc w:val="left"/>
      <w:pPr>
        <w:tabs>
          <w:tab w:val="num" w:pos="1440"/>
        </w:tabs>
        <w:ind w:left="1440" w:hanging="360"/>
      </w:pPr>
      <w:rPr>
        <w:rFonts w:ascii="Courier New" w:hAnsi="Courier New"/>
      </w:rPr>
    </w:lvl>
    <w:lvl w:ilvl="2" w:tplc="3746FB8A">
      <w:start w:val="1"/>
      <w:numFmt w:val="bullet"/>
      <w:lvlText w:val=""/>
      <w:lvlJc w:val="left"/>
      <w:pPr>
        <w:tabs>
          <w:tab w:val="num" w:pos="2160"/>
        </w:tabs>
        <w:ind w:left="2160" w:hanging="360"/>
      </w:pPr>
      <w:rPr>
        <w:rFonts w:ascii="Wingdings" w:hAnsi="Wingdings"/>
      </w:rPr>
    </w:lvl>
    <w:lvl w:ilvl="3" w:tplc="A5CE4D44">
      <w:start w:val="1"/>
      <w:numFmt w:val="bullet"/>
      <w:lvlText w:val=""/>
      <w:lvlJc w:val="left"/>
      <w:pPr>
        <w:tabs>
          <w:tab w:val="num" w:pos="2880"/>
        </w:tabs>
        <w:ind w:left="2880" w:hanging="360"/>
      </w:pPr>
      <w:rPr>
        <w:rFonts w:ascii="Symbol" w:hAnsi="Symbol"/>
      </w:rPr>
    </w:lvl>
    <w:lvl w:ilvl="4" w:tplc="AB600A7E">
      <w:start w:val="1"/>
      <w:numFmt w:val="bullet"/>
      <w:lvlText w:val="o"/>
      <w:lvlJc w:val="left"/>
      <w:pPr>
        <w:tabs>
          <w:tab w:val="num" w:pos="3600"/>
        </w:tabs>
        <w:ind w:left="3600" w:hanging="360"/>
      </w:pPr>
      <w:rPr>
        <w:rFonts w:ascii="Courier New" w:hAnsi="Courier New"/>
      </w:rPr>
    </w:lvl>
    <w:lvl w:ilvl="5" w:tplc="D31A28CA">
      <w:start w:val="1"/>
      <w:numFmt w:val="bullet"/>
      <w:lvlText w:val=""/>
      <w:lvlJc w:val="left"/>
      <w:pPr>
        <w:tabs>
          <w:tab w:val="num" w:pos="4320"/>
        </w:tabs>
        <w:ind w:left="4320" w:hanging="360"/>
      </w:pPr>
      <w:rPr>
        <w:rFonts w:ascii="Wingdings" w:hAnsi="Wingdings"/>
      </w:rPr>
    </w:lvl>
    <w:lvl w:ilvl="6" w:tplc="4C48DF58">
      <w:start w:val="1"/>
      <w:numFmt w:val="bullet"/>
      <w:lvlText w:val=""/>
      <w:lvlJc w:val="left"/>
      <w:pPr>
        <w:tabs>
          <w:tab w:val="num" w:pos="5040"/>
        </w:tabs>
        <w:ind w:left="5040" w:hanging="360"/>
      </w:pPr>
      <w:rPr>
        <w:rFonts w:ascii="Symbol" w:hAnsi="Symbol"/>
      </w:rPr>
    </w:lvl>
    <w:lvl w:ilvl="7" w:tplc="AE70B5B6">
      <w:start w:val="1"/>
      <w:numFmt w:val="bullet"/>
      <w:lvlText w:val="o"/>
      <w:lvlJc w:val="left"/>
      <w:pPr>
        <w:tabs>
          <w:tab w:val="num" w:pos="5760"/>
        </w:tabs>
        <w:ind w:left="5760" w:hanging="360"/>
      </w:pPr>
      <w:rPr>
        <w:rFonts w:ascii="Courier New" w:hAnsi="Courier New"/>
      </w:rPr>
    </w:lvl>
    <w:lvl w:ilvl="8" w:tplc="880821F4">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F85C664C">
      <w:start w:val="1"/>
      <w:numFmt w:val="bullet"/>
      <w:lvlText w:val=""/>
      <w:lvlJc w:val="left"/>
      <w:pPr>
        <w:ind w:left="720" w:hanging="360"/>
      </w:pPr>
      <w:rPr>
        <w:rFonts w:ascii="Symbol" w:hAnsi="Symbol"/>
      </w:rPr>
    </w:lvl>
    <w:lvl w:ilvl="1" w:tplc="CA8AAF3E">
      <w:start w:val="1"/>
      <w:numFmt w:val="bullet"/>
      <w:lvlText w:val="o"/>
      <w:lvlJc w:val="left"/>
      <w:pPr>
        <w:tabs>
          <w:tab w:val="num" w:pos="1440"/>
        </w:tabs>
        <w:ind w:left="1440" w:hanging="360"/>
      </w:pPr>
      <w:rPr>
        <w:rFonts w:ascii="Courier New" w:hAnsi="Courier New"/>
      </w:rPr>
    </w:lvl>
    <w:lvl w:ilvl="2" w:tplc="616006C0">
      <w:start w:val="1"/>
      <w:numFmt w:val="bullet"/>
      <w:lvlText w:val=""/>
      <w:lvlJc w:val="left"/>
      <w:pPr>
        <w:tabs>
          <w:tab w:val="num" w:pos="2160"/>
        </w:tabs>
        <w:ind w:left="2160" w:hanging="360"/>
      </w:pPr>
      <w:rPr>
        <w:rFonts w:ascii="Wingdings" w:hAnsi="Wingdings"/>
      </w:rPr>
    </w:lvl>
    <w:lvl w:ilvl="3" w:tplc="49525C6E">
      <w:start w:val="1"/>
      <w:numFmt w:val="bullet"/>
      <w:lvlText w:val=""/>
      <w:lvlJc w:val="left"/>
      <w:pPr>
        <w:tabs>
          <w:tab w:val="num" w:pos="2880"/>
        </w:tabs>
        <w:ind w:left="2880" w:hanging="360"/>
      </w:pPr>
      <w:rPr>
        <w:rFonts w:ascii="Symbol" w:hAnsi="Symbol"/>
      </w:rPr>
    </w:lvl>
    <w:lvl w:ilvl="4" w:tplc="71404112">
      <w:start w:val="1"/>
      <w:numFmt w:val="bullet"/>
      <w:lvlText w:val="o"/>
      <w:lvlJc w:val="left"/>
      <w:pPr>
        <w:tabs>
          <w:tab w:val="num" w:pos="3600"/>
        </w:tabs>
        <w:ind w:left="3600" w:hanging="360"/>
      </w:pPr>
      <w:rPr>
        <w:rFonts w:ascii="Courier New" w:hAnsi="Courier New"/>
      </w:rPr>
    </w:lvl>
    <w:lvl w:ilvl="5" w:tplc="A4A24324">
      <w:start w:val="1"/>
      <w:numFmt w:val="bullet"/>
      <w:lvlText w:val=""/>
      <w:lvlJc w:val="left"/>
      <w:pPr>
        <w:tabs>
          <w:tab w:val="num" w:pos="4320"/>
        </w:tabs>
        <w:ind w:left="4320" w:hanging="360"/>
      </w:pPr>
      <w:rPr>
        <w:rFonts w:ascii="Wingdings" w:hAnsi="Wingdings"/>
      </w:rPr>
    </w:lvl>
    <w:lvl w:ilvl="6" w:tplc="28AEF534">
      <w:start w:val="1"/>
      <w:numFmt w:val="bullet"/>
      <w:lvlText w:val=""/>
      <w:lvlJc w:val="left"/>
      <w:pPr>
        <w:tabs>
          <w:tab w:val="num" w:pos="5040"/>
        </w:tabs>
        <w:ind w:left="5040" w:hanging="360"/>
      </w:pPr>
      <w:rPr>
        <w:rFonts w:ascii="Symbol" w:hAnsi="Symbol"/>
      </w:rPr>
    </w:lvl>
    <w:lvl w:ilvl="7" w:tplc="62D03BE6">
      <w:start w:val="1"/>
      <w:numFmt w:val="bullet"/>
      <w:lvlText w:val="o"/>
      <w:lvlJc w:val="left"/>
      <w:pPr>
        <w:tabs>
          <w:tab w:val="num" w:pos="5760"/>
        </w:tabs>
        <w:ind w:left="5760" w:hanging="360"/>
      </w:pPr>
      <w:rPr>
        <w:rFonts w:ascii="Courier New" w:hAnsi="Courier New"/>
      </w:rPr>
    </w:lvl>
    <w:lvl w:ilvl="8" w:tplc="4F26C86E">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11006A72">
      <w:start w:val="1"/>
      <w:numFmt w:val="bullet"/>
      <w:lvlText w:val=""/>
      <w:lvlJc w:val="left"/>
      <w:pPr>
        <w:ind w:left="720" w:hanging="360"/>
      </w:pPr>
      <w:rPr>
        <w:rFonts w:ascii="Symbol" w:hAnsi="Symbol"/>
      </w:rPr>
    </w:lvl>
    <w:lvl w:ilvl="1" w:tplc="102005CE">
      <w:start w:val="1"/>
      <w:numFmt w:val="bullet"/>
      <w:lvlText w:val="o"/>
      <w:lvlJc w:val="left"/>
      <w:pPr>
        <w:tabs>
          <w:tab w:val="num" w:pos="1440"/>
        </w:tabs>
        <w:ind w:left="1440" w:hanging="360"/>
      </w:pPr>
      <w:rPr>
        <w:rFonts w:ascii="Courier New" w:hAnsi="Courier New"/>
      </w:rPr>
    </w:lvl>
    <w:lvl w:ilvl="2" w:tplc="F79829EC">
      <w:start w:val="1"/>
      <w:numFmt w:val="bullet"/>
      <w:lvlText w:val=""/>
      <w:lvlJc w:val="left"/>
      <w:pPr>
        <w:tabs>
          <w:tab w:val="num" w:pos="2160"/>
        </w:tabs>
        <w:ind w:left="2160" w:hanging="360"/>
      </w:pPr>
      <w:rPr>
        <w:rFonts w:ascii="Wingdings" w:hAnsi="Wingdings"/>
      </w:rPr>
    </w:lvl>
    <w:lvl w:ilvl="3" w:tplc="AD38D932">
      <w:start w:val="1"/>
      <w:numFmt w:val="bullet"/>
      <w:lvlText w:val=""/>
      <w:lvlJc w:val="left"/>
      <w:pPr>
        <w:tabs>
          <w:tab w:val="num" w:pos="2880"/>
        </w:tabs>
        <w:ind w:left="2880" w:hanging="360"/>
      </w:pPr>
      <w:rPr>
        <w:rFonts w:ascii="Symbol" w:hAnsi="Symbol"/>
      </w:rPr>
    </w:lvl>
    <w:lvl w:ilvl="4" w:tplc="EB189B12">
      <w:start w:val="1"/>
      <w:numFmt w:val="bullet"/>
      <w:lvlText w:val="o"/>
      <w:lvlJc w:val="left"/>
      <w:pPr>
        <w:tabs>
          <w:tab w:val="num" w:pos="3600"/>
        </w:tabs>
        <w:ind w:left="3600" w:hanging="360"/>
      </w:pPr>
      <w:rPr>
        <w:rFonts w:ascii="Courier New" w:hAnsi="Courier New"/>
      </w:rPr>
    </w:lvl>
    <w:lvl w:ilvl="5" w:tplc="709214EC">
      <w:start w:val="1"/>
      <w:numFmt w:val="bullet"/>
      <w:lvlText w:val=""/>
      <w:lvlJc w:val="left"/>
      <w:pPr>
        <w:tabs>
          <w:tab w:val="num" w:pos="4320"/>
        </w:tabs>
        <w:ind w:left="4320" w:hanging="360"/>
      </w:pPr>
      <w:rPr>
        <w:rFonts w:ascii="Wingdings" w:hAnsi="Wingdings"/>
      </w:rPr>
    </w:lvl>
    <w:lvl w:ilvl="6" w:tplc="2740409E">
      <w:start w:val="1"/>
      <w:numFmt w:val="bullet"/>
      <w:lvlText w:val=""/>
      <w:lvlJc w:val="left"/>
      <w:pPr>
        <w:tabs>
          <w:tab w:val="num" w:pos="5040"/>
        </w:tabs>
        <w:ind w:left="5040" w:hanging="360"/>
      </w:pPr>
      <w:rPr>
        <w:rFonts w:ascii="Symbol" w:hAnsi="Symbol"/>
      </w:rPr>
    </w:lvl>
    <w:lvl w:ilvl="7" w:tplc="49747790">
      <w:start w:val="1"/>
      <w:numFmt w:val="bullet"/>
      <w:lvlText w:val="o"/>
      <w:lvlJc w:val="left"/>
      <w:pPr>
        <w:tabs>
          <w:tab w:val="num" w:pos="5760"/>
        </w:tabs>
        <w:ind w:left="5760" w:hanging="360"/>
      </w:pPr>
      <w:rPr>
        <w:rFonts w:ascii="Courier New" w:hAnsi="Courier New"/>
      </w:rPr>
    </w:lvl>
    <w:lvl w:ilvl="8" w:tplc="3ACACB42">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E4981954">
      <w:start w:val="1"/>
      <w:numFmt w:val="bullet"/>
      <w:lvlText w:val=""/>
      <w:lvlJc w:val="left"/>
      <w:pPr>
        <w:ind w:left="720" w:hanging="360"/>
      </w:pPr>
      <w:rPr>
        <w:rFonts w:ascii="Symbol" w:hAnsi="Symbol"/>
      </w:rPr>
    </w:lvl>
    <w:lvl w:ilvl="1" w:tplc="0AF00D6E">
      <w:start w:val="1"/>
      <w:numFmt w:val="bullet"/>
      <w:lvlText w:val="o"/>
      <w:lvlJc w:val="left"/>
      <w:pPr>
        <w:tabs>
          <w:tab w:val="num" w:pos="1440"/>
        </w:tabs>
        <w:ind w:left="1440" w:hanging="360"/>
      </w:pPr>
      <w:rPr>
        <w:rFonts w:ascii="Courier New" w:hAnsi="Courier New"/>
      </w:rPr>
    </w:lvl>
    <w:lvl w:ilvl="2" w:tplc="B2120B5E">
      <w:start w:val="1"/>
      <w:numFmt w:val="bullet"/>
      <w:lvlText w:val=""/>
      <w:lvlJc w:val="left"/>
      <w:pPr>
        <w:tabs>
          <w:tab w:val="num" w:pos="2160"/>
        </w:tabs>
        <w:ind w:left="2160" w:hanging="360"/>
      </w:pPr>
      <w:rPr>
        <w:rFonts w:ascii="Wingdings" w:hAnsi="Wingdings"/>
      </w:rPr>
    </w:lvl>
    <w:lvl w:ilvl="3" w:tplc="77683BBA">
      <w:start w:val="1"/>
      <w:numFmt w:val="bullet"/>
      <w:lvlText w:val=""/>
      <w:lvlJc w:val="left"/>
      <w:pPr>
        <w:tabs>
          <w:tab w:val="num" w:pos="2880"/>
        </w:tabs>
        <w:ind w:left="2880" w:hanging="360"/>
      </w:pPr>
      <w:rPr>
        <w:rFonts w:ascii="Symbol" w:hAnsi="Symbol"/>
      </w:rPr>
    </w:lvl>
    <w:lvl w:ilvl="4" w:tplc="D8F02876">
      <w:start w:val="1"/>
      <w:numFmt w:val="bullet"/>
      <w:lvlText w:val="o"/>
      <w:lvlJc w:val="left"/>
      <w:pPr>
        <w:tabs>
          <w:tab w:val="num" w:pos="3600"/>
        </w:tabs>
        <w:ind w:left="3600" w:hanging="360"/>
      </w:pPr>
      <w:rPr>
        <w:rFonts w:ascii="Courier New" w:hAnsi="Courier New"/>
      </w:rPr>
    </w:lvl>
    <w:lvl w:ilvl="5" w:tplc="AC60695E">
      <w:start w:val="1"/>
      <w:numFmt w:val="bullet"/>
      <w:lvlText w:val=""/>
      <w:lvlJc w:val="left"/>
      <w:pPr>
        <w:tabs>
          <w:tab w:val="num" w:pos="4320"/>
        </w:tabs>
        <w:ind w:left="4320" w:hanging="360"/>
      </w:pPr>
      <w:rPr>
        <w:rFonts w:ascii="Wingdings" w:hAnsi="Wingdings"/>
      </w:rPr>
    </w:lvl>
    <w:lvl w:ilvl="6" w:tplc="C0C041F2">
      <w:start w:val="1"/>
      <w:numFmt w:val="bullet"/>
      <w:lvlText w:val=""/>
      <w:lvlJc w:val="left"/>
      <w:pPr>
        <w:tabs>
          <w:tab w:val="num" w:pos="5040"/>
        </w:tabs>
        <w:ind w:left="5040" w:hanging="360"/>
      </w:pPr>
      <w:rPr>
        <w:rFonts w:ascii="Symbol" w:hAnsi="Symbol"/>
      </w:rPr>
    </w:lvl>
    <w:lvl w:ilvl="7" w:tplc="6CC896DC">
      <w:start w:val="1"/>
      <w:numFmt w:val="bullet"/>
      <w:lvlText w:val="o"/>
      <w:lvlJc w:val="left"/>
      <w:pPr>
        <w:tabs>
          <w:tab w:val="num" w:pos="5760"/>
        </w:tabs>
        <w:ind w:left="5760" w:hanging="360"/>
      </w:pPr>
      <w:rPr>
        <w:rFonts w:ascii="Courier New" w:hAnsi="Courier New"/>
      </w:rPr>
    </w:lvl>
    <w:lvl w:ilvl="8" w:tplc="DD708B80">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8402C126">
      <w:start w:val="1"/>
      <w:numFmt w:val="bullet"/>
      <w:lvlText w:val=""/>
      <w:lvlJc w:val="left"/>
      <w:pPr>
        <w:ind w:left="720" w:hanging="360"/>
      </w:pPr>
      <w:rPr>
        <w:rFonts w:ascii="Symbol" w:hAnsi="Symbol"/>
      </w:rPr>
    </w:lvl>
    <w:lvl w:ilvl="1" w:tplc="5896F262">
      <w:start w:val="1"/>
      <w:numFmt w:val="bullet"/>
      <w:lvlText w:val="o"/>
      <w:lvlJc w:val="left"/>
      <w:pPr>
        <w:tabs>
          <w:tab w:val="num" w:pos="1440"/>
        </w:tabs>
        <w:ind w:left="1440" w:hanging="360"/>
      </w:pPr>
      <w:rPr>
        <w:rFonts w:ascii="Courier New" w:hAnsi="Courier New"/>
      </w:rPr>
    </w:lvl>
    <w:lvl w:ilvl="2" w:tplc="47EA729A">
      <w:start w:val="1"/>
      <w:numFmt w:val="bullet"/>
      <w:lvlText w:val=""/>
      <w:lvlJc w:val="left"/>
      <w:pPr>
        <w:tabs>
          <w:tab w:val="num" w:pos="2160"/>
        </w:tabs>
        <w:ind w:left="2160" w:hanging="360"/>
      </w:pPr>
      <w:rPr>
        <w:rFonts w:ascii="Wingdings" w:hAnsi="Wingdings"/>
      </w:rPr>
    </w:lvl>
    <w:lvl w:ilvl="3" w:tplc="04CC3E60">
      <w:start w:val="1"/>
      <w:numFmt w:val="bullet"/>
      <w:lvlText w:val=""/>
      <w:lvlJc w:val="left"/>
      <w:pPr>
        <w:tabs>
          <w:tab w:val="num" w:pos="2880"/>
        </w:tabs>
        <w:ind w:left="2880" w:hanging="360"/>
      </w:pPr>
      <w:rPr>
        <w:rFonts w:ascii="Symbol" w:hAnsi="Symbol"/>
      </w:rPr>
    </w:lvl>
    <w:lvl w:ilvl="4" w:tplc="361C3F2C">
      <w:start w:val="1"/>
      <w:numFmt w:val="bullet"/>
      <w:lvlText w:val="o"/>
      <w:lvlJc w:val="left"/>
      <w:pPr>
        <w:tabs>
          <w:tab w:val="num" w:pos="3600"/>
        </w:tabs>
        <w:ind w:left="3600" w:hanging="360"/>
      </w:pPr>
      <w:rPr>
        <w:rFonts w:ascii="Courier New" w:hAnsi="Courier New"/>
      </w:rPr>
    </w:lvl>
    <w:lvl w:ilvl="5" w:tplc="0770A648">
      <w:start w:val="1"/>
      <w:numFmt w:val="bullet"/>
      <w:lvlText w:val=""/>
      <w:lvlJc w:val="left"/>
      <w:pPr>
        <w:tabs>
          <w:tab w:val="num" w:pos="4320"/>
        </w:tabs>
        <w:ind w:left="4320" w:hanging="360"/>
      </w:pPr>
      <w:rPr>
        <w:rFonts w:ascii="Wingdings" w:hAnsi="Wingdings"/>
      </w:rPr>
    </w:lvl>
    <w:lvl w:ilvl="6" w:tplc="8B4A3826">
      <w:start w:val="1"/>
      <w:numFmt w:val="bullet"/>
      <w:lvlText w:val=""/>
      <w:lvlJc w:val="left"/>
      <w:pPr>
        <w:tabs>
          <w:tab w:val="num" w:pos="5040"/>
        </w:tabs>
        <w:ind w:left="5040" w:hanging="360"/>
      </w:pPr>
      <w:rPr>
        <w:rFonts w:ascii="Symbol" w:hAnsi="Symbol"/>
      </w:rPr>
    </w:lvl>
    <w:lvl w:ilvl="7" w:tplc="75EE90EC">
      <w:start w:val="1"/>
      <w:numFmt w:val="bullet"/>
      <w:lvlText w:val="o"/>
      <w:lvlJc w:val="left"/>
      <w:pPr>
        <w:tabs>
          <w:tab w:val="num" w:pos="5760"/>
        </w:tabs>
        <w:ind w:left="5760" w:hanging="360"/>
      </w:pPr>
      <w:rPr>
        <w:rFonts w:ascii="Courier New" w:hAnsi="Courier New"/>
      </w:rPr>
    </w:lvl>
    <w:lvl w:ilvl="8" w:tplc="339C2DDC">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C49E9850">
      <w:start w:val="1"/>
      <w:numFmt w:val="bullet"/>
      <w:lvlText w:val=""/>
      <w:lvlJc w:val="left"/>
      <w:pPr>
        <w:ind w:left="720" w:hanging="360"/>
      </w:pPr>
      <w:rPr>
        <w:rFonts w:ascii="Symbol" w:hAnsi="Symbol"/>
      </w:rPr>
    </w:lvl>
    <w:lvl w:ilvl="1" w:tplc="B69C3790">
      <w:start w:val="1"/>
      <w:numFmt w:val="bullet"/>
      <w:lvlText w:val="o"/>
      <w:lvlJc w:val="left"/>
      <w:pPr>
        <w:tabs>
          <w:tab w:val="num" w:pos="1440"/>
        </w:tabs>
        <w:ind w:left="1440" w:hanging="360"/>
      </w:pPr>
      <w:rPr>
        <w:rFonts w:ascii="Courier New" w:hAnsi="Courier New"/>
      </w:rPr>
    </w:lvl>
    <w:lvl w:ilvl="2" w:tplc="E0F01BAC">
      <w:start w:val="1"/>
      <w:numFmt w:val="bullet"/>
      <w:lvlText w:val=""/>
      <w:lvlJc w:val="left"/>
      <w:pPr>
        <w:tabs>
          <w:tab w:val="num" w:pos="2160"/>
        </w:tabs>
        <w:ind w:left="2160" w:hanging="360"/>
      </w:pPr>
      <w:rPr>
        <w:rFonts w:ascii="Wingdings" w:hAnsi="Wingdings"/>
      </w:rPr>
    </w:lvl>
    <w:lvl w:ilvl="3" w:tplc="203ACF9E">
      <w:start w:val="1"/>
      <w:numFmt w:val="bullet"/>
      <w:lvlText w:val=""/>
      <w:lvlJc w:val="left"/>
      <w:pPr>
        <w:tabs>
          <w:tab w:val="num" w:pos="2880"/>
        </w:tabs>
        <w:ind w:left="2880" w:hanging="360"/>
      </w:pPr>
      <w:rPr>
        <w:rFonts w:ascii="Symbol" w:hAnsi="Symbol"/>
      </w:rPr>
    </w:lvl>
    <w:lvl w:ilvl="4" w:tplc="8D64D77E">
      <w:start w:val="1"/>
      <w:numFmt w:val="bullet"/>
      <w:lvlText w:val="o"/>
      <w:lvlJc w:val="left"/>
      <w:pPr>
        <w:tabs>
          <w:tab w:val="num" w:pos="3600"/>
        </w:tabs>
        <w:ind w:left="3600" w:hanging="360"/>
      </w:pPr>
      <w:rPr>
        <w:rFonts w:ascii="Courier New" w:hAnsi="Courier New"/>
      </w:rPr>
    </w:lvl>
    <w:lvl w:ilvl="5" w:tplc="B7FCC360">
      <w:start w:val="1"/>
      <w:numFmt w:val="bullet"/>
      <w:lvlText w:val=""/>
      <w:lvlJc w:val="left"/>
      <w:pPr>
        <w:tabs>
          <w:tab w:val="num" w:pos="4320"/>
        </w:tabs>
        <w:ind w:left="4320" w:hanging="360"/>
      </w:pPr>
      <w:rPr>
        <w:rFonts w:ascii="Wingdings" w:hAnsi="Wingdings"/>
      </w:rPr>
    </w:lvl>
    <w:lvl w:ilvl="6" w:tplc="AFF27234">
      <w:start w:val="1"/>
      <w:numFmt w:val="bullet"/>
      <w:lvlText w:val=""/>
      <w:lvlJc w:val="left"/>
      <w:pPr>
        <w:tabs>
          <w:tab w:val="num" w:pos="5040"/>
        </w:tabs>
        <w:ind w:left="5040" w:hanging="360"/>
      </w:pPr>
      <w:rPr>
        <w:rFonts w:ascii="Symbol" w:hAnsi="Symbol"/>
      </w:rPr>
    </w:lvl>
    <w:lvl w:ilvl="7" w:tplc="92428E92">
      <w:start w:val="1"/>
      <w:numFmt w:val="bullet"/>
      <w:lvlText w:val="o"/>
      <w:lvlJc w:val="left"/>
      <w:pPr>
        <w:tabs>
          <w:tab w:val="num" w:pos="5760"/>
        </w:tabs>
        <w:ind w:left="5760" w:hanging="360"/>
      </w:pPr>
      <w:rPr>
        <w:rFonts w:ascii="Courier New" w:hAnsi="Courier New"/>
      </w:rPr>
    </w:lvl>
    <w:lvl w:ilvl="8" w:tplc="E5E2CED6">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768C5E10">
      <w:start w:val="1"/>
      <w:numFmt w:val="bullet"/>
      <w:lvlText w:val=""/>
      <w:lvlJc w:val="left"/>
      <w:pPr>
        <w:ind w:left="720" w:hanging="360"/>
      </w:pPr>
      <w:rPr>
        <w:rFonts w:ascii="Symbol" w:hAnsi="Symbol"/>
      </w:rPr>
    </w:lvl>
    <w:lvl w:ilvl="1" w:tplc="267A6AF4">
      <w:start w:val="1"/>
      <w:numFmt w:val="bullet"/>
      <w:lvlText w:val="o"/>
      <w:lvlJc w:val="left"/>
      <w:pPr>
        <w:tabs>
          <w:tab w:val="num" w:pos="1440"/>
        </w:tabs>
        <w:ind w:left="1440" w:hanging="360"/>
      </w:pPr>
      <w:rPr>
        <w:rFonts w:ascii="Courier New" w:hAnsi="Courier New"/>
      </w:rPr>
    </w:lvl>
    <w:lvl w:ilvl="2" w:tplc="ABA66AF8">
      <w:start w:val="1"/>
      <w:numFmt w:val="bullet"/>
      <w:lvlText w:val=""/>
      <w:lvlJc w:val="left"/>
      <w:pPr>
        <w:tabs>
          <w:tab w:val="num" w:pos="2160"/>
        </w:tabs>
        <w:ind w:left="2160" w:hanging="360"/>
      </w:pPr>
      <w:rPr>
        <w:rFonts w:ascii="Wingdings" w:hAnsi="Wingdings"/>
      </w:rPr>
    </w:lvl>
    <w:lvl w:ilvl="3" w:tplc="035AFEF6">
      <w:start w:val="1"/>
      <w:numFmt w:val="bullet"/>
      <w:lvlText w:val=""/>
      <w:lvlJc w:val="left"/>
      <w:pPr>
        <w:tabs>
          <w:tab w:val="num" w:pos="2880"/>
        </w:tabs>
        <w:ind w:left="2880" w:hanging="360"/>
      </w:pPr>
      <w:rPr>
        <w:rFonts w:ascii="Symbol" w:hAnsi="Symbol"/>
      </w:rPr>
    </w:lvl>
    <w:lvl w:ilvl="4" w:tplc="B30C657C">
      <w:start w:val="1"/>
      <w:numFmt w:val="bullet"/>
      <w:lvlText w:val="o"/>
      <w:lvlJc w:val="left"/>
      <w:pPr>
        <w:tabs>
          <w:tab w:val="num" w:pos="3600"/>
        </w:tabs>
        <w:ind w:left="3600" w:hanging="360"/>
      </w:pPr>
      <w:rPr>
        <w:rFonts w:ascii="Courier New" w:hAnsi="Courier New"/>
      </w:rPr>
    </w:lvl>
    <w:lvl w:ilvl="5" w:tplc="C8842454">
      <w:start w:val="1"/>
      <w:numFmt w:val="bullet"/>
      <w:lvlText w:val=""/>
      <w:lvlJc w:val="left"/>
      <w:pPr>
        <w:tabs>
          <w:tab w:val="num" w:pos="4320"/>
        </w:tabs>
        <w:ind w:left="4320" w:hanging="360"/>
      </w:pPr>
      <w:rPr>
        <w:rFonts w:ascii="Wingdings" w:hAnsi="Wingdings"/>
      </w:rPr>
    </w:lvl>
    <w:lvl w:ilvl="6" w:tplc="30A21730">
      <w:start w:val="1"/>
      <w:numFmt w:val="bullet"/>
      <w:lvlText w:val=""/>
      <w:lvlJc w:val="left"/>
      <w:pPr>
        <w:tabs>
          <w:tab w:val="num" w:pos="5040"/>
        </w:tabs>
        <w:ind w:left="5040" w:hanging="360"/>
      </w:pPr>
      <w:rPr>
        <w:rFonts w:ascii="Symbol" w:hAnsi="Symbol"/>
      </w:rPr>
    </w:lvl>
    <w:lvl w:ilvl="7" w:tplc="F3EA02D4">
      <w:start w:val="1"/>
      <w:numFmt w:val="bullet"/>
      <w:lvlText w:val="o"/>
      <w:lvlJc w:val="left"/>
      <w:pPr>
        <w:tabs>
          <w:tab w:val="num" w:pos="5760"/>
        </w:tabs>
        <w:ind w:left="5760" w:hanging="360"/>
      </w:pPr>
      <w:rPr>
        <w:rFonts w:ascii="Courier New" w:hAnsi="Courier New"/>
      </w:rPr>
    </w:lvl>
    <w:lvl w:ilvl="8" w:tplc="BA9EF1B8">
      <w:start w:val="1"/>
      <w:numFmt w:val="bullet"/>
      <w:lvlText w:val=""/>
      <w:lvlJc w:val="left"/>
      <w:pPr>
        <w:tabs>
          <w:tab w:val="num" w:pos="6480"/>
        </w:tabs>
        <w:ind w:left="6480" w:hanging="360"/>
      </w:pPr>
      <w:rPr>
        <w:rFonts w:ascii="Wingdings" w:hAnsi="Wingdings"/>
      </w:rPr>
    </w:lvl>
  </w:abstractNum>
  <w:num w:numId="1" w16cid:durableId="1259366711">
    <w:abstractNumId w:val="0"/>
  </w:num>
  <w:num w:numId="2" w16cid:durableId="732041522">
    <w:abstractNumId w:val="1"/>
  </w:num>
  <w:num w:numId="3" w16cid:durableId="1490369963">
    <w:abstractNumId w:val="2"/>
  </w:num>
  <w:num w:numId="4" w16cid:durableId="369039461">
    <w:abstractNumId w:val="3"/>
  </w:num>
  <w:num w:numId="5" w16cid:durableId="2117600909">
    <w:abstractNumId w:val="4"/>
  </w:num>
  <w:num w:numId="6" w16cid:durableId="2038119225">
    <w:abstractNumId w:val="5"/>
  </w:num>
  <w:num w:numId="7" w16cid:durableId="772819399">
    <w:abstractNumId w:val="6"/>
  </w:num>
  <w:num w:numId="8" w16cid:durableId="559175919">
    <w:abstractNumId w:val="7"/>
  </w:num>
  <w:num w:numId="9" w16cid:durableId="451632142">
    <w:abstractNumId w:val="8"/>
  </w:num>
  <w:num w:numId="10" w16cid:durableId="1375428034">
    <w:abstractNumId w:val="9"/>
  </w:num>
  <w:num w:numId="11" w16cid:durableId="4006439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35"/>
    <w:rsid w:val="00180D73"/>
    <w:rsid w:val="001C11D9"/>
    <w:rsid w:val="001E025D"/>
    <w:rsid w:val="001E2A11"/>
    <w:rsid w:val="0021157D"/>
    <w:rsid w:val="002659BE"/>
    <w:rsid w:val="00285F58"/>
    <w:rsid w:val="002A0057"/>
    <w:rsid w:val="002A0EA4"/>
    <w:rsid w:val="002C15AF"/>
    <w:rsid w:val="002C609E"/>
    <w:rsid w:val="00306AC3"/>
    <w:rsid w:val="003E472B"/>
    <w:rsid w:val="003E6999"/>
    <w:rsid w:val="00401F87"/>
    <w:rsid w:val="004259F7"/>
    <w:rsid w:val="0043704C"/>
    <w:rsid w:val="00460A49"/>
    <w:rsid w:val="00474346"/>
    <w:rsid w:val="00476426"/>
    <w:rsid w:val="00481213"/>
    <w:rsid w:val="004973A4"/>
    <w:rsid w:val="004B12C5"/>
    <w:rsid w:val="00505560"/>
    <w:rsid w:val="005200CC"/>
    <w:rsid w:val="00547DF5"/>
    <w:rsid w:val="00560967"/>
    <w:rsid w:val="00573D1D"/>
    <w:rsid w:val="0059062C"/>
    <w:rsid w:val="00594B77"/>
    <w:rsid w:val="005B7169"/>
    <w:rsid w:val="005D6900"/>
    <w:rsid w:val="00644235"/>
    <w:rsid w:val="0077080E"/>
    <w:rsid w:val="00783E0F"/>
    <w:rsid w:val="007F195B"/>
    <w:rsid w:val="008A1FEB"/>
    <w:rsid w:val="008D41F2"/>
    <w:rsid w:val="008D62E1"/>
    <w:rsid w:val="00962355"/>
    <w:rsid w:val="00991E35"/>
    <w:rsid w:val="009A137E"/>
    <w:rsid w:val="009F481B"/>
    <w:rsid w:val="00A115EC"/>
    <w:rsid w:val="00A30393"/>
    <w:rsid w:val="00A40083"/>
    <w:rsid w:val="00A4382A"/>
    <w:rsid w:val="00A67D49"/>
    <w:rsid w:val="00AF4CAB"/>
    <w:rsid w:val="00B171D9"/>
    <w:rsid w:val="00B32825"/>
    <w:rsid w:val="00BB70EF"/>
    <w:rsid w:val="00BD41C0"/>
    <w:rsid w:val="00CA669D"/>
    <w:rsid w:val="00CD05DE"/>
    <w:rsid w:val="00CF1C95"/>
    <w:rsid w:val="00CF34A6"/>
    <w:rsid w:val="00D60321"/>
    <w:rsid w:val="00D832CD"/>
    <w:rsid w:val="00DA024A"/>
    <w:rsid w:val="00DA236C"/>
    <w:rsid w:val="00DC6C6F"/>
    <w:rsid w:val="00E11A13"/>
    <w:rsid w:val="00E122F4"/>
    <w:rsid w:val="00E12FEA"/>
    <w:rsid w:val="00E246C4"/>
    <w:rsid w:val="00E3185B"/>
    <w:rsid w:val="00E42B11"/>
    <w:rsid w:val="00E51E86"/>
    <w:rsid w:val="00E836B8"/>
    <w:rsid w:val="00E85B5A"/>
    <w:rsid w:val="00EE14D2"/>
    <w:rsid w:val="00F4035C"/>
    <w:rsid w:val="00F72778"/>
    <w:rsid w:val="00F9786F"/>
    <w:rsid w:val="00FC78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20CA6"/>
  <w15:chartTrackingRefBased/>
  <w15:docId w15:val="{0D721EAD-0085-4F25-9E26-9BB1CEC4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44235"/>
    <w:pPr>
      <w:keepNext/>
      <w:spacing w:before="240" w:after="60" w:line="240" w:lineRule="auto"/>
      <w:outlineLvl w:val="0"/>
    </w:pPr>
    <w:rPr>
      <w:rFonts w:ascii="Arial" w:eastAsia="Times New Roman" w:hAnsi="Arial" w:cs="Arial"/>
      <w:b/>
      <w:bCs/>
      <w:noProof/>
      <w:kern w:val="32"/>
      <w:sz w:val="32"/>
      <w:szCs w:val="32"/>
      <w:lang w:val="en-US"/>
    </w:rPr>
  </w:style>
  <w:style w:type="paragraph" w:styleId="Nagwek2">
    <w:name w:val="heading 2"/>
    <w:basedOn w:val="Normalny"/>
    <w:next w:val="Normalny"/>
    <w:link w:val="Nagwek2Znak"/>
    <w:qFormat/>
    <w:rsid w:val="00644235"/>
    <w:pPr>
      <w:keepNext/>
      <w:spacing w:before="240" w:after="60" w:line="240" w:lineRule="auto"/>
      <w:outlineLvl w:val="1"/>
    </w:pPr>
    <w:rPr>
      <w:rFonts w:ascii="Arial" w:eastAsia="Times New Roman" w:hAnsi="Arial" w:cs="Arial"/>
      <w:b/>
      <w:bCs/>
      <w:i/>
      <w:iCs/>
      <w:noProof/>
      <w:sz w:val="28"/>
      <w:szCs w:val="28"/>
      <w:lang w:val="en-US"/>
    </w:rPr>
  </w:style>
  <w:style w:type="paragraph" w:styleId="Nagwek3">
    <w:name w:val="heading 3"/>
    <w:basedOn w:val="Normalny"/>
    <w:next w:val="Normalny"/>
    <w:link w:val="Nagwek3Znak"/>
    <w:qFormat/>
    <w:rsid w:val="00644235"/>
    <w:pPr>
      <w:keepNext/>
      <w:spacing w:before="240" w:after="60" w:line="240" w:lineRule="auto"/>
      <w:outlineLvl w:val="2"/>
    </w:pPr>
    <w:rPr>
      <w:rFonts w:ascii="Arial" w:eastAsia="Times New Roman" w:hAnsi="Arial" w:cs="Arial"/>
      <w:b/>
      <w:bCs/>
      <w:noProof/>
      <w:sz w:val="26"/>
      <w:szCs w:val="26"/>
      <w:lang w:val="en-US"/>
    </w:rPr>
  </w:style>
  <w:style w:type="paragraph" w:styleId="Nagwek4">
    <w:name w:val="heading 4"/>
    <w:basedOn w:val="Normalny"/>
    <w:next w:val="Normalny"/>
    <w:link w:val="Nagwek4Znak"/>
    <w:qFormat/>
    <w:rsid w:val="00644235"/>
    <w:pPr>
      <w:keepNext/>
      <w:spacing w:before="240" w:after="60" w:line="240" w:lineRule="auto"/>
      <w:outlineLvl w:val="3"/>
    </w:pPr>
    <w:rPr>
      <w:rFonts w:ascii="Times New Roman" w:eastAsia="Times New Roman" w:hAnsi="Times New Roman" w:cs="Times New Roman"/>
      <w:b/>
      <w:bCs/>
      <w:noProof/>
      <w:sz w:val="28"/>
      <w:szCs w:val="28"/>
      <w:lang w:val="en-US"/>
    </w:rPr>
  </w:style>
  <w:style w:type="paragraph" w:styleId="Nagwek5">
    <w:name w:val="heading 5"/>
    <w:basedOn w:val="Normalny"/>
    <w:next w:val="Normalny"/>
    <w:link w:val="Nagwek5Znak"/>
    <w:qFormat/>
    <w:rsid w:val="00644235"/>
    <w:pPr>
      <w:spacing w:before="240" w:after="60" w:line="240" w:lineRule="auto"/>
      <w:outlineLvl w:val="4"/>
    </w:pPr>
    <w:rPr>
      <w:rFonts w:ascii="Times New Roman" w:eastAsia="Times New Roman" w:hAnsi="Times New Roman" w:cs="Times New Roman"/>
      <w:b/>
      <w:bCs/>
      <w:i/>
      <w:iCs/>
      <w:noProof/>
      <w:sz w:val="26"/>
      <w:szCs w:val="2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4235"/>
    <w:rPr>
      <w:rFonts w:ascii="Arial" w:eastAsia="Times New Roman" w:hAnsi="Arial" w:cs="Arial"/>
      <w:b/>
      <w:bCs/>
      <w:noProof/>
      <w:kern w:val="32"/>
      <w:sz w:val="32"/>
      <w:szCs w:val="32"/>
      <w:lang w:val="en-US"/>
    </w:rPr>
  </w:style>
  <w:style w:type="character" w:customStyle="1" w:styleId="Nagwek2Znak">
    <w:name w:val="Nagłówek 2 Znak"/>
    <w:basedOn w:val="Domylnaczcionkaakapitu"/>
    <w:link w:val="Nagwek2"/>
    <w:rsid w:val="00644235"/>
    <w:rPr>
      <w:rFonts w:ascii="Arial" w:eastAsia="Times New Roman" w:hAnsi="Arial" w:cs="Arial"/>
      <w:b/>
      <w:bCs/>
      <w:i/>
      <w:iCs/>
      <w:noProof/>
      <w:sz w:val="28"/>
      <w:szCs w:val="28"/>
      <w:lang w:val="en-US"/>
    </w:rPr>
  </w:style>
  <w:style w:type="character" w:customStyle="1" w:styleId="Nagwek3Znak">
    <w:name w:val="Nagłówek 3 Znak"/>
    <w:basedOn w:val="Domylnaczcionkaakapitu"/>
    <w:link w:val="Nagwek3"/>
    <w:rsid w:val="00644235"/>
    <w:rPr>
      <w:rFonts w:ascii="Arial" w:eastAsia="Times New Roman" w:hAnsi="Arial" w:cs="Arial"/>
      <w:b/>
      <w:bCs/>
      <w:noProof/>
      <w:sz w:val="26"/>
      <w:szCs w:val="26"/>
      <w:lang w:val="en-US"/>
    </w:rPr>
  </w:style>
  <w:style w:type="character" w:customStyle="1" w:styleId="Nagwek4Znak">
    <w:name w:val="Nagłówek 4 Znak"/>
    <w:basedOn w:val="Domylnaczcionkaakapitu"/>
    <w:link w:val="Nagwek4"/>
    <w:rsid w:val="00644235"/>
    <w:rPr>
      <w:rFonts w:ascii="Times New Roman" w:eastAsia="Times New Roman" w:hAnsi="Times New Roman" w:cs="Times New Roman"/>
      <w:b/>
      <w:bCs/>
      <w:noProof/>
      <w:sz w:val="28"/>
      <w:szCs w:val="28"/>
      <w:lang w:val="en-US"/>
    </w:rPr>
  </w:style>
  <w:style w:type="character" w:customStyle="1" w:styleId="Nagwek5Znak">
    <w:name w:val="Nagłówek 5 Znak"/>
    <w:basedOn w:val="Domylnaczcionkaakapitu"/>
    <w:link w:val="Nagwek5"/>
    <w:rsid w:val="00644235"/>
    <w:rPr>
      <w:rFonts w:ascii="Times New Roman" w:eastAsia="Times New Roman" w:hAnsi="Times New Roman" w:cs="Times New Roman"/>
      <w:b/>
      <w:bCs/>
      <w:i/>
      <w:iCs/>
      <w:noProof/>
      <w:sz w:val="26"/>
      <w:szCs w:val="26"/>
      <w:lang w:val="en-US"/>
    </w:rPr>
  </w:style>
  <w:style w:type="numbering" w:customStyle="1" w:styleId="Bezlisty1">
    <w:name w:val="Bez listy1"/>
    <w:next w:val="Bezlisty"/>
    <w:uiPriority w:val="99"/>
    <w:semiHidden/>
    <w:unhideWhenUsed/>
    <w:rsid w:val="00644235"/>
  </w:style>
  <w:style w:type="paragraph" w:styleId="Spistreci1">
    <w:name w:val="toc 1"/>
    <w:basedOn w:val="Normalny"/>
    <w:next w:val="Normalny"/>
    <w:autoRedefine/>
    <w:uiPriority w:val="39"/>
    <w:rsid w:val="00644235"/>
    <w:pPr>
      <w:spacing w:after="0" w:line="240" w:lineRule="auto"/>
    </w:pPr>
    <w:rPr>
      <w:rFonts w:ascii="Times New Roman" w:eastAsia="Times New Roman" w:hAnsi="Times New Roman" w:cs="Times New Roman"/>
      <w:noProof/>
      <w:sz w:val="24"/>
      <w:szCs w:val="24"/>
      <w:lang w:val="en-US"/>
    </w:rPr>
  </w:style>
  <w:style w:type="character" w:styleId="Hipercze">
    <w:name w:val="Hyperlink"/>
    <w:basedOn w:val="Domylnaczcionkaakapitu"/>
    <w:uiPriority w:val="99"/>
    <w:rsid w:val="00644235"/>
    <w:rPr>
      <w:color w:val="0000FF"/>
      <w:u w:val="single"/>
    </w:rPr>
  </w:style>
  <w:style w:type="paragraph" w:styleId="Spistreci2">
    <w:name w:val="toc 2"/>
    <w:basedOn w:val="Normalny"/>
    <w:next w:val="Normalny"/>
    <w:autoRedefine/>
    <w:uiPriority w:val="39"/>
    <w:rsid w:val="00644235"/>
    <w:pPr>
      <w:spacing w:after="0" w:line="240" w:lineRule="auto"/>
      <w:ind w:left="240"/>
    </w:pPr>
    <w:rPr>
      <w:rFonts w:ascii="Times New Roman" w:eastAsia="Times New Roman" w:hAnsi="Times New Roman" w:cs="Times New Roman"/>
      <w:noProof/>
      <w:sz w:val="24"/>
      <w:szCs w:val="24"/>
      <w:lang w:val="en-US"/>
    </w:rPr>
  </w:style>
  <w:style w:type="paragraph" w:styleId="Spistreci3">
    <w:name w:val="toc 3"/>
    <w:basedOn w:val="Normalny"/>
    <w:next w:val="Normalny"/>
    <w:autoRedefine/>
    <w:uiPriority w:val="39"/>
    <w:rsid w:val="00644235"/>
    <w:pPr>
      <w:spacing w:after="0" w:line="240" w:lineRule="auto"/>
      <w:ind w:left="480"/>
    </w:pPr>
    <w:rPr>
      <w:rFonts w:ascii="Times New Roman" w:eastAsia="Times New Roman" w:hAnsi="Times New Roman" w:cs="Times New Roman"/>
      <w:noProof/>
      <w:sz w:val="24"/>
      <w:szCs w:val="24"/>
      <w:lang w:val="en-US"/>
    </w:rPr>
  </w:style>
  <w:style w:type="paragraph" w:styleId="Spistreci4">
    <w:name w:val="toc 4"/>
    <w:basedOn w:val="Normalny"/>
    <w:next w:val="Normalny"/>
    <w:autoRedefine/>
    <w:uiPriority w:val="39"/>
    <w:rsid w:val="00644235"/>
    <w:pPr>
      <w:spacing w:after="0" w:line="240" w:lineRule="auto"/>
      <w:ind w:left="720"/>
    </w:pPr>
    <w:rPr>
      <w:rFonts w:ascii="Times New Roman" w:eastAsia="Times New Roman" w:hAnsi="Times New Roman" w:cs="Times New Roman"/>
      <w:noProof/>
      <w:sz w:val="24"/>
      <w:szCs w:val="24"/>
      <w:lang w:val="en-US"/>
    </w:rPr>
  </w:style>
  <w:style w:type="paragraph" w:styleId="Spistreci5">
    <w:name w:val="toc 5"/>
    <w:basedOn w:val="Normalny"/>
    <w:next w:val="Normalny"/>
    <w:autoRedefine/>
    <w:uiPriority w:val="39"/>
    <w:rsid w:val="00644235"/>
    <w:pPr>
      <w:spacing w:after="0" w:line="240" w:lineRule="auto"/>
      <w:ind w:left="960"/>
    </w:pPr>
    <w:rPr>
      <w:rFonts w:ascii="Times New Roman" w:eastAsia="Times New Roman" w:hAnsi="Times New Roman" w:cs="Times New Roman"/>
      <w:noProof/>
      <w:sz w:val="24"/>
      <w:szCs w:val="24"/>
      <w:lang w:val="en-US"/>
    </w:rPr>
  </w:style>
  <w:style w:type="paragraph" w:customStyle="1" w:styleId="Spistreci61">
    <w:name w:val="Spis treści 61"/>
    <w:basedOn w:val="Normalny"/>
    <w:next w:val="Normalny"/>
    <w:autoRedefine/>
    <w:uiPriority w:val="39"/>
    <w:unhideWhenUsed/>
    <w:rsid w:val="00644235"/>
    <w:pPr>
      <w:spacing w:after="100"/>
      <w:ind w:left="1100"/>
    </w:pPr>
    <w:rPr>
      <w:rFonts w:eastAsia="Times New Roman"/>
      <w:lang w:eastAsia="pl-PL"/>
    </w:rPr>
  </w:style>
  <w:style w:type="paragraph" w:customStyle="1" w:styleId="Spistreci71">
    <w:name w:val="Spis treści 71"/>
    <w:basedOn w:val="Normalny"/>
    <w:next w:val="Normalny"/>
    <w:autoRedefine/>
    <w:uiPriority w:val="39"/>
    <w:unhideWhenUsed/>
    <w:rsid w:val="00644235"/>
    <w:pPr>
      <w:spacing w:after="100"/>
      <w:ind w:left="1320"/>
    </w:pPr>
    <w:rPr>
      <w:rFonts w:eastAsia="Times New Roman"/>
      <w:lang w:eastAsia="pl-PL"/>
    </w:rPr>
  </w:style>
  <w:style w:type="paragraph" w:customStyle="1" w:styleId="Spistreci81">
    <w:name w:val="Spis treści 81"/>
    <w:basedOn w:val="Normalny"/>
    <w:next w:val="Normalny"/>
    <w:autoRedefine/>
    <w:uiPriority w:val="39"/>
    <w:unhideWhenUsed/>
    <w:rsid w:val="00644235"/>
    <w:pPr>
      <w:spacing w:after="100"/>
      <w:ind w:left="1540"/>
    </w:pPr>
    <w:rPr>
      <w:rFonts w:eastAsia="Times New Roman"/>
      <w:lang w:eastAsia="pl-PL"/>
    </w:rPr>
  </w:style>
  <w:style w:type="paragraph" w:customStyle="1" w:styleId="Spistreci91">
    <w:name w:val="Spis treści 91"/>
    <w:basedOn w:val="Normalny"/>
    <w:next w:val="Normalny"/>
    <w:autoRedefine/>
    <w:uiPriority w:val="39"/>
    <w:unhideWhenUsed/>
    <w:rsid w:val="00644235"/>
    <w:pPr>
      <w:spacing w:after="100"/>
      <w:ind w:left="1760"/>
    </w:pPr>
    <w:rPr>
      <w:rFonts w:eastAsia="Times New Roman"/>
      <w:lang w:eastAsia="pl-PL"/>
    </w:rPr>
  </w:style>
  <w:style w:type="character" w:styleId="Nierozpoznanawzmianka">
    <w:name w:val="Unresolved Mention"/>
    <w:basedOn w:val="Domylnaczcionkaakapitu"/>
    <w:uiPriority w:val="99"/>
    <w:semiHidden/>
    <w:unhideWhenUsed/>
    <w:rsid w:val="00644235"/>
    <w:rPr>
      <w:color w:val="605E5C"/>
      <w:shd w:val="clear" w:color="auto" w:fill="E1DFDD"/>
    </w:rPr>
  </w:style>
  <w:style w:type="paragraph" w:styleId="Poprawka">
    <w:name w:val="Revision"/>
    <w:hidden/>
    <w:uiPriority w:val="99"/>
    <w:semiHidden/>
    <w:rsid w:val="00E122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955B8-D6BC-4CA9-8CD9-536AA6B4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152</Pages>
  <Words>33494</Words>
  <Characters>200970</Characters>
  <Application>Microsoft Office Word</Application>
  <DocSecurity>0</DocSecurity>
  <Lines>1674</Lines>
  <Paragraphs>467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Blak</dc:creator>
  <cp:keywords/>
  <dc:description/>
  <cp:lastModifiedBy>Justyna Kocor</cp:lastModifiedBy>
  <cp:revision>3</cp:revision>
  <cp:lastPrinted>2022-10-28T10:12:00Z</cp:lastPrinted>
  <dcterms:created xsi:type="dcterms:W3CDTF">2022-11-25T13:23:00Z</dcterms:created>
  <dcterms:modified xsi:type="dcterms:W3CDTF">2022-12-15T11:56:00Z</dcterms:modified>
</cp:coreProperties>
</file>