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D7" w14:textId="77777777" w:rsidR="004764A4" w:rsidRPr="004764A4" w:rsidRDefault="004764A4" w:rsidP="004764A4">
      <w:pPr>
        <w:spacing w:line="252" w:lineRule="auto"/>
        <w:jc w:val="both"/>
        <w:rPr>
          <w:rFonts w:ascii="Calibri" w:eastAsia="Calibri" w:hAnsi="Calibri" w:cs="Calibri"/>
          <w:b/>
          <w:bCs/>
        </w:rPr>
      </w:pPr>
      <w:r w:rsidRPr="004764A4">
        <w:rPr>
          <w:rFonts w:ascii="Calibri" w:eastAsia="Calibri" w:hAnsi="Calibri" w:cs="Calibri"/>
          <w:b/>
          <w:bCs/>
        </w:rPr>
        <w:t>Szanowni Państwo, Członkowie Grupy roboczej wspierającej prace nad Regionalnym Programem Operacyjnym na lata 2021-2027,</w:t>
      </w:r>
    </w:p>
    <w:p w14:paraId="0D42E374"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22 grudnia br. odbyło się spotkanie, za pośrednictwem platformy zoom, Członków Grupy roboczej wspierającej prace nad Regionalnym Programem Operacyjnym na lata 2021-2027, podczas którego omówiono zakresy wsparcia oraz planowane kierunki interwencji w Celu Polityki 6 – Funduszu Sprawiedliwej Transformacji.</w:t>
      </w:r>
    </w:p>
    <w:p w14:paraId="5A1C8858" w14:textId="77777777" w:rsidR="004764A4" w:rsidRPr="004764A4" w:rsidRDefault="004764A4" w:rsidP="004764A4">
      <w:pPr>
        <w:spacing w:after="0" w:line="240" w:lineRule="auto"/>
        <w:rPr>
          <w:rFonts w:ascii="Calibri" w:eastAsia="Calibri" w:hAnsi="Calibri" w:cs="Calibri"/>
        </w:rPr>
      </w:pPr>
    </w:p>
    <w:p w14:paraId="13A78272"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Plan Sprawiedliwej Transformacji obejmuje dwa regiony województwa: powiat zgorzelecki oraz subregion wałbrzyski wraz z powiatem kamiennogórskim. FST zakłada 3 cele:</w:t>
      </w:r>
    </w:p>
    <w:p w14:paraId="1C44072A"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społeczny,</w:t>
      </w:r>
    </w:p>
    <w:p w14:paraId="78D38F20"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środowiskowy,</w:t>
      </w:r>
    </w:p>
    <w:p w14:paraId="6726B9A8"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gospodarczy.</w:t>
      </w:r>
    </w:p>
    <w:p w14:paraId="53AD45C3" w14:textId="77777777" w:rsidR="004764A4" w:rsidRPr="004764A4" w:rsidRDefault="004764A4" w:rsidP="004764A4">
      <w:pPr>
        <w:spacing w:line="252" w:lineRule="auto"/>
        <w:jc w:val="both"/>
        <w:rPr>
          <w:rFonts w:ascii="Calibri" w:eastAsia="Calibri" w:hAnsi="Calibri" w:cs="Calibri"/>
        </w:rPr>
      </w:pPr>
    </w:p>
    <w:p w14:paraId="395A1A9D" w14:textId="77777777" w:rsidR="004764A4" w:rsidRPr="004764A4" w:rsidRDefault="004764A4" w:rsidP="004764A4">
      <w:pPr>
        <w:spacing w:line="252" w:lineRule="auto"/>
        <w:jc w:val="both"/>
        <w:rPr>
          <w:rFonts w:ascii="Calibri" w:eastAsia="Calibri" w:hAnsi="Calibri" w:cs="Calibri"/>
          <w:u w:val="single"/>
        </w:rPr>
      </w:pPr>
      <w:r w:rsidRPr="004764A4">
        <w:rPr>
          <w:rFonts w:ascii="Calibri" w:eastAsia="Calibri" w:hAnsi="Calibri" w:cs="Calibri"/>
          <w:u w:val="single"/>
        </w:rPr>
        <w:t>We wskazanych obszarach członkowie Grupy wskazali następujące uwagi:</w:t>
      </w:r>
    </w:p>
    <w:p w14:paraId="50BBCB88"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program dekarbonizacji jest potraktowany ogólnikowo i zdawkowo;</w:t>
      </w:r>
    </w:p>
    <w:p w14:paraId="4F7BF9B8"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xml:space="preserve">- marginalnie są również potraktowane działania o charakterze regenerującym oraz rewitalizującym środowisko, natomiast działaniom oraz alokacji w ramach rynku pracy oraz edukacji jest poświęcone za dużo uwagi i należałoby to zmienić. Przedstawiciel UMWD odniósł się do tych uwag, że FST realizuje wszystkie założone cele tj. społeczne, środowiskowe i gospodarcze, natomiast założona alokacja na poszczególnych kodach interwencji jest do dyskusji w ramach prac Grupy. Należy mieć tutaj na uwadze, iż wskazane w CP6 obszary do realizacji – powiat zgorzelecki oraz subregion wałbrzyski z powiatem kamiennogórskim są zupełnie inne i mają inne priorytety i potrzeby; </w:t>
      </w:r>
    </w:p>
    <w:p w14:paraId="6227F576"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wydatki na tabor miejski nie przyniosą oczekiwanych efektów i nie przyczynią się w sposób znaczący do redukcji emisji zanieczyszczeń oraz likwidacji niskiej emisji, ponieważ największy wpływ na stopień zanieczyszczenia mają nieefektywne sposoby ogrzewania budynków mieszkalnych. Należy zatem zwiększyć kilkukrotnie dotacje na efektywność energetyczną budynków;</w:t>
      </w:r>
    </w:p>
    <w:p w14:paraId="3200A61B"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na działania na rzecz zwiększania świadomości powinno być przeznaczone znacznie mniej środków;</w:t>
      </w:r>
    </w:p>
    <w:p w14:paraId="5DF12569"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na spotkaniu wielokrotnie zwracano uwagę na rolę i znaczenie dekarbonizacji, ponieważ smog jest bardzo szkodliwy dla społeczeństwa. Wskazany tu został przykład subregionu wałbrzyskiego i kamiennogórskiego, które podjęły działania w kierunku walki ze smogiem i należałoby wspierać te działania;</w:t>
      </w:r>
    </w:p>
    <w:p w14:paraId="0735118D"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w budynkach publicznych kluczową rolę odgrywa maksymalne wykorzystanie formuły partnerstwa publiczno-prywatnego, ponieważ tego typu działania przyczynią się do osiągnięcia założonych celów i efektów;</w:t>
      </w:r>
    </w:p>
    <w:p w14:paraId="19EF10FD"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bardzo istotna jest edukacja w wymiarze budowania kompetencji doradczych i właściwego sposobu zarządzania energią, w jaki sposób należałoby zarządzać budynkami, żeby zużywały jak najmniejszą ilość energii;</w:t>
      </w:r>
    </w:p>
    <w:p w14:paraId="036B6752"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spalanie za pomocą węgla odpowiada za emisję ponad 60% CO2, stąd też wynika, jak bardzo ważnym procesem jest dekarbonizacja;</w:t>
      </w:r>
    </w:p>
    <w:p w14:paraId="4A676B1D"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ustalona alokacja na infrastrukturę szkolnictwa wyższego jest znacznie za wysoka i powinna być zredukowana do zera i przeniesiona na kod interwencji dot. usług społecznych – 158;</w:t>
      </w:r>
    </w:p>
    <w:p w14:paraId="7C850575"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lastRenderedPageBreak/>
        <w:t>- bardzo istotne jest przekwalifikowanie nowych pracowników oraz rozwój nowych kompetencji, to w jaki sposób należy posługiwać się nową technologią, w jaki sposób wprowadzać skuteczne i nowoczesne techniki, aby osiągać wymierne rezultaty;</w:t>
      </w:r>
    </w:p>
    <w:p w14:paraId="162F561D"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sprawiedliwa transformacja nie uda się bez czynnika ludzkiego, stąd też inwestycje w rozwój nowych kompetencji będzie wręcz kluczowe;</w:t>
      </w:r>
    </w:p>
    <w:p w14:paraId="31074CB6"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co najmniej 50% środków w CP6 powinno być przeznaczone na działania termomodernizacyjne oraz efektywność energetyczną budynków;</w:t>
      </w:r>
    </w:p>
    <w:p w14:paraId="0016A21C"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Jednocześnie dyskutowano na temat alokacji środków na poszczególnych kodach interwencji.</w:t>
      </w:r>
    </w:p>
    <w:p w14:paraId="7F55C44A"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Propozycje realokacji, które się pojawiły dotyczyły:</w:t>
      </w:r>
    </w:p>
    <w:p w14:paraId="18584CF6"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rezygnacji z kodu dot. infrastruktury szkolnictwa wyższego (123 / -19 mln euro;</w:t>
      </w:r>
    </w:p>
    <w:p w14:paraId="0E8D4739"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zwiększenia kosztem powyższego kodu dot. usług społecznych (158) / +19 mln euro;</w:t>
      </w:r>
    </w:p>
    <w:p w14:paraId="5CF1FE9E"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padła propozycja aby zwiększyć alokacje dot. ciepłownictwa (054) z kodu dot. inwestycji produkcyjnych MŚP (021) – bez podania konkretnej kwoty;</w:t>
      </w:r>
    </w:p>
    <w:p w14:paraId="4AC1D3FB"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zwiększenie alokacji kodu dot. efektywności energetycznej mieszkaniowej (041) / +30 mln euro;</w:t>
      </w:r>
    </w:p>
    <w:p w14:paraId="08EE2332"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xml:space="preserve">- zmniejszenie alokacji kodu dot. zwiększania świadomości </w:t>
      </w:r>
      <w:proofErr w:type="spellStart"/>
      <w:r w:rsidRPr="004764A4">
        <w:rPr>
          <w:rFonts w:ascii="Calibri" w:eastAsia="Calibri" w:hAnsi="Calibri" w:cs="Calibri"/>
        </w:rPr>
        <w:t>ekol</w:t>
      </w:r>
      <w:proofErr w:type="spellEnd"/>
      <w:r w:rsidRPr="004764A4">
        <w:rPr>
          <w:rFonts w:ascii="Calibri" w:eastAsia="Calibri" w:hAnsi="Calibri" w:cs="Calibri"/>
        </w:rPr>
        <w:t>. (046) / -10 mln euro;</w:t>
      </w:r>
    </w:p>
    <w:p w14:paraId="32C8F4EE"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zmniejszenie alokacji kodu dot. rewaloryzacji, rekultywacji gruntów (073) / -10 mln euro;</w:t>
      </w:r>
    </w:p>
    <w:p w14:paraId="6269180A"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kod dot. taboru (082) zmieniony na czystą infrastrukturę miejską (081) i zmniejszona alokacja / -10 mln euro.</w:t>
      </w:r>
    </w:p>
    <w:p w14:paraId="74CC1FB5"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Padały też odwrotne propozycje bez wskazania konkretnych kwot przesunięć.</w:t>
      </w:r>
    </w:p>
    <w:p w14:paraId="55E9480E"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Jednocześnie w ramach czatu P. Wild przedstawił propozycję:</w:t>
      </w:r>
    </w:p>
    <w:p w14:paraId="717E311A"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xml:space="preserve">W zakresie tabeli nr 1 – działań w zakresie transformacji społecznej przekierować środki na cele dekarbonizacyjne przesuwając alokacje z następujących działań:  </w:t>
      </w:r>
    </w:p>
    <w:p w14:paraId="112EA17E"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xml:space="preserve">1. 123 Infrastruktura na potrzeby szkolnictwa wyższego - całość alokacji.      </w:t>
      </w:r>
    </w:p>
    <w:p w14:paraId="44F619BE"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xml:space="preserve">2. 127 Pozostała infrastruktura społeczna przyczyniająca się do włączenia społecznego - całość alokacji.   </w:t>
      </w:r>
    </w:p>
    <w:p w14:paraId="304665FE"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 xml:space="preserve">3. 134 Działania na rzecz poprawy dostępu do zatrudnienia - przekierować 24 mln euro (pozostawić 5 mln Euro).  </w:t>
      </w:r>
    </w:p>
    <w:p w14:paraId="17C37E31"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4. 158 Działania w celu zwiększenia równego i szybkiego dostępu do dobrej jakości trwałych i przystępnych cenowo usług - całość alokacji.</w:t>
      </w:r>
    </w:p>
    <w:p w14:paraId="41CCEB21" w14:textId="77777777" w:rsidR="004764A4" w:rsidRPr="004764A4" w:rsidRDefault="004764A4" w:rsidP="004764A4">
      <w:pPr>
        <w:spacing w:after="0" w:line="240" w:lineRule="auto"/>
        <w:rPr>
          <w:rFonts w:ascii="Calibri" w:eastAsia="Calibri" w:hAnsi="Calibri" w:cs="Calibri"/>
        </w:rPr>
      </w:pPr>
      <w:r w:rsidRPr="004764A4">
        <w:rPr>
          <w:rFonts w:ascii="Calibri" w:eastAsia="Calibri" w:hAnsi="Calibri" w:cs="Calibri"/>
        </w:rPr>
        <w:t>Jednocześnie w ramach działań dotyczących transformacji gospodarczej zwiększyć alokację na działaniu 021 Rozwój działalności i umiędzynarodowienie MŚP, w tym inwestycje produkcyjne o 15-20 mln Euro kosztem działania 020 Infrastruktura biznesowa dla MŚP (w tym parki i obiekty przemysłowe).</w:t>
      </w:r>
    </w:p>
    <w:p w14:paraId="6D6515D8" w14:textId="77777777" w:rsidR="004764A4" w:rsidRPr="004764A4" w:rsidRDefault="004764A4" w:rsidP="004764A4">
      <w:pPr>
        <w:spacing w:line="252" w:lineRule="auto"/>
        <w:jc w:val="both"/>
        <w:rPr>
          <w:rFonts w:ascii="Calibri" w:eastAsia="Calibri" w:hAnsi="Calibri" w:cs="Calibri"/>
        </w:rPr>
      </w:pPr>
    </w:p>
    <w:p w14:paraId="5A03FCE6" w14:textId="77777777" w:rsidR="004764A4" w:rsidRPr="004764A4" w:rsidRDefault="004764A4" w:rsidP="004764A4">
      <w:pPr>
        <w:spacing w:line="252" w:lineRule="auto"/>
        <w:jc w:val="both"/>
        <w:rPr>
          <w:rFonts w:ascii="Calibri" w:eastAsia="Calibri" w:hAnsi="Calibri" w:cs="Calibri"/>
        </w:rPr>
      </w:pPr>
      <w:r w:rsidRPr="004764A4">
        <w:rPr>
          <w:rFonts w:ascii="Calibri" w:eastAsia="Calibri" w:hAnsi="Calibri" w:cs="Calibri"/>
        </w:rPr>
        <w:t xml:space="preserve">Ponadto przedstawiono Zasady naboru projektów niekonkurencyjnych FST wraz z kryteriami dostępu wskazującymi na: Typ operacji oraz minimalną wartość całkowita projektu; Zakres terytorialny; Termin realizacji projektu; a także kryteria punktowe: Gotowość projektu do realizacji; Wykonalność finansową projektu; Oddziaływanie terytorialne projektu. Do zasad naboru poproszono o przesłanie uwag i sugestii do końca roku na adres </w:t>
      </w:r>
      <w:hyperlink r:id="rId4" w:history="1">
        <w:r w:rsidRPr="004764A4">
          <w:rPr>
            <w:rFonts w:ascii="Calibri" w:eastAsia="Calibri" w:hAnsi="Calibri" w:cs="Calibri"/>
            <w:color w:val="0563C1"/>
            <w:u w:val="single"/>
          </w:rPr>
          <w:t>fst@dolnyslask.pl</w:t>
        </w:r>
      </w:hyperlink>
      <w:r w:rsidRPr="004764A4">
        <w:rPr>
          <w:rFonts w:ascii="Calibri" w:eastAsia="Calibri" w:hAnsi="Calibri" w:cs="Calibri"/>
        </w:rPr>
        <w:t>.</w:t>
      </w:r>
    </w:p>
    <w:p w14:paraId="59BD033A" w14:textId="77777777" w:rsidR="004B53BA" w:rsidRDefault="004B53BA"/>
    <w:sectPr w:rsidR="004B5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80"/>
    <w:rsid w:val="00316380"/>
    <w:rsid w:val="004764A4"/>
    <w:rsid w:val="004B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BD5F-40DF-4966-BA48-C71EC00F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t@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4941</Characters>
  <Application>Microsoft Office Word</Application>
  <DocSecurity>0</DocSecurity>
  <Lines>41</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Gancarz</dc:creator>
  <cp:keywords/>
  <dc:description/>
  <cp:lastModifiedBy>Aleksandra Gancarz</cp:lastModifiedBy>
  <cp:revision>2</cp:revision>
  <dcterms:created xsi:type="dcterms:W3CDTF">2021-12-28T13:42:00Z</dcterms:created>
  <dcterms:modified xsi:type="dcterms:W3CDTF">2021-12-28T13:42:00Z</dcterms:modified>
</cp:coreProperties>
</file>