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7D5C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  <w:b/>
          <w:bCs/>
        </w:rPr>
      </w:pPr>
      <w:r w:rsidRPr="0053608F">
        <w:rPr>
          <w:rFonts w:ascii="Calibri" w:eastAsia="Calibri" w:hAnsi="Calibri" w:cs="Calibri"/>
          <w:b/>
          <w:bCs/>
        </w:rPr>
        <w:t>Szanowni Państwo, Członkowie Grupy roboczej wspierającej prace nad Regionalnym Programem Operacyjnym na lata 2021-2027,</w:t>
      </w:r>
    </w:p>
    <w:p w14:paraId="7AD41F11" w14:textId="77777777" w:rsidR="0053608F" w:rsidRPr="0053608F" w:rsidRDefault="0053608F" w:rsidP="0053608F">
      <w:pPr>
        <w:spacing w:after="0" w:line="240" w:lineRule="auto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>23 grudnia br., za pośrednictwem platformy zoom, odbyło się spotkanie Członków Grupy roboczej wspierającej prace nad Regionalnym Programem Operacyjnym na lata 2021-2027, podczas którego omówiono zakresy wsparcia oraz planowane kierunki interwencji w Celu Polityki 1, w zakresie B+R, MŚP oraz RIS.</w:t>
      </w:r>
    </w:p>
    <w:p w14:paraId="36B8B7B4" w14:textId="77777777" w:rsidR="0053608F" w:rsidRPr="0053608F" w:rsidRDefault="0053608F" w:rsidP="0053608F">
      <w:pPr>
        <w:spacing w:after="0" w:line="240" w:lineRule="auto"/>
        <w:rPr>
          <w:rFonts w:ascii="Calibri" w:eastAsia="Calibri" w:hAnsi="Calibri" w:cs="Calibri"/>
        </w:rPr>
      </w:pPr>
    </w:p>
    <w:p w14:paraId="676C36DA" w14:textId="77777777" w:rsidR="0053608F" w:rsidRPr="0053608F" w:rsidRDefault="0053608F" w:rsidP="0053608F">
      <w:pPr>
        <w:spacing w:after="0" w:line="240" w:lineRule="auto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 xml:space="preserve">Spotkanie rozpoczął Zastępca Dyrektora Departamentu Gospodarki UMWD, Pan Łukasz Kasprzak, który poinformował, że alokacja na CP1 została zwiększona do kwoty ok. 186 mln EUR. </w:t>
      </w:r>
    </w:p>
    <w:p w14:paraId="3D812775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</w:p>
    <w:p w14:paraId="1ED37A50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  <w:u w:val="single"/>
        </w:rPr>
      </w:pPr>
      <w:r w:rsidRPr="0053608F">
        <w:rPr>
          <w:rFonts w:ascii="Calibri" w:eastAsia="Calibri" w:hAnsi="Calibri" w:cs="Calibri"/>
          <w:u w:val="single"/>
        </w:rPr>
        <w:t>Podczas spotkania członkowie Grupy przekazali następujące uwagi:</w:t>
      </w:r>
    </w:p>
    <w:p w14:paraId="32081B7E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>- katalog wdrożeń, komercjalizacji rozwiązań nie powinien być ustalany definitywnie, bez możliwości wprowadzania zmian. Powinna istnieć: możliwość dostosowywania rozwiązań w zależności od potrzeb różnych firm działających w zakresie biznesu, dostępność wsparcia modułowego, składającego się z różnych komponentów, co sprzyjałoby elastyczności i ciągłości procesu, większej przydatności/użyteczności dla przedsiębiorcy. Przydatna tutaj okazałaby się ewaluacja potrzeb wśród przedsiębiorców. Dzięki uzyskaniu odpowiednich wniosków, istniałaby możliwość dostosowywania katalogu działań w zależności od bieżących potrzeb. Sugerowano rezygnację z BUR przy działaniach szkoleniowych (specjalistycznych), zwłaszcza w przypadku projektów B+R, aby również nie ograniczać katalogu szkoleń i możliwych form pozyskiwania doświadczeń dla kadry.</w:t>
      </w:r>
    </w:p>
    <w:p w14:paraId="7C136EBC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>- pozytywnie zostało ocenione wsparcie w zakresie możliwości wdrożenia własnych wyników badań naukowych lub technologii oraz praw do własności intelektualnej, w tym także dotyczących inwestycji ograniczających wpływ przedsiębiorstw na środowisko. Możliwość zakupienia „z zewnątrz”, z polskich jednostek naukowych, wyników badań naukowych lub technologii nie cieszyła się większym zainteresowaniem w perspektywie 2014-2020, stąd działania tego typu nie są rekomendowane w przyszłej perspektywie finansowej. Zasugerowano również możliwość wsparcia zakupu licencji/patentów z zagranicy;</w:t>
      </w:r>
    </w:p>
    <w:p w14:paraId="108C2AD2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>- jeden z członków Grupy zaznaczył, że nie w grupie docelowej (w działaniach proinnowacyjnych) ma informacji na temat klastrów, jest jedynie informacja o projektach innowacyjnych, stąd apel aby wzmocnić elementy zapisów związane z klastrami;</w:t>
      </w:r>
    </w:p>
    <w:p w14:paraId="6C536BF7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 xml:space="preserve">- padło również pytanie, czy zasadne jest wsparcie infrastruktury publicznej w kwocie ok. 20 mln EUR, czy środki na ten cel nie są za wysokie. Sugerowano aby infrastruktura badawcza publiczna była finansowana z poziomu krajowego, w tym z KPO, natomiast alokację w jakiejś części z tego obszaru przenieść na infrastrukturę badawczą prywatną, komercyjną, w infrastrukturę badawczo rozwojową w firmach; </w:t>
      </w:r>
    </w:p>
    <w:p w14:paraId="5761CCFA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 xml:space="preserve">- postulowano wzmocnienie zapisów w zakresie procesu zazieleniania firm, wsparcia inwestycji przeciwdziałających zmianom klimatu, kupowania rozwiązań technologicznych </w:t>
      </w:r>
      <w:proofErr w:type="spellStart"/>
      <w:r w:rsidRPr="0053608F">
        <w:rPr>
          <w:rFonts w:ascii="Calibri" w:eastAsia="Calibri" w:hAnsi="Calibri" w:cs="Calibri"/>
        </w:rPr>
        <w:t>prośrodowiskowych</w:t>
      </w:r>
      <w:proofErr w:type="spellEnd"/>
      <w:r w:rsidRPr="0053608F">
        <w:rPr>
          <w:rFonts w:ascii="Calibri" w:eastAsia="Calibri" w:hAnsi="Calibri" w:cs="Calibri"/>
        </w:rPr>
        <w:t xml:space="preserve"> (m.in. z powodu konieczności mierzenia śladu węglowego w niedługiej przyszłości);</w:t>
      </w:r>
    </w:p>
    <w:p w14:paraId="5E018289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>- należy również rozważyć, czy nie warto byłoby przesunąć środki na innowacje i działania badawczo-rozwojowe, ponieważ działania tego typu są bardzo kosztowne;</w:t>
      </w:r>
    </w:p>
    <w:p w14:paraId="7AF9BB4D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 xml:space="preserve">- sugerowano, aby wsparcie inkubatorów było ukierunkowane na doradztwo i działania praktyczne, prawne, w tym zakresie powinny być zwiększane środki np. ze środków przeznaczonych na infrastrukturę, tzn. większe kwoty należy przeznaczyć na działania wspierające usługi inkubacyjne, w </w:t>
      </w:r>
      <w:r w:rsidRPr="0053608F">
        <w:rPr>
          <w:rFonts w:ascii="Calibri" w:eastAsia="Calibri" w:hAnsi="Calibri" w:cs="Calibri"/>
        </w:rPr>
        <w:lastRenderedPageBreak/>
        <w:t>zamian powstawania nowych podmiotów, powierzchni; Należałoby rozważyć możliwość zbadania zapotrzebowania wśród tych podmiotów.</w:t>
      </w:r>
    </w:p>
    <w:p w14:paraId="59936AA3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>- jeden z członków Grupy przekazał link do badania wykonanego przez Polską Agencję Rozwoju Przedsiębiorczości, z którym warto się zapoznać, ponieważ zawiera ono cenne wnioski w odniesieniu do działań proinnowacyjnych świadczonych przez różne podmioty w różnych formach, co może się przydać w programowaniu przyszłej perspektywy oraz ustalania kierunków interwencji. Link Poniżej:</w:t>
      </w:r>
    </w:p>
    <w:p w14:paraId="076EDE30" w14:textId="77777777" w:rsidR="0053608F" w:rsidRPr="0053608F" w:rsidRDefault="0053608F" w:rsidP="0053608F">
      <w:pPr>
        <w:spacing w:after="0" w:line="240" w:lineRule="auto"/>
        <w:rPr>
          <w:rFonts w:ascii="Calibri" w:eastAsia="Calibri" w:hAnsi="Calibri" w:cs="Calibri"/>
        </w:rPr>
      </w:pPr>
      <w:hyperlink r:id="rId4" w:history="1">
        <w:r w:rsidRPr="0053608F">
          <w:rPr>
            <w:rFonts w:ascii="Calibri" w:eastAsia="Calibri" w:hAnsi="Calibri" w:cs="Calibri"/>
            <w:color w:val="0563C1"/>
            <w:u w:val="single"/>
          </w:rPr>
          <w:t>https://www.parp.gov.pl/component/publications/publication/gotowosc-osrodkow-innowacji-do-wspierania-inteligentnej-specjalizacji-gospodarki</w:t>
        </w:r>
      </w:hyperlink>
    </w:p>
    <w:p w14:paraId="434E8B4A" w14:textId="77777777" w:rsidR="0053608F" w:rsidRPr="0053608F" w:rsidRDefault="0053608F" w:rsidP="0053608F">
      <w:pPr>
        <w:spacing w:after="0" w:line="240" w:lineRule="auto"/>
        <w:rPr>
          <w:rFonts w:ascii="Calibri" w:eastAsia="Calibri" w:hAnsi="Calibri" w:cs="Calibri"/>
        </w:rPr>
      </w:pPr>
    </w:p>
    <w:p w14:paraId="37426409" w14:textId="77777777" w:rsidR="0053608F" w:rsidRPr="0053608F" w:rsidRDefault="0053608F" w:rsidP="0053608F">
      <w:pPr>
        <w:spacing w:after="0" w:line="240" w:lineRule="auto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>- padło też pytanie o alokacje dot. bonów na innowację, która wynosi w kontrakcie programowym ponad 7 mln euro i zawiera się w kodzie interwencji 010 Działania badawcze i innowacyjne w MŚP, w tym tworzenie sieci kontaktów, który wynosi ok. 25 mln euro, co, jak stwierdzono jest kwotą niewystarczającą w stosunku do potrzeb, dlatego też postulowano o przesuniecie części alokacji z kodów związanych z infrastrukturą na działania badawcze i innowacyjne.</w:t>
      </w:r>
    </w:p>
    <w:p w14:paraId="0904720F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</w:p>
    <w:p w14:paraId="0A985330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 xml:space="preserve">Pan Łukasz Kasprzak, Zastępca Dyrektora Departamentu Gospodarki zaznaczył, że katalog wsparcia zostanie zweryfikowany i zostaną dołożone wszelkie starania, aby była to kwestia otwarta. Działania w zakresie klastrów zaplanowane są do wsparcia w ramach priorytetu inwestycyjnego iv – Rozwijanie umiejętności w zakresie inteligentnej specjalizacji, transformacji przemysłowej i przedsiębiorczości. Na chwilę obecną należy zastanowić się w jakiej formie będzie się odbywało to wsparcie. </w:t>
      </w:r>
    </w:p>
    <w:p w14:paraId="10BC1296" w14:textId="77777777" w:rsidR="0053608F" w:rsidRPr="0053608F" w:rsidRDefault="0053608F" w:rsidP="0053608F">
      <w:pPr>
        <w:spacing w:line="252" w:lineRule="auto"/>
        <w:jc w:val="both"/>
        <w:rPr>
          <w:rFonts w:ascii="Calibri" w:eastAsia="Calibri" w:hAnsi="Calibri" w:cs="Calibri"/>
        </w:rPr>
      </w:pPr>
      <w:r w:rsidRPr="0053608F">
        <w:rPr>
          <w:rFonts w:ascii="Calibri" w:eastAsia="Calibri" w:hAnsi="Calibri" w:cs="Calibri"/>
        </w:rPr>
        <w:t>Jeden z członków Grupy zapytał również, kiedy rozpoczną się konsultacje społeczne. UMWD planuje rozpoczęcie konsultacji społecznych w połowie stycznia 2022 r. i mają one potrwać 35 dni.</w:t>
      </w:r>
    </w:p>
    <w:p w14:paraId="5912FC6A" w14:textId="77777777" w:rsidR="004B53BA" w:rsidRDefault="004B53BA"/>
    <w:sectPr w:rsidR="004B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F5"/>
    <w:rsid w:val="004B53BA"/>
    <w:rsid w:val="0053608F"/>
    <w:rsid w:val="006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0522-435B-478F-82A4-BBA20CD0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p.gov.pl/component/publications/publication/gotowosc-osrodkow-innowacji-do-wspierania-inteligentnej-specjalizacji-gospodar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Gancarz</dc:creator>
  <cp:keywords/>
  <dc:description/>
  <cp:lastModifiedBy>Aleksandra Gancarz</cp:lastModifiedBy>
  <cp:revision>2</cp:revision>
  <dcterms:created xsi:type="dcterms:W3CDTF">2021-12-28T12:50:00Z</dcterms:created>
  <dcterms:modified xsi:type="dcterms:W3CDTF">2021-12-28T12:50:00Z</dcterms:modified>
</cp:coreProperties>
</file>