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0E35" w14:textId="45FCAC44" w:rsidR="00970882" w:rsidRPr="00DD5446" w:rsidRDefault="00DD5446" w:rsidP="00F349B7">
      <w:pPr>
        <w:spacing w:after="160" w:line="252" w:lineRule="auto"/>
        <w:jc w:val="both"/>
      </w:pPr>
      <w:r w:rsidRPr="00DD5446">
        <w:t xml:space="preserve">Ustalenia ze spotkania on </w:t>
      </w:r>
      <w:proofErr w:type="spellStart"/>
      <w:r w:rsidRPr="00DD5446">
        <w:t>line</w:t>
      </w:r>
      <w:proofErr w:type="spellEnd"/>
      <w:r w:rsidRPr="00DD5446">
        <w:t xml:space="preserve"> </w:t>
      </w:r>
      <w:r w:rsidRPr="00DD5446">
        <w:t>Grupy roboczej wspierającej prace nad Regionalnym Programem Operacyjnym na lata 2021-2027</w:t>
      </w:r>
      <w:r w:rsidRPr="00DD5446">
        <w:t>, z dn. 20.12.2021 r.</w:t>
      </w:r>
    </w:p>
    <w:p w14:paraId="0384C004" w14:textId="18E17FF8" w:rsidR="00F349B7" w:rsidRDefault="00F349B7" w:rsidP="00DD5446">
      <w:pPr>
        <w:spacing w:after="160" w:line="252" w:lineRule="auto"/>
        <w:rPr>
          <w:u w:val="single"/>
        </w:rPr>
      </w:pPr>
      <w:r>
        <w:rPr>
          <w:u w:val="single"/>
        </w:rPr>
        <w:t>W obszarze efektywności energetycznej, w celu szczegółowym Wspieranie efektywności energetycznej i redukcji emisji gazów cieplarnianych (i) Członkowie Grupy wskazali na:</w:t>
      </w:r>
    </w:p>
    <w:p w14:paraId="16C70909" w14:textId="6C2A2861" w:rsidR="00F349B7" w:rsidRDefault="00F349B7" w:rsidP="00DD5446">
      <w:pPr>
        <w:spacing w:after="160" w:line="252" w:lineRule="auto"/>
      </w:pPr>
      <w:r>
        <w:t xml:space="preserve">- konieczność likwidacji pieców </w:t>
      </w:r>
      <w:r w:rsidR="00AB10C6">
        <w:t>węglowych</w:t>
      </w:r>
      <w:r>
        <w:t xml:space="preserve">, ze względu na konieczność ograniczenia niskiej emisji na terenie Dolnego Śląska, w związku z czym należałoby </w:t>
      </w:r>
      <w:r w:rsidR="00AB10C6">
        <w:t xml:space="preserve">znacząco </w:t>
      </w:r>
      <w:r>
        <w:t xml:space="preserve">zwiększyć dotację na CP2 lub wpisać tego typu działania na listę projektów priorytetowych. Dyrekcja Departamentu Gospodarki UMWD odpowiedziała, że na działania w zakresie CP2 środki przeznaczone to przeszło 450 mln Euro (jest to największy priorytet w programie) ponadto w Programie obowiązują ring </w:t>
      </w:r>
      <w:proofErr w:type="spellStart"/>
      <w:r>
        <w:t>fencingi</w:t>
      </w:r>
      <w:proofErr w:type="spellEnd"/>
      <w:r>
        <w:t xml:space="preserve">. Jednocześnie działania w zakresie termomodernizacji można realizować </w:t>
      </w:r>
      <w:r w:rsidR="00AB10C6">
        <w:t>również z innych źródeł</w:t>
      </w:r>
      <w:r>
        <w:t xml:space="preserve"> </w:t>
      </w:r>
      <w:r w:rsidR="00AB10C6">
        <w:t>krajowych i unijnych</w:t>
      </w:r>
      <w:r w:rsidR="004761E7">
        <w:t>,</w:t>
      </w:r>
      <w:r w:rsidR="00AB10C6">
        <w:t xml:space="preserve"> np. </w:t>
      </w:r>
      <w:r>
        <w:t>z programu Czyste powietrze oraz z KPO.</w:t>
      </w:r>
    </w:p>
    <w:p w14:paraId="6CB25EDB" w14:textId="6C52CD9C" w:rsidR="00F349B7" w:rsidRDefault="00F349B7" w:rsidP="00DD5446">
      <w:pPr>
        <w:spacing w:line="252" w:lineRule="auto"/>
      </w:pPr>
      <w:r>
        <w:t xml:space="preserve">- problem z niską emisją . Zgodnie z postulatem jednego z Członków Grupy roboczej, w zapisie FEDS, który brzmi: </w:t>
      </w:r>
    </w:p>
    <w:p w14:paraId="11EDE76E" w14:textId="3FD6F833" w:rsidR="00F349B7" w:rsidRDefault="00F349B7" w:rsidP="00DD5446">
      <w:pPr>
        <w:spacing w:after="160" w:line="252" w:lineRule="auto"/>
      </w:pPr>
      <w:r>
        <w:t>We wszystkich projektach dotyczących efektywności energetycznej należy przyjąć minimalny próg oszczędności energi</w:t>
      </w:r>
      <w:r w:rsidR="004761E7">
        <w:t>i</w:t>
      </w:r>
      <w:r>
        <w:t>, zależny od formy wsparcia i typu beneficjenta, jednak na poziomie nie niższym niż 25% (z wyjątkiem obiektów wpisanych do rejestru zabytków), zapis powinien zawierać wyłączenie dla „obiektów zabytkowych”, a nie obiektów wpisanych do rejestrów zabytków, co zostanie zmienione.</w:t>
      </w:r>
    </w:p>
    <w:p w14:paraId="2697964E" w14:textId="7CAE32D0" w:rsidR="00AC2582" w:rsidRDefault="007447B5" w:rsidP="00DD5446">
      <w:pPr>
        <w:spacing w:after="160" w:line="252" w:lineRule="auto"/>
      </w:pPr>
      <w:r>
        <w:t xml:space="preserve">- budowa nowych budynków </w:t>
      </w:r>
      <w:r w:rsidR="00013598">
        <w:t>(pasywnych, „zeroemisyjnych”)</w:t>
      </w:r>
      <w:r w:rsidR="004761E7">
        <w:t xml:space="preserve"> </w:t>
      </w:r>
      <w:r>
        <w:t>– zwrócono uwagę, że tego typu inwestycje nie zmniejszają emisji gazów cieplarnianych</w:t>
      </w:r>
      <w:r w:rsidR="00013598">
        <w:t xml:space="preserve">, projekty takie są drogie, a nie realizują de facto wskaźników; propozycja </w:t>
      </w:r>
      <w:r w:rsidR="00222A97">
        <w:t>usunięcia</w:t>
      </w:r>
      <w:r w:rsidR="00013598">
        <w:t xml:space="preserve"> tego typu projektu</w:t>
      </w:r>
      <w:r w:rsidR="00222A97">
        <w:t>,</w:t>
      </w:r>
      <w:r w:rsidR="00013598">
        <w:t xml:space="preserve"> a </w:t>
      </w:r>
      <w:r w:rsidR="00222A97">
        <w:t xml:space="preserve">te </w:t>
      </w:r>
      <w:r w:rsidR="00013598">
        <w:t xml:space="preserve">środki </w:t>
      </w:r>
      <w:r w:rsidR="00222A97">
        <w:t xml:space="preserve">– propozycja </w:t>
      </w:r>
      <w:r w:rsidR="00013598">
        <w:t>przekazani</w:t>
      </w:r>
      <w:r w:rsidR="00222A97">
        <w:t>a</w:t>
      </w:r>
      <w:r w:rsidR="00013598">
        <w:t xml:space="preserve"> na termomodernizację istniejących budynków nie spełniających norm</w:t>
      </w:r>
      <w:r w:rsidR="00AC2582">
        <w:t xml:space="preserve"> - postulat zrezygnowania z kodu interwencji 043 Budowa nowych energooszczędnych budynków.</w:t>
      </w:r>
    </w:p>
    <w:p w14:paraId="6ED421C7" w14:textId="29E8DB2D" w:rsidR="00F349B7" w:rsidRDefault="00013598" w:rsidP="00DD5446">
      <w:pPr>
        <w:spacing w:after="160" w:line="252" w:lineRule="auto"/>
      </w:pPr>
      <w:r>
        <w:t xml:space="preserve"> </w:t>
      </w:r>
      <w:r w:rsidR="00F349B7">
        <w:t>-  istotę doradztwa energetycznego</w:t>
      </w:r>
      <w:r w:rsidR="00222A97">
        <w:t>:</w:t>
      </w:r>
      <w:r w:rsidR="00F349B7">
        <w:t xml:space="preserve"> </w:t>
      </w:r>
      <w:r w:rsidR="00222A97">
        <w:t xml:space="preserve">należy </w:t>
      </w:r>
      <w:r w:rsidR="00F349B7">
        <w:t xml:space="preserve">wpisać działania doradczo-informacyjne w zakresie powyższego celu szczegółowego. Według </w:t>
      </w:r>
      <w:r w:rsidR="00222A97">
        <w:t xml:space="preserve">przedstawicieli </w:t>
      </w:r>
      <w:r w:rsidR="00F349B7">
        <w:t xml:space="preserve">UMWD, doradztwo energetyczne obecnie mogłoby stanowić element projektu, ponieważ tego typu </w:t>
      </w:r>
      <w:r>
        <w:t xml:space="preserve">projekty </w:t>
      </w:r>
      <w:r w:rsidR="00F349B7">
        <w:t xml:space="preserve"> (jako osobne) są możliwe do realizacji z poziomu krajowego. Działania uświadamiające i promujące są przewidziane ponadto do wsparcia z EFS+.</w:t>
      </w:r>
      <w:r>
        <w:t xml:space="preserve"> Zwrócono także uwagę na zapisy UP i </w:t>
      </w:r>
      <w:r w:rsidR="00222A97">
        <w:t xml:space="preserve">na </w:t>
      </w:r>
      <w:r>
        <w:t xml:space="preserve">uwagi zgłoszone do niej przez KE w trybie roboczym. </w:t>
      </w:r>
    </w:p>
    <w:p w14:paraId="5B20BFAF" w14:textId="7002E0F2" w:rsidR="00F349B7" w:rsidRDefault="00F349B7" w:rsidP="00DD5446">
      <w:pPr>
        <w:spacing w:after="160" w:line="252" w:lineRule="auto"/>
      </w:pPr>
      <w:r>
        <w:t>- zgodnie z propozycją, do zapisu obecnego wsparcia z FEDS: Istotnym elementem w walce z emisją szkodliwych substancji jest poprawa efektywności energetycznej  budynków użyteczności publicznej (w tym organizacji pozarządowych), zamieszkania zbiorowego oraz wielorodzinnych budynków mieszkalnych (z wyłączeniem stanowiących własność Skarbu Państwa oraz budynków spółdzielni mieszkaniowych finansowanych z poziomu krajowego)</w:t>
      </w:r>
      <w:r w:rsidR="00222A97">
        <w:t>.</w:t>
      </w:r>
      <w:r>
        <w:t xml:space="preserve"> </w:t>
      </w:r>
      <w:r w:rsidR="00222A97">
        <w:t xml:space="preserve">Zostanie </w:t>
      </w:r>
      <w:r>
        <w:t>dodany zapis mówiący również o wsparciu „budynków stanowiących własność oraz współwłasność organizacji pozarządowych”.</w:t>
      </w:r>
    </w:p>
    <w:p w14:paraId="12668819" w14:textId="397CA95D" w:rsidR="00F349B7" w:rsidRDefault="00F349B7" w:rsidP="00DD5446">
      <w:pPr>
        <w:spacing w:after="160" w:line="252" w:lineRule="auto"/>
      </w:pPr>
      <w:r>
        <w:t>- konieczność dodania większej ilości wskaźników. Należy jednak zauważyć, iż wszystkie wskaźniki są ustalane na podstawie Wspólnych Wskaźników kluczowych WLWK w zakresie EFRR, FS oraz FST ustalonych przez Ministerstwo Funduszy i Polityki Regionalnej. Ponadto dążymy do tego, aby była jak najmniejsza ilość wskaźników</w:t>
      </w:r>
      <w:r w:rsidR="00650A7B">
        <w:t xml:space="preserve"> na poziomie Programu </w:t>
      </w:r>
      <w:r>
        <w:t xml:space="preserve">, co ułatwi wdrażanie </w:t>
      </w:r>
      <w:r w:rsidR="00650A7B">
        <w:t>P</w:t>
      </w:r>
      <w:r>
        <w:t xml:space="preserve">rogramu oraz osiąganie wyznaczonych wskaźników. </w:t>
      </w:r>
    </w:p>
    <w:p w14:paraId="027FF3AA" w14:textId="7E7A1B97" w:rsidR="00F349B7" w:rsidRDefault="00F349B7" w:rsidP="00DD5446">
      <w:pPr>
        <w:spacing w:after="160" w:line="252" w:lineRule="auto"/>
      </w:pPr>
      <w:r>
        <w:t>- padło</w:t>
      </w:r>
      <w:r>
        <w:rPr>
          <w:strike/>
        </w:rPr>
        <w:t xml:space="preserve"> </w:t>
      </w:r>
      <w:r>
        <w:t>również pytanie, czy termomodernizacja może być wykonywana wielokrotnie</w:t>
      </w:r>
      <w:r w:rsidR="00650A7B">
        <w:t xml:space="preserve"> (etapowa termomodernizacja budynków) </w:t>
      </w:r>
      <w:r>
        <w:t xml:space="preserve">. Przedstawiciel UMWD odpowiedział, że Komisja Europejska uważa, że jeśli każdorazowo </w:t>
      </w:r>
      <w:r w:rsidR="00650A7B">
        <w:t xml:space="preserve">w ramach projektu (na etapie termomodernizacji zgłaszanym do konkursu) </w:t>
      </w:r>
      <w:r>
        <w:t>zostanie osiągnięty wymagany poziom osiągnięcia efektywności energetycznej (min. 25% lub 30%), to nie powinno stanowić to problemu.</w:t>
      </w:r>
      <w:r w:rsidR="00650A7B">
        <w:t xml:space="preserve"> Natomiast KE nie chce zaakceptować,</w:t>
      </w:r>
      <w:r w:rsidR="00222A97">
        <w:t xml:space="preserve"> </w:t>
      </w:r>
      <w:r w:rsidR="00650A7B">
        <w:t xml:space="preserve">że „łączna” </w:t>
      </w:r>
      <w:r w:rsidR="00650A7B">
        <w:lastRenderedPageBreak/>
        <w:t>termomodernizacja  z kilku etapów prac na budynku w r</w:t>
      </w:r>
      <w:r w:rsidR="002F6287">
        <w:t>ó</w:t>
      </w:r>
      <w:r w:rsidR="00650A7B">
        <w:t>żnym czasie</w:t>
      </w:r>
      <w:r w:rsidR="002F6287">
        <w:t>,</w:t>
      </w:r>
      <w:r w:rsidR="00650A7B">
        <w:t xml:space="preserve"> przekroczy wymagany próg efektywności energetycznej. Ponadto </w:t>
      </w:r>
      <w:r w:rsidR="00AC2582">
        <w:t xml:space="preserve">zwrócono uwagę, że KE nie chce wspierać projektów polegających wyłącznie na wymianie samych źródeł ciepła, ale projekty powinny dotyczyć kompleksowej termomodernizacji budynków. </w:t>
      </w:r>
    </w:p>
    <w:p w14:paraId="5A684B86" w14:textId="387A79B1" w:rsidR="00F349B7" w:rsidRDefault="00F349B7" w:rsidP="00DD5446">
      <w:pPr>
        <w:spacing w:after="160" w:line="252" w:lineRule="auto"/>
        <w:rPr>
          <w:strike/>
        </w:rPr>
      </w:pPr>
      <w:r>
        <w:t>- postulat możliwości realizacji inwestycji w formule partnerstwa publiczno-prywatnego.</w:t>
      </w:r>
      <w:r w:rsidR="00AC2582">
        <w:t xml:space="preserve"> Wyjaśniono , że stosowne zapisy dotyczące PPP są już  w projekcie Kontraktu Terytorialnego i na czym polega współpraca w tym zakresie ze stron</w:t>
      </w:r>
      <w:r w:rsidR="00222A97">
        <w:t>ą</w:t>
      </w:r>
      <w:r w:rsidR="00AC2582">
        <w:t xml:space="preserve"> rządową. </w:t>
      </w:r>
    </w:p>
    <w:p w14:paraId="6E264351" w14:textId="1D30C879" w:rsidR="00F349B7" w:rsidRDefault="00F349B7" w:rsidP="00DD5446">
      <w:pPr>
        <w:spacing w:after="160" w:line="252" w:lineRule="auto"/>
      </w:pPr>
      <w:r>
        <w:t xml:space="preserve">- pytano także o próg procentowy </w:t>
      </w:r>
      <w:r w:rsidR="00622C36">
        <w:t xml:space="preserve">oszczędności energii </w:t>
      </w:r>
      <w:r>
        <w:t xml:space="preserve">dopuszczający możliwość umorzenia pożyczek </w:t>
      </w:r>
      <w:r w:rsidR="00622C36">
        <w:t xml:space="preserve">na termomodernizację (instrumenty zwrotne) </w:t>
      </w:r>
      <w:r>
        <w:t>– przedstawiono informacje, że może to być uzależnione od uzyskanego efektu</w:t>
      </w:r>
      <w:r w:rsidR="00222A97">
        <w:t>,</w:t>
      </w:r>
      <w:r>
        <w:t xml:space="preserve"> niemniej jednak jest to zbyt szczegółowa kwestia do obecnej dyskusji.</w:t>
      </w:r>
    </w:p>
    <w:p w14:paraId="63C9E8F6" w14:textId="77777777" w:rsidR="00F349B7" w:rsidRDefault="00F349B7" w:rsidP="00DD5446">
      <w:pPr>
        <w:spacing w:after="160" w:line="252" w:lineRule="auto"/>
        <w:rPr>
          <w:u w:val="single"/>
        </w:rPr>
      </w:pPr>
      <w:r>
        <w:rPr>
          <w:u w:val="single"/>
        </w:rPr>
        <w:t>W obszarze energii z odnawialnych źródeł energii (OZE), w celu szczegółowym Wspieranie energii odnawialnej zgodnie z dyrektywą (UE) 2018/2001, w tym określonymi w niej kryteriami zrównoważonego rozwoju (ii) Członkowie Grupy wskazali na:</w:t>
      </w:r>
    </w:p>
    <w:p w14:paraId="53FB1935" w14:textId="29763DE2" w:rsidR="00F349B7" w:rsidRDefault="00F349B7" w:rsidP="00DD5446">
      <w:pPr>
        <w:spacing w:after="160" w:line="252" w:lineRule="auto"/>
      </w:pPr>
      <w:r>
        <w:t xml:space="preserve">- wśród wskazanych głównych grup docelowych tj. mieszkańców województwa dolnośląskiego, klastrów energii, spółdzielni energetycznych oraz prosumentów, na wniosek członków Grupy roboczej, </w:t>
      </w:r>
      <w:r w:rsidR="00010BAD">
        <w:t xml:space="preserve">zaproponowano rozszerzenie typów projektów o termomodernizację budynków publicznych JST i oraz organizacje pozarządowe (NGO);  w wyniku tego  </w:t>
      </w:r>
      <w:r>
        <w:t xml:space="preserve">lista </w:t>
      </w:r>
      <w:r w:rsidR="00010BAD">
        <w:t xml:space="preserve">głównych grup docelowych także  musi </w:t>
      </w:r>
      <w:r w:rsidR="00830D62">
        <w:t xml:space="preserve">być </w:t>
      </w:r>
      <w:r>
        <w:t xml:space="preserve"> rozszerzona o JST</w:t>
      </w:r>
      <w:r w:rsidR="00830D62">
        <w:t xml:space="preserve"> i NGO</w:t>
      </w:r>
      <w:r>
        <w:t>.</w:t>
      </w:r>
    </w:p>
    <w:p w14:paraId="5E9555FE" w14:textId="22143F5D" w:rsidR="00F349B7" w:rsidRDefault="00F349B7" w:rsidP="00DD5446">
      <w:r>
        <w:t xml:space="preserve">- </w:t>
      </w:r>
      <w:r w:rsidR="003E147D">
        <w:t xml:space="preserve">propozycja </w:t>
      </w:r>
      <w:r>
        <w:t>dodani</w:t>
      </w:r>
      <w:r w:rsidR="003E147D">
        <w:t>a</w:t>
      </w:r>
      <w:r>
        <w:t xml:space="preserve"> źródeł energii</w:t>
      </w:r>
      <w:r w:rsidR="00830D62">
        <w:t xml:space="preserve"> z OZE</w:t>
      </w:r>
      <w:r w:rsidR="003E147D">
        <w:t xml:space="preserve"> w FEDS</w:t>
      </w:r>
      <w:r w:rsidR="00830D62">
        <w:t xml:space="preserve"> </w:t>
      </w:r>
      <w:r>
        <w:t>: biomasy oraz biogazu.</w:t>
      </w:r>
      <w:r w:rsidR="00617A5B">
        <w:t xml:space="preserve"> Ponadto rozważano</w:t>
      </w:r>
      <w:r w:rsidR="00222A97">
        <w:t>,</w:t>
      </w:r>
      <w:r w:rsidR="00617A5B">
        <w:t xml:space="preserve"> jak zakwalifikować powietrzne pompy ciepła, które warto także wspierać w FED</w:t>
      </w:r>
      <w:r w:rsidR="00222A97">
        <w:t>S</w:t>
      </w:r>
      <w:r w:rsidR="00617A5B">
        <w:t xml:space="preserve"> - nie jest to energia geotermalna, a w dokumentach krajowych brak np.  pojęci</w:t>
      </w:r>
      <w:r w:rsidR="00222A97">
        <w:t>a</w:t>
      </w:r>
      <w:r w:rsidR="00617A5B">
        <w:t xml:space="preserve"> energii </w:t>
      </w:r>
      <w:proofErr w:type="spellStart"/>
      <w:r w:rsidR="00617A5B">
        <w:t>aerotermalnej</w:t>
      </w:r>
      <w:proofErr w:type="spellEnd"/>
      <w:r w:rsidR="00617A5B">
        <w:t xml:space="preserve">. Kwestia do </w:t>
      </w:r>
      <w:r w:rsidR="003E147D">
        <w:t xml:space="preserve">sprawdzenia.  </w:t>
      </w:r>
    </w:p>
    <w:p w14:paraId="0A14BA86" w14:textId="21E7D5C4" w:rsidR="000368FF" w:rsidRDefault="000368FF" w:rsidP="00DD5446">
      <w:r>
        <w:t>- głos za możliwością wspierania samego procesu tworzenia spółdzielni energetycznych –  nie przewidujemy, dofinansowujemy tylko instalacje OZE</w:t>
      </w:r>
    </w:p>
    <w:p w14:paraId="2210E916" w14:textId="77777777" w:rsidR="00F349B7" w:rsidRDefault="00F349B7" w:rsidP="00DD5446">
      <w:r>
        <w:t xml:space="preserve">  </w:t>
      </w:r>
    </w:p>
    <w:p w14:paraId="7DCAB579" w14:textId="56008A75" w:rsidR="00F349B7" w:rsidRDefault="00F349B7" w:rsidP="00DD5446">
      <w:pPr>
        <w:spacing w:after="160" w:line="252" w:lineRule="auto"/>
        <w:rPr>
          <w:u w:val="single"/>
        </w:rPr>
      </w:pPr>
      <w:r>
        <w:rPr>
          <w:u w:val="single"/>
        </w:rPr>
        <w:t>W obszarze ochrony przyrody i klimatu, w celu szczegółowym Wzmacnianie ochrony i zachowania przyrody, różnorodności biologicznej oraz zielonej infrastruktury, w tym na obszarach miejskich oraz ograniczanie wszelkich rodzajów zanieczyszczenia (vii) Członkowie Grupy wskazali na:</w:t>
      </w:r>
    </w:p>
    <w:p w14:paraId="0F1F4A07" w14:textId="77777777" w:rsidR="00DD5446" w:rsidRDefault="00F349B7" w:rsidP="00DD5446">
      <w:pPr>
        <w:spacing w:after="160" w:line="252" w:lineRule="auto"/>
      </w:pPr>
      <w:r>
        <w:t xml:space="preserve">- fakt, iż projekt </w:t>
      </w:r>
      <w:proofErr w:type="spellStart"/>
      <w:r w:rsidR="00222A97">
        <w:t>C</w:t>
      </w:r>
      <w:r>
        <w:t>yklostrady</w:t>
      </w:r>
      <w:proofErr w:type="spellEnd"/>
      <w:r>
        <w:t xml:space="preserve"> rowerowej powinien być jedynie działaniem towarzyszącym, a nie celem głównym. W celu szczegółowych vii powinno się przede wszystkim zwracać uwagę na kwestie środowiskowe. Jednocześnie elementy </w:t>
      </w:r>
      <w:proofErr w:type="spellStart"/>
      <w:r w:rsidR="004761E7">
        <w:t>C</w:t>
      </w:r>
      <w:r>
        <w:t>yklostrady</w:t>
      </w:r>
      <w:proofErr w:type="spellEnd"/>
      <w:r>
        <w:t xml:space="preserve"> powinny być realizowane w trybie konkurencyjnym</w:t>
      </w:r>
      <w:r w:rsidR="004761E7">
        <w:t>,</w:t>
      </w:r>
      <w:r>
        <w:t xml:space="preserve"> a jednym z kryteriów wyboru projektów powinno być kryterium dot. śladu węglowego – </w:t>
      </w:r>
      <w:r w:rsidR="00830D62">
        <w:t xml:space="preserve">uznano, </w:t>
      </w:r>
      <w:r w:rsidR="004761E7">
        <w:t>ż</w:t>
      </w:r>
      <w:r w:rsidR="00830D62">
        <w:t xml:space="preserve">e propozycja kryterium dotyczącego śladu węglowego należy do kwestii Komitetu Monitorującego i tam może zostać zadecydowana. </w:t>
      </w:r>
      <w:r w:rsidR="00552655">
        <w:t xml:space="preserve">Przedstawiciele UMWD wskazywali, </w:t>
      </w:r>
      <w:r w:rsidR="004761E7">
        <w:t>ż</w:t>
      </w:r>
      <w:r w:rsidR="00552655">
        <w:t xml:space="preserve">e potrzebna byłaby specjalna metodologia do wyliczenia śladu węglowego przy projektach dotyczących dróg rowerowych, co może być trudne. </w:t>
      </w:r>
    </w:p>
    <w:p w14:paraId="5A653E45" w14:textId="77777777" w:rsidR="00DD5446" w:rsidRDefault="00F349B7" w:rsidP="00DD5446">
      <w:pPr>
        <w:spacing w:after="160" w:line="252" w:lineRule="auto"/>
      </w:pPr>
      <w:r>
        <w:t>- brak czynnej ochrony przyrody. Zapis ten zostanie zmodyfikowany oraz zostaną zaproponowane nowe zapisy w tym zakresie.</w:t>
      </w:r>
    </w:p>
    <w:p w14:paraId="37362FD8" w14:textId="096992D6" w:rsidR="00C45897" w:rsidRDefault="00F349B7" w:rsidP="00DD5446">
      <w:pPr>
        <w:spacing w:after="160" w:line="252" w:lineRule="auto"/>
      </w:pPr>
      <w:r>
        <w:t>Przedstawiciel UMWD potwierdził również, że KE chce aby SUMP-y były obligatoryjne w mobilności miejskiej</w:t>
      </w:r>
      <w:r w:rsidR="008407DA">
        <w:t xml:space="preserve"> dla wszystkich </w:t>
      </w:r>
      <w:proofErr w:type="spellStart"/>
      <w:r w:rsidR="008407DA">
        <w:t>jst</w:t>
      </w:r>
      <w:proofErr w:type="spellEnd"/>
      <w:r w:rsidR="008407DA">
        <w:t xml:space="preserve"> ubiegających się o wsparcie w przyszłej pespektywie z tego zakresu</w:t>
      </w:r>
      <w:r>
        <w:t xml:space="preserve">, </w:t>
      </w:r>
      <w:r w:rsidR="00233040">
        <w:t xml:space="preserve">tak samo jak dla celu związanego ze zmianami klimatu (obecnie nie przewidzianego w FEDS) Miejskie </w:t>
      </w:r>
      <w:r w:rsidR="008407DA">
        <w:t>Plany Adaptacji _</w:t>
      </w:r>
      <w:r w:rsidR="004761E7">
        <w:t>(</w:t>
      </w:r>
      <w:r w:rsidR="008407DA">
        <w:t>MPA</w:t>
      </w:r>
      <w:r w:rsidR="004761E7">
        <w:t>)</w:t>
      </w:r>
      <w:r w:rsidR="008407DA">
        <w:t>. D</w:t>
      </w:r>
      <w:r>
        <w:t xml:space="preserve">ążymy do tego, aby </w:t>
      </w:r>
      <w:r w:rsidR="008407DA">
        <w:t xml:space="preserve">MPA w czynnej ochronie przyrody </w:t>
      </w:r>
      <w:r>
        <w:t>nie był</w:t>
      </w:r>
      <w:r w:rsidR="008407DA">
        <w:t>y</w:t>
      </w:r>
      <w:r>
        <w:t xml:space="preserve"> konieczne. </w:t>
      </w:r>
      <w:r w:rsidR="00DD5446">
        <w:br/>
      </w:r>
      <w:r>
        <w:t xml:space="preserve">W zakresie </w:t>
      </w:r>
      <w:r w:rsidR="008407DA">
        <w:t xml:space="preserve">tego </w:t>
      </w:r>
      <w:r>
        <w:t xml:space="preserve"> celu szczegółowego, sporządzanie SUMP-ów nie jest konieczne.</w:t>
      </w:r>
    </w:p>
    <w:sectPr w:rsidR="00C458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BEA0" w14:textId="77777777" w:rsidR="00D857F6" w:rsidRDefault="00D857F6" w:rsidP="00AC2582">
      <w:r>
        <w:separator/>
      </w:r>
    </w:p>
  </w:endnote>
  <w:endnote w:type="continuationSeparator" w:id="0">
    <w:p w14:paraId="4DF7E8A6" w14:textId="77777777" w:rsidR="00D857F6" w:rsidRDefault="00D857F6" w:rsidP="00AC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4D17" w14:textId="77777777" w:rsidR="00D857F6" w:rsidRDefault="00D857F6" w:rsidP="00AC2582">
      <w:r>
        <w:separator/>
      </w:r>
    </w:p>
  </w:footnote>
  <w:footnote w:type="continuationSeparator" w:id="0">
    <w:p w14:paraId="113063E3" w14:textId="77777777" w:rsidR="00D857F6" w:rsidRDefault="00D857F6" w:rsidP="00AC2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B7"/>
    <w:rsid w:val="00010BAD"/>
    <w:rsid w:val="00013598"/>
    <w:rsid w:val="000368FF"/>
    <w:rsid w:val="000D5F2F"/>
    <w:rsid w:val="00144822"/>
    <w:rsid w:val="00222A97"/>
    <w:rsid w:val="00233040"/>
    <w:rsid w:val="002F6287"/>
    <w:rsid w:val="003E147D"/>
    <w:rsid w:val="004761E7"/>
    <w:rsid w:val="00552655"/>
    <w:rsid w:val="005F35FE"/>
    <w:rsid w:val="00617A5B"/>
    <w:rsid w:val="00622C36"/>
    <w:rsid w:val="00650A7B"/>
    <w:rsid w:val="007447B5"/>
    <w:rsid w:val="00830D62"/>
    <w:rsid w:val="008407DA"/>
    <w:rsid w:val="00970882"/>
    <w:rsid w:val="009E12E2"/>
    <w:rsid w:val="00A0182C"/>
    <w:rsid w:val="00AB10C6"/>
    <w:rsid w:val="00AC2582"/>
    <w:rsid w:val="00B30672"/>
    <w:rsid w:val="00C23D89"/>
    <w:rsid w:val="00C45897"/>
    <w:rsid w:val="00D857F6"/>
    <w:rsid w:val="00DD5446"/>
    <w:rsid w:val="00F349B7"/>
    <w:rsid w:val="00FA72DC"/>
    <w:rsid w:val="00FD5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FE44"/>
  <w15:chartTrackingRefBased/>
  <w15:docId w15:val="{F8725182-ADEF-4F04-948A-536CE7DE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49B7"/>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FA72DC"/>
    <w:pPr>
      <w:spacing w:after="0" w:line="240" w:lineRule="auto"/>
    </w:pPr>
    <w:rPr>
      <w:rFonts w:ascii="Calibri" w:hAnsi="Calibri" w:cs="Calibri"/>
    </w:rPr>
  </w:style>
  <w:style w:type="character" w:styleId="Odwoaniedokomentarza">
    <w:name w:val="annotation reference"/>
    <w:basedOn w:val="Domylnaczcionkaakapitu"/>
    <w:uiPriority w:val="99"/>
    <w:semiHidden/>
    <w:unhideWhenUsed/>
    <w:rsid w:val="007447B5"/>
    <w:rPr>
      <w:sz w:val="16"/>
      <w:szCs w:val="16"/>
    </w:rPr>
  </w:style>
  <w:style w:type="paragraph" w:styleId="Tekstkomentarza">
    <w:name w:val="annotation text"/>
    <w:basedOn w:val="Normalny"/>
    <w:link w:val="TekstkomentarzaZnak"/>
    <w:uiPriority w:val="99"/>
    <w:semiHidden/>
    <w:unhideWhenUsed/>
    <w:rsid w:val="007447B5"/>
    <w:rPr>
      <w:sz w:val="20"/>
      <w:szCs w:val="20"/>
    </w:rPr>
  </w:style>
  <w:style w:type="character" w:customStyle="1" w:styleId="TekstkomentarzaZnak">
    <w:name w:val="Tekst komentarza Znak"/>
    <w:basedOn w:val="Domylnaczcionkaakapitu"/>
    <w:link w:val="Tekstkomentarza"/>
    <w:uiPriority w:val="99"/>
    <w:semiHidden/>
    <w:rsid w:val="007447B5"/>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7447B5"/>
    <w:rPr>
      <w:b/>
      <w:bCs/>
    </w:rPr>
  </w:style>
  <w:style w:type="character" w:customStyle="1" w:styleId="TematkomentarzaZnak">
    <w:name w:val="Temat komentarza Znak"/>
    <w:basedOn w:val="TekstkomentarzaZnak"/>
    <w:link w:val="Tematkomentarza"/>
    <w:uiPriority w:val="99"/>
    <w:semiHidden/>
    <w:rsid w:val="007447B5"/>
    <w:rPr>
      <w:rFonts w:ascii="Calibri" w:hAnsi="Calibri" w:cs="Calibri"/>
      <w:b/>
      <w:bCs/>
      <w:sz w:val="20"/>
      <w:szCs w:val="20"/>
    </w:rPr>
  </w:style>
  <w:style w:type="paragraph" w:styleId="Tekstprzypisukocowego">
    <w:name w:val="endnote text"/>
    <w:basedOn w:val="Normalny"/>
    <w:link w:val="TekstprzypisukocowegoZnak"/>
    <w:uiPriority w:val="99"/>
    <w:semiHidden/>
    <w:unhideWhenUsed/>
    <w:rsid w:val="00AC2582"/>
    <w:rPr>
      <w:sz w:val="20"/>
      <w:szCs w:val="20"/>
    </w:rPr>
  </w:style>
  <w:style w:type="character" w:customStyle="1" w:styleId="TekstprzypisukocowegoZnak">
    <w:name w:val="Tekst przypisu końcowego Znak"/>
    <w:basedOn w:val="Domylnaczcionkaakapitu"/>
    <w:link w:val="Tekstprzypisukocowego"/>
    <w:uiPriority w:val="99"/>
    <w:semiHidden/>
    <w:rsid w:val="00AC2582"/>
    <w:rPr>
      <w:rFonts w:ascii="Calibri" w:hAnsi="Calibri" w:cs="Calibri"/>
      <w:sz w:val="20"/>
      <w:szCs w:val="20"/>
    </w:rPr>
  </w:style>
  <w:style w:type="character" w:styleId="Odwoanieprzypisukocowego">
    <w:name w:val="endnote reference"/>
    <w:basedOn w:val="Domylnaczcionkaakapitu"/>
    <w:uiPriority w:val="99"/>
    <w:semiHidden/>
    <w:unhideWhenUsed/>
    <w:rsid w:val="00AC2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9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1034</Words>
  <Characters>6204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Kopeć</dc:creator>
  <cp:keywords/>
  <dc:description/>
  <cp:lastModifiedBy>Aleksandra Gancarz</cp:lastModifiedBy>
  <cp:revision>3</cp:revision>
  <dcterms:created xsi:type="dcterms:W3CDTF">2021-12-28T13:51:00Z</dcterms:created>
  <dcterms:modified xsi:type="dcterms:W3CDTF">2021-12-28T13:54:00Z</dcterms:modified>
</cp:coreProperties>
</file>